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C7" w:rsidRPr="008C57C7" w:rsidRDefault="00881688" w:rsidP="008C57C7">
      <w:pPr>
        <w:pStyle w:val="TOC1"/>
        <w:tabs>
          <w:tab w:val="right" w:leader="dot" w:pos="10790"/>
        </w:tabs>
        <w:contextualSpacing/>
        <w:rPr>
          <w:rFonts w:eastAsiaTheme="minorEastAsia"/>
          <w:b w:val="0"/>
          <w:bCs w:val="0"/>
          <w:caps w:val="0"/>
          <w:noProof/>
          <w:sz w:val="18"/>
          <w:szCs w:val="24"/>
        </w:rPr>
      </w:pPr>
      <w:r w:rsidRPr="00881688">
        <w:rPr>
          <w:sz w:val="18"/>
        </w:rPr>
        <w:fldChar w:fldCharType="begin"/>
      </w:r>
      <w:r w:rsidR="00737CD3" w:rsidRPr="008C57C7">
        <w:rPr>
          <w:sz w:val="18"/>
        </w:rPr>
        <w:instrText xml:space="preserve"> TOC \o "1-3" \h \z \u </w:instrText>
      </w:r>
      <w:r w:rsidRPr="00881688">
        <w:rPr>
          <w:sz w:val="18"/>
        </w:rPr>
        <w:fldChar w:fldCharType="separate"/>
      </w:r>
      <w:r w:rsidR="008C57C7" w:rsidRPr="008C57C7">
        <w:rPr>
          <w:noProof/>
          <w:sz w:val="18"/>
        </w:rPr>
        <w:t>NATURE &amp; LIMITS OF CONTRACT</w:t>
      </w:r>
      <w:r w:rsidR="008C57C7" w:rsidRPr="008C57C7">
        <w:rPr>
          <w:noProof/>
          <w:sz w:val="18"/>
        </w:rPr>
        <w:tab/>
      </w:r>
      <w:r w:rsidRPr="008C57C7">
        <w:rPr>
          <w:noProof/>
          <w:sz w:val="18"/>
        </w:rPr>
        <w:fldChar w:fldCharType="begin"/>
      </w:r>
      <w:r w:rsidR="008C57C7" w:rsidRPr="008C57C7">
        <w:rPr>
          <w:noProof/>
          <w:sz w:val="18"/>
        </w:rPr>
        <w:instrText xml:space="preserve"> PAGEREF _Toc122512854 \h </w:instrText>
      </w:r>
      <w:r w:rsidR="007834D4" w:rsidRPr="00881688">
        <w:rPr>
          <w:noProof/>
          <w:sz w:val="18"/>
        </w:rPr>
      </w:r>
      <w:r w:rsidRPr="008C57C7">
        <w:rPr>
          <w:noProof/>
          <w:sz w:val="18"/>
        </w:rPr>
        <w:fldChar w:fldCharType="separate"/>
      </w:r>
      <w:r w:rsidR="007834D4">
        <w:rPr>
          <w:noProof/>
          <w:sz w:val="18"/>
        </w:rPr>
        <w:t>2</w:t>
      </w:r>
      <w:r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caps/>
          <w:noProof/>
          <w:sz w:val="18"/>
        </w:rPr>
        <w:t>Unconscionability</w:t>
      </w:r>
      <w:r w:rsidRPr="008C57C7">
        <w:rPr>
          <w:noProof/>
          <w:sz w:val="18"/>
        </w:rPr>
        <w:t>—</w:t>
      </w:r>
      <w:r w:rsidRPr="008C57C7">
        <w:rPr>
          <w:i/>
          <w:noProof/>
          <w:sz w:val="18"/>
        </w:rPr>
        <w:t>Shaheen</w:t>
      </w:r>
      <w:r w:rsidRPr="008C57C7">
        <w:rPr>
          <w:noProof/>
          <w:sz w:val="18"/>
        </w:rPr>
        <w:t>—</w:t>
      </w:r>
      <w:r w:rsidRPr="008C57C7">
        <w:rPr>
          <w:i/>
          <w:noProof/>
          <w:sz w:val="18"/>
        </w:rPr>
        <w:t>Baby M</w:t>
      </w:r>
      <w:r w:rsidRPr="008C57C7">
        <w:rPr>
          <w:noProof/>
          <w:sz w:val="18"/>
        </w:rPr>
        <w:tab/>
      </w:r>
      <w:r w:rsidR="00881688" w:rsidRPr="008C57C7">
        <w:rPr>
          <w:noProof/>
          <w:sz w:val="18"/>
        </w:rPr>
        <w:fldChar w:fldCharType="begin"/>
      </w:r>
      <w:r w:rsidRPr="008C57C7">
        <w:rPr>
          <w:noProof/>
          <w:sz w:val="18"/>
        </w:rPr>
        <w:instrText xml:space="preserve"> PAGEREF _Toc122512855 \h </w:instrText>
      </w:r>
      <w:r w:rsidR="007834D4" w:rsidRPr="00881688">
        <w:rPr>
          <w:noProof/>
          <w:sz w:val="18"/>
        </w:rPr>
      </w:r>
      <w:r w:rsidR="00881688" w:rsidRPr="008C57C7">
        <w:rPr>
          <w:noProof/>
          <w:sz w:val="18"/>
        </w:rPr>
        <w:fldChar w:fldCharType="separate"/>
      </w:r>
      <w:r w:rsidR="007834D4">
        <w:rPr>
          <w:noProof/>
          <w:sz w:val="18"/>
        </w:rPr>
        <w:t>2</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caps/>
          <w:noProof/>
          <w:sz w:val="18"/>
        </w:rPr>
        <w:t>Capacity, Duress, &amp; Undue Influence</w:t>
      </w:r>
      <w:r w:rsidRPr="008C57C7">
        <w:rPr>
          <w:noProof/>
          <w:sz w:val="18"/>
        </w:rPr>
        <w:t>—Odorizzi—Williams</w:t>
      </w:r>
      <w:r w:rsidRPr="008C57C7">
        <w:rPr>
          <w:noProof/>
          <w:sz w:val="18"/>
        </w:rPr>
        <w:tab/>
      </w:r>
      <w:r w:rsidR="00881688" w:rsidRPr="008C57C7">
        <w:rPr>
          <w:noProof/>
          <w:sz w:val="18"/>
        </w:rPr>
        <w:fldChar w:fldCharType="begin"/>
      </w:r>
      <w:r w:rsidRPr="008C57C7">
        <w:rPr>
          <w:noProof/>
          <w:sz w:val="18"/>
        </w:rPr>
        <w:instrText xml:space="preserve"> PAGEREF _Toc122512856 \h </w:instrText>
      </w:r>
      <w:r w:rsidR="007834D4" w:rsidRPr="00881688">
        <w:rPr>
          <w:noProof/>
          <w:sz w:val="18"/>
        </w:rPr>
      </w:r>
      <w:r w:rsidR="00881688" w:rsidRPr="008C57C7">
        <w:rPr>
          <w:noProof/>
          <w:sz w:val="18"/>
        </w:rPr>
        <w:fldChar w:fldCharType="separate"/>
      </w:r>
      <w:r w:rsidR="007834D4">
        <w:rPr>
          <w:noProof/>
          <w:sz w:val="18"/>
        </w:rPr>
        <w:t>2</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New Orleans Hospital Hypothetical</w:t>
      </w:r>
      <w:r w:rsidRPr="008C57C7">
        <w:rPr>
          <w:noProof/>
          <w:sz w:val="18"/>
        </w:rPr>
        <w:tab/>
      </w:r>
      <w:r w:rsidR="00881688" w:rsidRPr="008C57C7">
        <w:rPr>
          <w:noProof/>
          <w:sz w:val="18"/>
        </w:rPr>
        <w:fldChar w:fldCharType="begin"/>
      </w:r>
      <w:r w:rsidRPr="008C57C7">
        <w:rPr>
          <w:noProof/>
          <w:sz w:val="18"/>
        </w:rPr>
        <w:instrText xml:space="preserve"> PAGEREF _Toc122512857 \h </w:instrText>
      </w:r>
      <w:r w:rsidR="007834D4" w:rsidRPr="00881688">
        <w:rPr>
          <w:noProof/>
          <w:sz w:val="18"/>
        </w:rPr>
      </w:r>
      <w:r w:rsidR="00881688" w:rsidRPr="008C57C7">
        <w:rPr>
          <w:noProof/>
          <w:sz w:val="18"/>
        </w:rPr>
        <w:fldChar w:fldCharType="separate"/>
      </w:r>
      <w:r w:rsidR="007834D4">
        <w:rPr>
          <w:noProof/>
          <w:sz w:val="18"/>
        </w:rPr>
        <w:t>3</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Damages Default Rules</w:t>
      </w:r>
      <w:r w:rsidRPr="008C57C7">
        <w:rPr>
          <w:noProof/>
          <w:sz w:val="18"/>
        </w:rPr>
        <w:tab/>
      </w:r>
      <w:r w:rsidR="00881688" w:rsidRPr="008C57C7">
        <w:rPr>
          <w:noProof/>
          <w:sz w:val="18"/>
        </w:rPr>
        <w:fldChar w:fldCharType="begin"/>
      </w:r>
      <w:r w:rsidRPr="008C57C7">
        <w:rPr>
          <w:noProof/>
          <w:sz w:val="18"/>
        </w:rPr>
        <w:instrText xml:space="preserve"> PAGEREF _Toc122512858 \h </w:instrText>
      </w:r>
      <w:r w:rsidR="007834D4" w:rsidRPr="00881688">
        <w:rPr>
          <w:noProof/>
          <w:sz w:val="18"/>
        </w:rPr>
      </w:r>
      <w:r w:rsidR="00881688" w:rsidRPr="008C57C7">
        <w:rPr>
          <w:noProof/>
          <w:sz w:val="18"/>
        </w:rPr>
        <w:fldChar w:fldCharType="separate"/>
      </w:r>
      <w:r w:rsidR="007834D4">
        <w:rPr>
          <w:noProof/>
          <w:sz w:val="18"/>
        </w:rPr>
        <w:t>3</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Abel &amp; Baker Painting Hypothetical</w:t>
      </w:r>
      <w:r w:rsidRPr="008C57C7">
        <w:rPr>
          <w:noProof/>
          <w:sz w:val="18"/>
        </w:rPr>
        <w:tab/>
      </w:r>
      <w:r w:rsidR="00881688" w:rsidRPr="008C57C7">
        <w:rPr>
          <w:noProof/>
          <w:sz w:val="18"/>
        </w:rPr>
        <w:fldChar w:fldCharType="begin"/>
      </w:r>
      <w:r w:rsidRPr="008C57C7">
        <w:rPr>
          <w:noProof/>
          <w:sz w:val="18"/>
        </w:rPr>
        <w:instrText xml:space="preserve"> PAGEREF _Toc122512859 \h </w:instrText>
      </w:r>
      <w:r w:rsidR="007834D4" w:rsidRPr="00881688">
        <w:rPr>
          <w:noProof/>
          <w:sz w:val="18"/>
        </w:rPr>
      </w:r>
      <w:r w:rsidR="00881688" w:rsidRPr="008C57C7">
        <w:rPr>
          <w:noProof/>
          <w:sz w:val="18"/>
        </w:rPr>
        <w:fldChar w:fldCharType="separate"/>
      </w:r>
      <w:r w:rsidR="007834D4">
        <w:rPr>
          <w:noProof/>
          <w:sz w:val="18"/>
        </w:rPr>
        <w:t>4</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Wholesaler Bike Hypothetical</w:t>
      </w:r>
      <w:r w:rsidRPr="008C57C7">
        <w:rPr>
          <w:noProof/>
          <w:sz w:val="18"/>
        </w:rPr>
        <w:tab/>
      </w:r>
      <w:r w:rsidR="00881688" w:rsidRPr="008C57C7">
        <w:rPr>
          <w:noProof/>
          <w:sz w:val="18"/>
        </w:rPr>
        <w:fldChar w:fldCharType="begin"/>
      </w:r>
      <w:r w:rsidRPr="008C57C7">
        <w:rPr>
          <w:noProof/>
          <w:sz w:val="18"/>
        </w:rPr>
        <w:instrText xml:space="preserve"> PAGEREF _Toc122512860 \h </w:instrText>
      </w:r>
      <w:r w:rsidR="007834D4" w:rsidRPr="00881688">
        <w:rPr>
          <w:noProof/>
          <w:sz w:val="18"/>
        </w:rPr>
      </w:r>
      <w:r w:rsidR="00881688" w:rsidRPr="008C57C7">
        <w:rPr>
          <w:noProof/>
          <w:sz w:val="18"/>
        </w:rPr>
        <w:fldChar w:fldCharType="separate"/>
      </w:r>
      <w:r w:rsidR="007834D4">
        <w:rPr>
          <w:noProof/>
          <w:sz w:val="18"/>
        </w:rPr>
        <w:t>4</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REMEDIES FOR BREACH—Tongish</w:t>
      </w:r>
      <w:r w:rsidRPr="008C57C7">
        <w:rPr>
          <w:noProof/>
          <w:sz w:val="18"/>
        </w:rPr>
        <w:tab/>
      </w:r>
      <w:r w:rsidR="00881688" w:rsidRPr="008C57C7">
        <w:rPr>
          <w:noProof/>
          <w:sz w:val="18"/>
        </w:rPr>
        <w:fldChar w:fldCharType="begin"/>
      </w:r>
      <w:r w:rsidRPr="008C57C7">
        <w:rPr>
          <w:noProof/>
          <w:sz w:val="18"/>
        </w:rPr>
        <w:instrText xml:space="preserve"> PAGEREF _Toc122512861 \h </w:instrText>
      </w:r>
      <w:r w:rsidR="007834D4" w:rsidRPr="00881688">
        <w:rPr>
          <w:noProof/>
          <w:sz w:val="18"/>
        </w:rPr>
      </w:r>
      <w:r w:rsidR="00881688" w:rsidRPr="008C57C7">
        <w:rPr>
          <w:noProof/>
          <w:sz w:val="18"/>
        </w:rPr>
        <w:fldChar w:fldCharType="separate"/>
      </w:r>
      <w:r w:rsidR="007834D4">
        <w:rPr>
          <w:noProof/>
          <w:sz w:val="18"/>
        </w:rPr>
        <w:t>4</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Efficient Breach Hypothesis</w:t>
      </w:r>
      <w:r w:rsidRPr="008C57C7">
        <w:rPr>
          <w:noProof/>
          <w:sz w:val="18"/>
        </w:rPr>
        <w:tab/>
      </w:r>
      <w:r w:rsidR="00881688" w:rsidRPr="008C57C7">
        <w:rPr>
          <w:noProof/>
          <w:sz w:val="18"/>
        </w:rPr>
        <w:fldChar w:fldCharType="begin"/>
      </w:r>
      <w:r w:rsidRPr="008C57C7">
        <w:rPr>
          <w:noProof/>
          <w:sz w:val="18"/>
        </w:rPr>
        <w:instrText xml:space="preserve"> PAGEREF _Toc122512862 \h </w:instrText>
      </w:r>
      <w:r w:rsidR="007834D4" w:rsidRPr="00881688">
        <w:rPr>
          <w:noProof/>
          <w:sz w:val="18"/>
        </w:rPr>
      </w:r>
      <w:r w:rsidR="00881688" w:rsidRPr="008C57C7">
        <w:rPr>
          <w:noProof/>
          <w:sz w:val="18"/>
        </w:rPr>
        <w:fldChar w:fldCharType="separate"/>
      </w:r>
      <w:r w:rsidR="007834D4">
        <w:rPr>
          <w:noProof/>
          <w:sz w:val="18"/>
        </w:rPr>
        <w:t>4</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REMOTENESS—Hadley—Hector Martinez—Morrow</w:t>
      </w:r>
      <w:r w:rsidRPr="008C57C7">
        <w:rPr>
          <w:noProof/>
          <w:sz w:val="18"/>
        </w:rPr>
        <w:tab/>
      </w:r>
      <w:r w:rsidR="00881688" w:rsidRPr="008C57C7">
        <w:rPr>
          <w:noProof/>
          <w:sz w:val="18"/>
        </w:rPr>
        <w:fldChar w:fldCharType="begin"/>
      </w:r>
      <w:r w:rsidRPr="008C57C7">
        <w:rPr>
          <w:noProof/>
          <w:sz w:val="18"/>
        </w:rPr>
        <w:instrText xml:space="preserve"> PAGEREF _Toc122512863 \h </w:instrText>
      </w:r>
      <w:r w:rsidR="007834D4" w:rsidRPr="00881688">
        <w:rPr>
          <w:noProof/>
          <w:sz w:val="18"/>
        </w:rPr>
      </w:r>
      <w:r w:rsidR="00881688" w:rsidRPr="008C57C7">
        <w:rPr>
          <w:noProof/>
          <w:sz w:val="18"/>
        </w:rPr>
        <w:fldChar w:fldCharType="separate"/>
      </w:r>
      <w:r w:rsidR="007834D4">
        <w:rPr>
          <w:noProof/>
          <w:sz w:val="18"/>
        </w:rPr>
        <w:t>5</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CERTAINTY &amp; RELIANCE INTEREST—Dempsey—Anglia—Mistletoe</w:t>
      </w:r>
      <w:r w:rsidRPr="008C57C7">
        <w:rPr>
          <w:noProof/>
          <w:sz w:val="18"/>
        </w:rPr>
        <w:tab/>
      </w:r>
      <w:r w:rsidR="00881688" w:rsidRPr="008C57C7">
        <w:rPr>
          <w:noProof/>
          <w:sz w:val="18"/>
        </w:rPr>
        <w:fldChar w:fldCharType="begin"/>
      </w:r>
      <w:r w:rsidRPr="008C57C7">
        <w:rPr>
          <w:noProof/>
          <w:sz w:val="18"/>
        </w:rPr>
        <w:instrText xml:space="preserve"> PAGEREF _Toc122512864 \h </w:instrText>
      </w:r>
      <w:r w:rsidR="007834D4" w:rsidRPr="00881688">
        <w:rPr>
          <w:noProof/>
          <w:sz w:val="18"/>
        </w:rPr>
      </w:r>
      <w:r w:rsidR="00881688" w:rsidRPr="008C57C7">
        <w:rPr>
          <w:noProof/>
          <w:sz w:val="18"/>
        </w:rPr>
        <w:fldChar w:fldCharType="separate"/>
      </w:r>
      <w:r w:rsidR="007834D4">
        <w:rPr>
          <w:noProof/>
          <w:sz w:val="18"/>
        </w:rPr>
        <w:t>6</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Abel &amp; Baker Concert Hypothetical</w:t>
      </w:r>
      <w:r w:rsidRPr="008C57C7">
        <w:rPr>
          <w:noProof/>
          <w:sz w:val="18"/>
        </w:rPr>
        <w:tab/>
      </w:r>
      <w:r w:rsidR="00881688" w:rsidRPr="008C57C7">
        <w:rPr>
          <w:noProof/>
          <w:sz w:val="18"/>
        </w:rPr>
        <w:fldChar w:fldCharType="begin"/>
      </w:r>
      <w:r w:rsidRPr="008C57C7">
        <w:rPr>
          <w:noProof/>
          <w:sz w:val="18"/>
        </w:rPr>
        <w:instrText xml:space="preserve"> PAGEREF _Toc122512865 \h </w:instrText>
      </w:r>
      <w:r w:rsidR="007834D4" w:rsidRPr="00881688">
        <w:rPr>
          <w:noProof/>
          <w:sz w:val="18"/>
        </w:rPr>
      </w:r>
      <w:r w:rsidR="00881688" w:rsidRPr="008C57C7">
        <w:rPr>
          <w:noProof/>
          <w:sz w:val="18"/>
        </w:rPr>
        <w:fldChar w:fldCharType="separate"/>
      </w:r>
      <w:r w:rsidR="007834D4">
        <w:rPr>
          <w:noProof/>
          <w:sz w:val="18"/>
        </w:rPr>
        <w:t>6</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Efficient Breach Hypothesis</w:t>
      </w:r>
      <w:r w:rsidRPr="008C57C7">
        <w:rPr>
          <w:noProof/>
          <w:sz w:val="18"/>
        </w:rPr>
        <w:tab/>
      </w:r>
      <w:r w:rsidR="00881688" w:rsidRPr="008C57C7">
        <w:rPr>
          <w:noProof/>
          <w:sz w:val="18"/>
        </w:rPr>
        <w:fldChar w:fldCharType="begin"/>
      </w:r>
      <w:r w:rsidRPr="008C57C7">
        <w:rPr>
          <w:noProof/>
          <w:sz w:val="18"/>
        </w:rPr>
        <w:instrText xml:space="preserve"> PAGEREF _Toc122512866 \h </w:instrText>
      </w:r>
      <w:r w:rsidR="007834D4" w:rsidRPr="00881688">
        <w:rPr>
          <w:noProof/>
          <w:sz w:val="18"/>
        </w:rPr>
      </w:r>
      <w:r w:rsidR="00881688" w:rsidRPr="008C57C7">
        <w:rPr>
          <w:noProof/>
          <w:sz w:val="18"/>
        </w:rPr>
        <w:fldChar w:fldCharType="separate"/>
      </w:r>
      <w:r w:rsidR="007834D4">
        <w:rPr>
          <w:noProof/>
          <w:sz w:val="18"/>
        </w:rPr>
        <w:t>7</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MITIGATION OBLIGATION—Rockingham County—Parker—Neri</w:t>
      </w:r>
      <w:r w:rsidRPr="008C57C7">
        <w:rPr>
          <w:noProof/>
          <w:sz w:val="18"/>
        </w:rPr>
        <w:tab/>
      </w:r>
      <w:r w:rsidR="00881688" w:rsidRPr="008C57C7">
        <w:rPr>
          <w:noProof/>
          <w:sz w:val="18"/>
        </w:rPr>
        <w:fldChar w:fldCharType="begin"/>
      </w:r>
      <w:r w:rsidRPr="008C57C7">
        <w:rPr>
          <w:noProof/>
          <w:sz w:val="18"/>
        </w:rPr>
        <w:instrText xml:space="preserve"> PAGEREF _Toc122512867 \h </w:instrText>
      </w:r>
      <w:r w:rsidR="007834D4" w:rsidRPr="00881688">
        <w:rPr>
          <w:noProof/>
          <w:sz w:val="18"/>
        </w:rPr>
      </w:r>
      <w:r w:rsidR="00881688" w:rsidRPr="008C57C7">
        <w:rPr>
          <w:noProof/>
          <w:sz w:val="18"/>
        </w:rPr>
        <w:fldChar w:fldCharType="separate"/>
      </w:r>
      <w:r w:rsidR="007834D4">
        <w:rPr>
          <w:noProof/>
          <w:sz w:val="18"/>
        </w:rPr>
        <w:t>7</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Rare Roman Coin Shipper Hypothetical</w:t>
      </w:r>
      <w:r w:rsidRPr="008C57C7">
        <w:rPr>
          <w:noProof/>
          <w:sz w:val="18"/>
        </w:rPr>
        <w:tab/>
      </w:r>
      <w:r w:rsidR="00881688" w:rsidRPr="008C57C7">
        <w:rPr>
          <w:noProof/>
          <w:sz w:val="18"/>
        </w:rPr>
        <w:fldChar w:fldCharType="begin"/>
      </w:r>
      <w:r w:rsidRPr="008C57C7">
        <w:rPr>
          <w:noProof/>
          <w:sz w:val="18"/>
        </w:rPr>
        <w:instrText xml:space="preserve"> PAGEREF _Toc122512868 \h </w:instrText>
      </w:r>
      <w:r w:rsidR="007834D4" w:rsidRPr="00881688">
        <w:rPr>
          <w:noProof/>
          <w:sz w:val="18"/>
        </w:rPr>
      </w:r>
      <w:r w:rsidR="00881688" w:rsidRPr="008C57C7">
        <w:rPr>
          <w:noProof/>
          <w:sz w:val="18"/>
        </w:rPr>
        <w:fldChar w:fldCharType="separate"/>
      </w:r>
      <w:r w:rsidR="007834D4">
        <w:rPr>
          <w:noProof/>
          <w:sz w:val="18"/>
        </w:rPr>
        <w:t>7</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SPECIFIED DAMAGES—Kemble—Wassenaar—Lake River</w:t>
      </w:r>
      <w:r w:rsidRPr="008C57C7">
        <w:rPr>
          <w:noProof/>
          <w:sz w:val="18"/>
        </w:rPr>
        <w:tab/>
      </w:r>
      <w:r w:rsidR="00881688" w:rsidRPr="008C57C7">
        <w:rPr>
          <w:noProof/>
          <w:sz w:val="18"/>
        </w:rPr>
        <w:fldChar w:fldCharType="begin"/>
      </w:r>
      <w:r w:rsidRPr="008C57C7">
        <w:rPr>
          <w:noProof/>
          <w:sz w:val="18"/>
        </w:rPr>
        <w:instrText xml:space="preserve"> PAGEREF _Toc122512869 \h </w:instrText>
      </w:r>
      <w:r w:rsidR="007834D4" w:rsidRPr="00881688">
        <w:rPr>
          <w:noProof/>
          <w:sz w:val="18"/>
        </w:rPr>
      </w:r>
      <w:r w:rsidR="00881688" w:rsidRPr="008C57C7">
        <w:rPr>
          <w:noProof/>
          <w:sz w:val="18"/>
        </w:rPr>
        <w:fldChar w:fldCharType="separate"/>
      </w:r>
      <w:r w:rsidR="007834D4">
        <w:rPr>
          <w:noProof/>
          <w:sz w:val="18"/>
        </w:rPr>
        <w:t>8</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Fairground Hypothetical</w:t>
      </w:r>
      <w:r w:rsidRPr="008C57C7">
        <w:rPr>
          <w:noProof/>
          <w:sz w:val="18"/>
        </w:rPr>
        <w:tab/>
      </w:r>
      <w:r w:rsidR="00881688" w:rsidRPr="008C57C7">
        <w:rPr>
          <w:noProof/>
          <w:sz w:val="18"/>
        </w:rPr>
        <w:fldChar w:fldCharType="begin"/>
      </w:r>
      <w:r w:rsidRPr="008C57C7">
        <w:rPr>
          <w:noProof/>
          <w:sz w:val="18"/>
        </w:rPr>
        <w:instrText xml:space="preserve"> PAGEREF _Toc122512870 \h </w:instrText>
      </w:r>
      <w:r w:rsidR="007834D4" w:rsidRPr="00881688">
        <w:rPr>
          <w:noProof/>
          <w:sz w:val="18"/>
        </w:rPr>
      </w:r>
      <w:r w:rsidR="00881688" w:rsidRPr="008C57C7">
        <w:rPr>
          <w:noProof/>
          <w:sz w:val="18"/>
        </w:rPr>
        <w:fldChar w:fldCharType="separate"/>
      </w:r>
      <w:r w:rsidR="007834D4">
        <w:rPr>
          <w:noProof/>
          <w:sz w:val="18"/>
        </w:rPr>
        <w:t>9</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SPECIFIC PERFORMANCE—Loveless—Cumbest—Scholl—Sedmark—Mary Clark</w:t>
      </w:r>
      <w:r w:rsidRPr="008C57C7">
        <w:rPr>
          <w:noProof/>
          <w:sz w:val="18"/>
        </w:rPr>
        <w:tab/>
      </w:r>
      <w:r w:rsidR="00881688" w:rsidRPr="008C57C7">
        <w:rPr>
          <w:noProof/>
          <w:sz w:val="18"/>
        </w:rPr>
        <w:fldChar w:fldCharType="begin"/>
      </w:r>
      <w:r w:rsidRPr="008C57C7">
        <w:rPr>
          <w:noProof/>
          <w:sz w:val="18"/>
        </w:rPr>
        <w:instrText xml:space="preserve"> PAGEREF _Toc122512871 \h </w:instrText>
      </w:r>
      <w:r w:rsidR="007834D4" w:rsidRPr="00881688">
        <w:rPr>
          <w:noProof/>
          <w:sz w:val="18"/>
        </w:rPr>
      </w:r>
      <w:r w:rsidR="00881688" w:rsidRPr="008C57C7">
        <w:rPr>
          <w:noProof/>
          <w:sz w:val="18"/>
        </w:rPr>
        <w:fldChar w:fldCharType="separate"/>
      </w:r>
      <w:r w:rsidR="007834D4">
        <w:rPr>
          <w:noProof/>
          <w:sz w:val="18"/>
        </w:rPr>
        <w:t>9</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RESTITUTION—Bush—Britton—Vines—Cotnam</w:t>
      </w:r>
      <w:r w:rsidRPr="008C57C7">
        <w:rPr>
          <w:noProof/>
          <w:sz w:val="18"/>
        </w:rPr>
        <w:tab/>
      </w:r>
      <w:r w:rsidR="00881688" w:rsidRPr="008C57C7">
        <w:rPr>
          <w:noProof/>
          <w:sz w:val="18"/>
        </w:rPr>
        <w:fldChar w:fldCharType="begin"/>
      </w:r>
      <w:r w:rsidRPr="008C57C7">
        <w:rPr>
          <w:noProof/>
          <w:sz w:val="18"/>
        </w:rPr>
        <w:instrText xml:space="preserve"> PAGEREF _Toc122512872 \h </w:instrText>
      </w:r>
      <w:r w:rsidR="007834D4" w:rsidRPr="00881688">
        <w:rPr>
          <w:noProof/>
          <w:sz w:val="18"/>
        </w:rPr>
      </w:r>
      <w:r w:rsidR="00881688" w:rsidRPr="008C57C7">
        <w:rPr>
          <w:noProof/>
          <w:sz w:val="18"/>
        </w:rPr>
        <w:fldChar w:fldCharType="separate"/>
      </w:r>
      <w:r w:rsidR="007834D4">
        <w:rPr>
          <w:noProof/>
          <w:sz w:val="18"/>
        </w:rPr>
        <w:t>10</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Quasi Contract</w:t>
      </w:r>
      <w:r w:rsidRPr="008C57C7">
        <w:rPr>
          <w:noProof/>
          <w:sz w:val="18"/>
        </w:rPr>
        <w:tab/>
      </w:r>
      <w:r w:rsidR="00881688" w:rsidRPr="008C57C7">
        <w:rPr>
          <w:noProof/>
          <w:sz w:val="18"/>
        </w:rPr>
        <w:fldChar w:fldCharType="begin"/>
      </w:r>
      <w:r w:rsidRPr="008C57C7">
        <w:rPr>
          <w:noProof/>
          <w:sz w:val="18"/>
        </w:rPr>
        <w:instrText xml:space="preserve"> PAGEREF _Toc122512873 \h </w:instrText>
      </w:r>
      <w:r w:rsidR="007834D4" w:rsidRPr="00881688">
        <w:rPr>
          <w:noProof/>
          <w:sz w:val="18"/>
        </w:rPr>
      </w:r>
      <w:r w:rsidR="00881688" w:rsidRPr="008C57C7">
        <w:rPr>
          <w:noProof/>
          <w:sz w:val="18"/>
        </w:rPr>
        <w:fldChar w:fldCharType="separate"/>
      </w:r>
      <w:r w:rsidR="007834D4">
        <w:rPr>
          <w:noProof/>
          <w:sz w:val="18"/>
        </w:rPr>
        <w:t>11</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MUTUAL ASSENT</w:t>
      </w:r>
      <w:r w:rsidRPr="008C57C7">
        <w:rPr>
          <w:noProof/>
          <w:sz w:val="18"/>
        </w:rPr>
        <w:tab/>
      </w:r>
      <w:r w:rsidR="00881688" w:rsidRPr="008C57C7">
        <w:rPr>
          <w:noProof/>
          <w:sz w:val="18"/>
        </w:rPr>
        <w:fldChar w:fldCharType="begin"/>
      </w:r>
      <w:r w:rsidRPr="008C57C7">
        <w:rPr>
          <w:noProof/>
          <w:sz w:val="18"/>
        </w:rPr>
        <w:instrText xml:space="preserve"> PAGEREF _Toc122512874 \h </w:instrText>
      </w:r>
      <w:r w:rsidR="007834D4" w:rsidRPr="00881688">
        <w:rPr>
          <w:noProof/>
          <w:sz w:val="18"/>
        </w:rPr>
      </w:r>
      <w:r w:rsidR="00881688" w:rsidRPr="008C57C7">
        <w:rPr>
          <w:noProof/>
          <w:sz w:val="18"/>
        </w:rPr>
        <w:fldChar w:fldCharType="separate"/>
      </w:r>
      <w:r w:rsidR="007834D4">
        <w:rPr>
          <w:noProof/>
          <w:sz w:val="18"/>
        </w:rPr>
        <w:t>11</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OBJECTIVE THEORY OF ASSENT—Embry—Lucy</w:t>
      </w:r>
      <w:r w:rsidRPr="008C57C7">
        <w:rPr>
          <w:noProof/>
          <w:sz w:val="18"/>
        </w:rPr>
        <w:tab/>
      </w:r>
      <w:r w:rsidR="00881688" w:rsidRPr="008C57C7">
        <w:rPr>
          <w:noProof/>
          <w:sz w:val="18"/>
        </w:rPr>
        <w:fldChar w:fldCharType="begin"/>
      </w:r>
      <w:r w:rsidRPr="008C57C7">
        <w:rPr>
          <w:noProof/>
          <w:sz w:val="18"/>
        </w:rPr>
        <w:instrText xml:space="preserve"> PAGEREF _Toc122512875 \h </w:instrText>
      </w:r>
      <w:r w:rsidR="007834D4" w:rsidRPr="00881688">
        <w:rPr>
          <w:noProof/>
          <w:sz w:val="18"/>
        </w:rPr>
      </w:r>
      <w:r w:rsidR="00881688" w:rsidRPr="008C57C7">
        <w:rPr>
          <w:noProof/>
          <w:sz w:val="18"/>
        </w:rPr>
        <w:fldChar w:fldCharType="separate"/>
      </w:r>
      <w:r w:rsidR="007834D4">
        <w:rPr>
          <w:noProof/>
          <w:sz w:val="18"/>
        </w:rPr>
        <w:t>11</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OFFER—Nebraska Seed—Leonard—Empro—Texaco—Dickinson</w:t>
      </w:r>
      <w:r w:rsidRPr="008C57C7">
        <w:rPr>
          <w:noProof/>
          <w:sz w:val="18"/>
        </w:rPr>
        <w:tab/>
      </w:r>
      <w:r w:rsidR="00881688" w:rsidRPr="008C57C7">
        <w:rPr>
          <w:noProof/>
          <w:sz w:val="18"/>
        </w:rPr>
        <w:fldChar w:fldCharType="begin"/>
      </w:r>
      <w:r w:rsidRPr="008C57C7">
        <w:rPr>
          <w:noProof/>
          <w:sz w:val="18"/>
        </w:rPr>
        <w:instrText xml:space="preserve"> PAGEREF _Toc122512876 \h </w:instrText>
      </w:r>
      <w:r w:rsidR="007834D4" w:rsidRPr="00881688">
        <w:rPr>
          <w:noProof/>
          <w:sz w:val="18"/>
        </w:rPr>
      </w:r>
      <w:r w:rsidR="00881688" w:rsidRPr="008C57C7">
        <w:rPr>
          <w:noProof/>
          <w:sz w:val="18"/>
        </w:rPr>
        <w:fldChar w:fldCharType="separate"/>
      </w:r>
      <w:r w:rsidR="007834D4">
        <w:rPr>
          <w:noProof/>
          <w:sz w:val="18"/>
        </w:rPr>
        <w:t>11</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Option Contracts</w:t>
      </w:r>
      <w:r w:rsidRPr="008C57C7">
        <w:rPr>
          <w:noProof/>
          <w:sz w:val="18"/>
        </w:rPr>
        <w:tab/>
      </w:r>
      <w:r w:rsidR="00881688" w:rsidRPr="008C57C7">
        <w:rPr>
          <w:noProof/>
          <w:sz w:val="18"/>
        </w:rPr>
        <w:fldChar w:fldCharType="begin"/>
      </w:r>
      <w:r w:rsidRPr="008C57C7">
        <w:rPr>
          <w:noProof/>
          <w:sz w:val="18"/>
        </w:rPr>
        <w:instrText xml:space="preserve"> PAGEREF _Toc122512877 \h </w:instrText>
      </w:r>
      <w:r w:rsidR="007834D4" w:rsidRPr="00881688">
        <w:rPr>
          <w:noProof/>
          <w:sz w:val="18"/>
        </w:rPr>
      </w:r>
      <w:r w:rsidR="00881688" w:rsidRPr="008C57C7">
        <w:rPr>
          <w:noProof/>
          <w:sz w:val="18"/>
        </w:rPr>
        <w:fldChar w:fldCharType="separate"/>
      </w:r>
      <w:r w:rsidR="007834D4">
        <w:rPr>
          <w:noProof/>
          <w:sz w:val="18"/>
        </w:rPr>
        <w:t>12</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ACCEPTANCE—Ardente—Carhill—Leonard—White—Petterson—Hobbs</w:t>
      </w:r>
      <w:r w:rsidRPr="008C57C7">
        <w:rPr>
          <w:noProof/>
          <w:sz w:val="18"/>
        </w:rPr>
        <w:tab/>
      </w:r>
      <w:r w:rsidR="00881688" w:rsidRPr="008C57C7">
        <w:rPr>
          <w:noProof/>
          <w:sz w:val="18"/>
        </w:rPr>
        <w:fldChar w:fldCharType="begin"/>
      </w:r>
      <w:r w:rsidRPr="008C57C7">
        <w:rPr>
          <w:noProof/>
          <w:sz w:val="18"/>
        </w:rPr>
        <w:instrText xml:space="preserve"> PAGEREF _Toc122512878 \h </w:instrText>
      </w:r>
      <w:r w:rsidR="007834D4" w:rsidRPr="00881688">
        <w:rPr>
          <w:noProof/>
          <w:sz w:val="18"/>
        </w:rPr>
      </w:r>
      <w:r w:rsidR="00881688" w:rsidRPr="008C57C7">
        <w:rPr>
          <w:noProof/>
          <w:sz w:val="18"/>
        </w:rPr>
        <w:fldChar w:fldCharType="separate"/>
      </w:r>
      <w:r w:rsidR="007834D4">
        <w:rPr>
          <w:noProof/>
          <w:sz w:val="18"/>
        </w:rPr>
        <w:t>12</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Mirror Image Rule:</w:t>
      </w:r>
      <w:r w:rsidRPr="008C57C7">
        <w:rPr>
          <w:noProof/>
          <w:sz w:val="18"/>
        </w:rPr>
        <w:tab/>
      </w:r>
      <w:r w:rsidR="00881688" w:rsidRPr="008C57C7">
        <w:rPr>
          <w:noProof/>
          <w:sz w:val="18"/>
        </w:rPr>
        <w:fldChar w:fldCharType="begin"/>
      </w:r>
      <w:r w:rsidRPr="008C57C7">
        <w:rPr>
          <w:noProof/>
          <w:sz w:val="18"/>
        </w:rPr>
        <w:instrText xml:space="preserve"> PAGEREF _Toc122512879 \h </w:instrText>
      </w:r>
      <w:r w:rsidR="007834D4" w:rsidRPr="00881688">
        <w:rPr>
          <w:noProof/>
          <w:sz w:val="18"/>
        </w:rPr>
      </w:r>
      <w:r w:rsidR="00881688" w:rsidRPr="008C57C7">
        <w:rPr>
          <w:noProof/>
          <w:sz w:val="18"/>
        </w:rPr>
        <w:fldChar w:fldCharType="separate"/>
      </w:r>
      <w:r w:rsidR="007834D4">
        <w:rPr>
          <w:noProof/>
          <w:sz w:val="18"/>
        </w:rPr>
        <w:t>12</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BATTLE OF THE FORMS—Step-Saver—Union Carbide—ProCD—Hill—Klocek—Specht—Register.com</w:t>
      </w:r>
      <w:r w:rsidRPr="008C57C7">
        <w:rPr>
          <w:noProof/>
          <w:sz w:val="18"/>
        </w:rPr>
        <w:tab/>
      </w:r>
      <w:r w:rsidR="00881688" w:rsidRPr="008C57C7">
        <w:rPr>
          <w:noProof/>
          <w:sz w:val="18"/>
        </w:rPr>
        <w:fldChar w:fldCharType="begin"/>
      </w:r>
      <w:r w:rsidRPr="008C57C7">
        <w:rPr>
          <w:noProof/>
          <w:sz w:val="18"/>
        </w:rPr>
        <w:instrText xml:space="preserve"> PAGEREF _Toc122512880 \h </w:instrText>
      </w:r>
      <w:r w:rsidR="007834D4" w:rsidRPr="00881688">
        <w:rPr>
          <w:noProof/>
          <w:sz w:val="18"/>
        </w:rPr>
      </w:r>
      <w:r w:rsidR="00881688" w:rsidRPr="008C57C7">
        <w:rPr>
          <w:noProof/>
          <w:sz w:val="18"/>
        </w:rPr>
        <w:fldChar w:fldCharType="separate"/>
      </w:r>
      <w:r w:rsidR="007834D4">
        <w:rPr>
          <w:noProof/>
          <w:sz w:val="18"/>
        </w:rPr>
        <w:t>13</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Exchanged Different (but-not-that-different) Forms Hypothetical</w:t>
      </w:r>
      <w:r w:rsidRPr="008C57C7">
        <w:rPr>
          <w:noProof/>
          <w:sz w:val="18"/>
        </w:rPr>
        <w:tab/>
      </w:r>
      <w:r w:rsidR="00881688" w:rsidRPr="008C57C7">
        <w:rPr>
          <w:noProof/>
          <w:sz w:val="18"/>
        </w:rPr>
        <w:fldChar w:fldCharType="begin"/>
      </w:r>
      <w:r w:rsidRPr="008C57C7">
        <w:rPr>
          <w:noProof/>
          <w:sz w:val="18"/>
        </w:rPr>
        <w:instrText xml:space="preserve"> PAGEREF _Toc122512881 \h </w:instrText>
      </w:r>
      <w:r w:rsidR="007834D4" w:rsidRPr="00881688">
        <w:rPr>
          <w:noProof/>
          <w:sz w:val="18"/>
        </w:rPr>
      </w:r>
      <w:r w:rsidR="00881688" w:rsidRPr="008C57C7">
        <w:rPr>
          <w:noProof/>
          <w:sz w:val="18"/>
        </w:rPr>
        <w:fldChar w:fldCharType="separate"/>
      </w:r>
      <w:r w:rsidR="007834D4">
        <w:rPr>
          <w:noProof/>
          <w:sz w:val="18"/>
        </w:rPr>
        <w:t>13</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GAP-FILLING—Raffles—Oswald—Sun Printing—Texaco—NY Central Iron—Wood</w:t>
      </w:r>
      <w:r w:rsidRPr="008C57C7">
        <w:rPr>
          <w:noProof/>
          <w:sz w:val="18"/>
        </w:rPr>
        <w:tab/>
      </w:r>
      <w:r w:rsidR="00881688" w:rsidRPr="008C57C7">
        <w:rPr>
          <w:noProof/>
          <w:sz w:val="18"/>
        </w:rPr>
        <w:fldChar w:fldCharType="begin"/>
      </w:r>
      <w:r w:rsidRPr="008C57C7">
        <w:rPr>
          <w:noProof/>
          <w:sz w:val="18"/>
        </w:rPr>
        <w:instrText xml:space="preserve"> PAGEREF _Toc122512882 \h </w:instrText>
      </w:r>
      <w:r w:rsidR="007834D4" w:rsidRPr="00881688">
        <w:rPr>
          <w:noProof/>
          <w:sz w:val="18"/>
        </w:rPr>
      </w:r>
      <w:r w:rsidR="00881688" w:rsidRPr="008C57C7">
        <w:rPr>
          <w:noProof/>
          <w:sz w:val="18"/>
        </w:rPr>
        <w:fldChar w:fldCharType="separate"/>
      </w:r>
      <w:r w:rsidR="007834D4">
        <w:rPr>
          <w:noProof/>
          <w:sz w:val="18"/>
        </w:rPr>
        <w:t>15</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Dairy “Mid-Week” Delivery Hypothetical</w:t>
      </w:r>
      <w:r w:rsidRPr="008C57C7">
        <w:rPr>
          <w:noProof/>
          <w:sz w:val="18"/>
        </w:rPr>
        <w:tab/>
      </w:r>
      <w:r w:rsidR="00881688" w:rsidRPr="008C57C7">
        <w:rPr>
          <w:noProof/>
          <w:sz w:val="18"/>
        </w:rPr>
        <w:fldChar w:fldCharType="begin"/>
      </w:r>
      <w:r w:rsidRPr="008C57C7">
        <w:rPr>
          <w:noProof/>
          <w:sz w:val="18"/>
        </w:rPr>
        <w:instrText xml:space="preserve"> PAGEREF _Toc122512883 \h </w:instrText>
      </w:r>
      <w:r w:rsidR="007834D4" w:rsidRPr="00881688">
        <w:rPr>
          <w:noProof/>
          <w:sz w:val="18"/>
        </w:rPr>
      </w:r>
      <w:r w:rsidR="00881688" w:rsidRPr="008C57C7">
        <w:rPr>
          <w:noProof/>
          <w:sz w:val="18"/>
        </w:rPr>
        <w:fldChar w:fldCharType="separate"/>
      </w:r>
      <w:r w:rsidR="007834D4">
        <w:rPr>
          <w:noProof/>
          <w:sz w:val="18"/>
        </w:rPr>
        <w:t>15</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EXTRINSIC EVIDENCE—Thompson—Brown—Pacific Gas—Trident Center</w:t>
      </w:r>
      <w:r w:rsidRPr="008C57C7">
        <w:rPr>
          <w:noProof/>
          <w:sz w:val="18"/>
        </w:rPr>
        <w:tab/>
      </w:r>
      <w:r w:rsidR="00881688" w:rsidRPr="008C57C7">
        <w:rPr>
          <w:noProof/>
          <w:sz w:val="18"/>
        </w:rPr>
        <w:fldChar w:fldCharType="begin"/>
      </w:r>
      <w:r w:rsidRPr="008C57C7">
        <w:rPr>
          <w:noProof/>
          <w:sz w:val="18"/>
        </w:rPr>
        <w:instrText xml:space="preserve"> PAGEREF _Toc122512884 \h </w:instrText>
      </w:r>
      <w:r w:rsidR="007834D4" w:rsidRPr="00881688">
        <w:rPr>
          <w:noProof/>
          <w:sz w:val="18"/>
        </w:rPr>
      </w:r>
      <w:r w:rsidR="00881688" w:rsidRPr="008C57C7">
        <w:rPr>
          <w:noProof/>
          <w:sz w:val="18"/>
        </w:rPr>
        <w:fldChar w:fldCharType="separate"/>
      </w:r>
      <w:r w:rsidR="007834D4">
        <w:rPr>
          <w:noProof/>
          <w:sz w:val="18"/>
        </w:rPr>
        <w:t>16</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THE DOCTRINE OF CONSIDERATION</w:t>
      </w:r>
      <w:r w:rsidRPr="008C57C7">
        <w:rPr>
          <w:noProof/>
          <w:sz w:val="18"/>
        </w:rPr>
        <w:tab/>
      </w:r>
      <w:r w:rsidR="00881688" w:rsidRPr="008C57C7">
        <w:rPr>
          <w:noProof/>
          <w:sz w:val="18"/>
        </w:rPr>
        <w:fldChar w:fldCharType="begin"/>
      </w:r>
      <w:r w:rsidRPr="008C57C7">
        <w:rPr>
          <w:noProof/>
          <w:sz w:val="18"/>
        </w:rPr>
        <w:instrText xml:space="preserve"> PAGEREF _Toc122512885 \h </w:instrText>
      </w:r>
      <w:r w:rsidR="007834D4" w:rsidRPr="00881688">
        <w:rPr>
          <w:noProof/>
          <w:sz w:val="18"/>
        </w:rPr>
      </w:r>
      <w:r w:rsidR="00881688" w:rsidRPr="008C57C7">
        <w:rPr>
          <w:noProof/>
          <w:sz w:val="18"/>
        </w:rPr>
        <w:fldChar w:fldCharType="separate"/>
      </w:r>
      <w:r w:rsidR="007834D4">
        <w:rPr>
          <w:noProof/>
          <w:sz w:val="18"/>
        </w:rPr>
        <w:t>17</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GRATUITOUS—Johnson—Hamer</w:t>
      </w:r>
      <w:r w:rsidRPr="008C57C7">
        <w:rPr>
          <w:noProof/>
          <w:sz w:val="18"/>
        </w:rPr>
        <w:tab/>
      </w:r>
      <w:r w:rsidR="00881688" w:rsidRPr="008C57C7">
        <w:rPr>
          <w:noProof/>
          <w:sz w:val="18"/>
        </w:rPr>
        <w:fldChar w:fldCharType="begin"/>
      </w:r>
      <w:r w:rsidRPr="008C57C7">
        <w:rPr>
          <w:noProof/>
          <w:sz w:val="18"/>
        </w:rPr>
        <w:instrText xml:space="preserve"> PAGEREF _Toc122512886 \h </w:instrText>
      </w:r>
      <w:r w:rsidR="007834D4" w:rsidRPr="00881688">
        <w:rPr>
          <w:noProof/>
          <w:sz w:val="18"/>
        </w:rPr>
      </w:r>
      <w:r w:rsidR="00881688" w:rsidRPr="008C57C7">
        <w:rPr>
          <w:noProof/>
          <w:sz w:val="18"/>
        </w:rPr>
        <w:fldChar w:fldCharType="separate"/>
      </w:r>
      <w:r w:rsidR="007834D4">
        <w:rPr>
          <w:noProof/>
          <w:sz w:val="18"/>
        </w:rPr>
        <w:t>17</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The Purple Envelope Hypothetical</w:t>
      </w:r>
      <w:r w:rsidRPr="008C57C7">
        <w:rPr>
          <w:noProof/>
          <w:sz w:val="18"/>
        </w:rPr>
        <w:tab/>
      </w:r>
      <w:r w:rsidR="00881688" w:rsidRPr="008C57C7">
        <w:rPr>
          <w:noProof/>
          <w:sz w:val="18"/>
        </w:rPr>
        <w:fldChar w:fldCharType="begin"/>
      </w:r>
      <w:r w:rsidRPr="008C57C7">
        <w:rPr>
          <w:noProof/>
          <w:sz w:val="18"/>
        </w:rPr>
        <w:instrText xml:space="preserve"> PAGEREF _Toc122512887 \h </w:instrText>
      </w:r>
      <w:r w:rsidR="007834D4" w:rsidRPr="00881688">
        <w:rPr>
          <w:noProof/>
          <w:sz w:val="18"/>
        </w:rPr>
      </w:r>
      <w:r w:rsidR="00881688" w:rsidRPr="008C57C7">
        <w:rPr>
          <w:noProof/>
          <w:sz w:val="18"/>
        </w:rPr>
        <w:fldChar w:fldCharType="separate"/>
      </w:r>
      <w:r w:rsidR="007834D4">
        <w:rPr>
          <w:noProof/>
          <w:sz w:val="18"/>
        </w:rPr>
        <w:t>17</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MORAL CONSIDERATION—Mills—Webb</w:t>
      </w:r>
      <w:r w:rsidRPr="008C57C7">
        <w:rPr>
          <w:noProof/>
          <w:sz w:val="18"/>
        </w:rPr>
        <w:tab/>
      </w:r>
      <w:r w:rsidR="00881688" w:rsidRPr="008C57C7">
        <w:rPr>
          <w:noProof/>
          <w:sz w:val="18"/>
        </w:rPr>
        <w:fldChar w:fldCharType="begin"/>
      </w:r>
      <w:r w:rsidRPr="008C57C7">
        <w:rPr>
          <w:noProof/>
          <w:sz w:val="18"/>
        </w:rPr>
        <w:instrText xml:space="preserve"> PAGEREF _Toc122512888 \h </w:instrText>
      </w:r>
      <w:r w:rsidR="007834D4" w:rsidRPr="00881688">
        <w:rPr>
          <w:noProof/>
          <w:sz w:val="18"/>
        </w:rPr>
      </w:r>
      <w:r w:rsidR="00881688" w:rsidRPr="008C57C7">
        <w:rPr>
          <w:noProof/>
          <w:sz w:val="18"/>
        </w:rPr>
        <w:fldChar w:fldCharType="separate"/>
      </w:r>
      <w:r w:rsidR="007834D4">
        <w:rPr>
          <w:noProof/>
          <w:sz w:val="18"/>
        </w:rPr>
        <w:t>17</w:t>
      </w:r>
      <w:r w:rsidR="00881688" w:rsidRPr="008C57C7">
        <w:rPr>
          <w:noProof/>
          <w:sz w:val="18"/>
        </w:rPr>
        <w:fldChar w:fldCharType="end"/>
      </w:r>
    </w:p>
    <w:p w:rsidR="008C57C7" w:rsidRPr="008C57C7" w:rsidRDefault="008C57C7" w:rsidP="008C57C7">
      <w:pPr>
        <w:pStyle w:val="TOC2"/>
        <w:tabs>
          <w:tab w:val="right" w:leader="dot" w:pos="10790"/>
        </w:tabs>
        <w:contextualSpacing/>
        <w:rPr>
          <w:rFonts w:eastAsiaTheme="minorEastAsia"/>
          <w:smallCaps w:val="0"/>
          <w:noProof/>
          <w:sz w:val="18"/>
          <w:szCs w:val="24"/>
        </w:rPr>
      </w:pPr>
      <w:r w:rsidRPr="008C57C7">
        <w:rPr>
          <w:noProof/>
          <w:sz w:val="18"/>
        </w:rPr>
        <w:t>MODIFICATION—Stilk—Alaska Packers</w:t>
      </w:r>
      <w:r w:rsidRPr="008C57C7">
        <w:rPr>
          <w:noProof/>
          <w:sz w:val="18"/>
        </w:rPr>
        <w:tab/>
      </w:r>
      <w:r w:rsidR="00881688" w:rsidRPr="008C57C7">
        <w:rPr>
          <w:noProof/>
          <w:sz w:val="18"/>
        </w:rPr>
        <w:fldChar w:fldCharType="begin"/>
      </w:r>
      <w:r w:rsidRPr="008C57C7">
        <w:rPr>
          <w:noProof/>
          <w:sz w:val="18"/>
        </w:rPr>
        <w:instrText xml:space="preserve"> PAGEREF _Toc122512889 \h </w:instrText>
      </w:r>
      <w:r w:rsidR="007834D4" w:rsidRPr="00881688">
        <w:rPr>
          <w:noProof/>
          <w:sz w:val="18"/>
        </w:rPr>
      </w:r>
      <w:r w:rsidR="00881688" w:rsidRPr="008C57C7">
        <w:rPr>
          <w:noProof/>
          <w:sz w:val="18"/>
        </w:rPr>
        <w:fldChar w:fldCharType="separate"/>
      </w:r>
      <w:r w:rsidR="007834D4">
        <w:rPr>
          <w:noProof/>
          <w:sz w:val="18"/>
        </w:rPr>
        <w:t>18</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Tricky Fishermen Hypothetical</w:t>
      </w:r>
      <w:r w:rsidRPr="008C57C7">
        <w:rPr>
          <w:noProof/>
          <w:sz w:val="18"/>
        </w:rPr>
        <w:tab/>
      </w:r>
      <w:r w:rsidR="00881688" w:rsidRPr="008C57C7">
        <w:rPr>
          <w:noProof/>
          <w:sz w:val="18"/>
        </w:rPr>
        <w:fldChar w:fldCharType="begin"/>
      </w:r>
      <w:r w:rsidRPr="008C57C7">
        <w:rPr>
          <w:noProof/>
          <w:sz w:val="18"/>
        </w:rPr>
        <w:instrText xml:space="preserve"> PAGEREF _Toc122512890 \h </w:instrText>
      </w:r>
      <w:r w:rsidR="007834D4" w:rsidRPr="00881688">
        <w:rPr>
          <w:noProof/>
          <w:sz w:val="18"/>
        </w:rPr>
      </w:r>
      <w:r w:rsidR="00881688" w:rsidRPr="008C57C7">
        <w:rPr>
          <w:noProof/>
          <w:sz w:val="18"/>
        </w:rPr>
        <w:fldChar w:fldCharType="separate"/>
      </w:r>
      <w:r w:rsidR="007834D4">
        <w:rPr>
          <w:noProof/>
          <w:sz w:val="18"/>
        </w:rPr>
        <w:t>18</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PROMISSORY ESTOPPEL—Ricketts—Baird—Drennan—Goodman—Hoffman</w:t>
      </w:r>
      <w:r w:rsidRPr="008C57C7">
        <w:rPr>
          <w:noProof/>
          <w:sz w:val="18"/>
        </w:rPr>
        <w:tab/>
      </w:r>
      <w:r w:rsidR="00881688" w:rsidRPr="008C57C7">
        <w:rPr>
          <w:noProof/>
          <w:sz w:val="18"/>
        </w:rPr>
        <w:fldChar w:fldCharType="begin"/>
      </w:r>
      <w:r w:rsidRPr="008C57C7">
        <w:rPr>
          <w:noProof/>
          <w:sz w:val="18"/>
        </w:rPr>
        <w:instrText xml:space="preserve"> PAGEREF _Toc122512891 \h </w:instrText>
      </w:r>
      <w:r w:rsidR="007834D4" w:rsidRPr="00881688">
        <w:rPr>
          <w:noProof/>
          <w:sz w:val="18"/>
        </w:rPr>
      </w:r>
      <w:r w:rsidR="00881688" w:rsidRPr="008C57C7">
        <w:rPr>
          <w:noProof/>
          <w:sz w:val="18"/>
        </w:rPr>
        <w:fldChar w:fldCharType="separate"/>
      </w:r>
      <w:r w:rsidR="007834D4">
        <w:rPr>
          <w:noProof/>
          <w:sz w:val="18"/>
        </w:rPr>
        <w:t>18</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Reliance Damages</w:t>
      </w:r>
      <w:r w:rsidRPr="008C57C7">
        <w:rPr>
          <w:noProof/>
          <w:sz w:val="18"/>
        </w:rPr>
        <w:tab/>
      </w:r>
      <w:r w:rsidR="00881688" w:rsidRPr="008C57C7">
        <w:rPr>
          <w:noProof/>
          <w:sz w:val="18"/>
        </w:rPr>
        <w:fldChar w:fldCharType="begin"/>
      </w:r>
      <w:r w:rsidRPr="008C57C7">
        <w:rPr>
          <w:noProof/>
          <w:sz w:val="18"/>
        </w:rPr>
        <w:instrText xml:space="preserve"> PAGEREF _Toc122512892 \h </w:instrText>
      </w:r>
      <w:r w:rsidR="007834D4" w:rsidRPr="00881688">
        <w:rPr>
          <w:noProof/>
          <w:sz w:val="18"/>
        </w:rPr>
      </w:r>
      <w:r w:rsidR="00881688" w:rsidRPr="008C57C7">
        <w:rPr>
          <w:noProof/>
          <w:sz w:val="18"/>
        </w:rPr>
        <w:fldChar w:fldCharType="separate"/>
      </w:r>
      <w:r w:rsidR="007834D4">
        <w:rPr>
          <w:noProof/>
          <w:sz w:val="18"/>
        </w:rPr>
        <w:t>19</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BREACH &amp; CONSTRUCTIVE CONDITION—Jacob &amp; Youngs—Groves—Peevyhouse</w:t>
      </w:r>
      <w:r w:rsidRPr="008C57C7">
        <w:rPr>
          <w:noProof/>
          <w:sz w:val="18"/>
        </w:rPr>
        <w:tab/>
      </w:r>
      <w:r w:rsidR="00881688" w:rsidRPr="008C57C7">
        <w:rPr>
          <w:noProof/>
          <w:sz w:val="18"/>
        </w:rPr>
        <w:fldChar w:fldCharType="begin"/>
      </w:r>
      <w:r w:rsidRPr="008C57C7">
        <w:rPr>
          <w:noProof/>
          <w:sz w:val="18"/>
        </w:rPr>
        <w:instrText xml:space="preserve"> PAGEREF _Toc122512893 \h </w:instrText>
      </w:r>
      <w:r w:rsidR="007834D4" w:rsidRPr="00881688">
        <w:rPr>
          <w:noProof/>
          <w:sz w:val="18"/>
        </w:rPr>
      </w:r>
      <w:r w:rsidR="00881688" w:rsidRPr="008C57C7">
        <w:rPr>
          <w:noProof/>
          <w:sz w:val="18"/>
        </w:rPr>
        <w:fldChar w:fldCharType="separate"/>
      </w:r>
      <w:r w:rsidR="007834D4">
        <w:rPr>
          <w:noProof/>
          <w:sz w:val="18"/>
        </w:rPr>
        <w:t>19</w:t>
      </w:r>
      <w:r w:rsidR="00881688" w:rsidRPr="008C57C7">
        <w:rPr>
          <w:noProof/>
          <w:sz w:val="18"/>
        </w:rPr>
        <w:fldChar w:fldCharType="end"/>
      </w:r>
    </w:p>
    <w:p w:rsidR="008C57C7" w:rsidRPr="008C57C7" w:rsidRDefault="008C57C7" w:rsidP="008C57C7">
      <w:pPr>
        <w:pStyle w:val="TOC1"/>
        <w:tabs>
          <w:tab w:val="right" w:leader="dot" w:pos="10790"/>
        </w:tabs>
        <w:contextualSpacing/>
        <w:rPr>
          <w:rFonts w:eastAsiaTheme="minorEastAsia"/>
          <w:b w:val="0"/>
          <w:bCs w:val="0"/>
          <w:caps w:val="0"/>
          <w:noProof/>
          <w:sz w:val="18"/>
          <w:szCs w:val="24"/>
        </w:rPr>
      </w:pPr>
      <w:r w:rsidRPr="008C57C7">
        <w:rPr>
          <w:noProof/>
          <w:sz w:val="18"/>
        </w:rPr>
        <w:t>FAILURE OF BASIC ASSUMPTION—Sherwood— Laidlaw— Nester—Wood—Paradine—Taylor</w:t>
      </w:r>
      <w:r w:rsidRPr="008C57C7">
        <w:rPr>
          <w:noProof/>
          <w:sz w:val="18"/>
        </w:rPr>
        <w:tab/>
      </w:r>
      <w:r w:rsidR="00881688" w:rsidRPr="008C57C7">
        <w:rPr>
          <w:noProof/>
          <w:sz w:val="18"/>
        </w:rPr>
        <w:fldChar w:fldCharType="begin"/>
      </w:r>
      <w:r w:rsidRPr="008C57C7">
        <w:rPr>
          <w:noProof/>
          <w:sz w:val="18"/>
        </w:rPr>
        <w:instrText xml:space="preserve"> PAGEREF _Toc122512894 \h </w:instrText>
      </w:r>
      <w:r w:rsidR="007834D4" w:rsidRPr="00881688">
        <w:rPr>
          <w:noProof/>
          <w:sz w:val="18"/>
        </w:rPr>
      </w:r>
      <w:r w:rsidR="00881688" w:rsidRPr="008C57C7">
        <w:rPr>
          <w:noProof/>
          <w:sz w:val="18"/>
        </w:rPr>
        <w:fldChar w:fldCharType="separate"/>
      </w:r>
      <w:r w:rsidR="007834D4">
        <w:rPr>
          <w:noProof/>
          <w:sz w:val="18"/>
        </w:rPr>
        <w:t>20</w:t>
      </w:r>
      <w:r w:rsidR="00881688" w:rsidRPr="008C57C7">
        <w:rPr>
          <w:noProof/>
          <w:sz w:val="18"/>
        </w:rPr>
        <w:fldChar w:fldCharType="end"/>
      </w:r>
    </w:p>
    <w:p w:rsidR="008C57C7" w:rsidRPr="008C57C7" w:rsidRDefault="008C57C7" w:rsidP="008C57C7">
      <w:pPr>
        <w:pStyle w:val="TOC3"/>
        <w:tabs>
          <w:tab w:val="right" w:leader="dot" w:pos="10790"/>
        </w:tabs>
        <w:contextualSpacing/>
        <w:rPr>
          <w:rFonts w:eastAsiaTheme="minorEastAsia"/>
          <w:i w:val="0"/>
          <w:iCs w:val="0"/>
          <w:noProof/>
          <w:sz w:val="18"/>
          <w:szCs w:val="24"/>
        </w:rPr>
      </w:pPr>
      <w:r w:rsidRPr="008C57C7">
        <w:rPr>
          <w:noProof/>
          <w:sz w:val="18"/>
        </w:rPr>
        <w:t>Expert Painter Mis-quotes Price</w:t>
      </w:r>
      <w:r w:rsidRPr="008C57C7">
        <w:rPr>
          <w:noProof/>
          <w:sz w:val="18"/>
        </w:rPr>
        <w:tab/>
      </w:r>
      <w:r w:rsidR="00881688" w:rsidRPr="008C57C7">
        <w:rPr>
          <w:noProof/>
          <w:sz w:val="18"/>
        </w:rPr>
        <w:fldChar w:fldCharType="begin"/>
      </w:r>
      <w:r w:rsidRPr="008C57C7">
        <w:rPr>
          <w:noProof/>
          <w:sz w:val="18"/>
        </w:rPr>
        <w:instrText xml:space="preserve"> PAGEREF _Toc122512895 \h </w:instrText>
      </w:r>
      <w:r w:rsidR="007834D4" w:rsidRPr="00881688">
        <w:rPr>
          <w:noProof/>
          <w:sz w:val="18"/>
        </w:rPr>
      </w:r>
      <w:r w:rsidR="00881688" w:rsidRPr="008C57C7">
        <w:rPr>
          <w:noProof/>
          <w:sz w:val="18"/>
        </w:rPr>
        <w:fldChar w:fldCharType="separate"/>
      </w:r>
      <w:r w:rsidR="007834D4">
        <w:rPr>
          <w:noProof/>
          <w:sz w:val="18"/>
        </w:rPr>
        <w:t>20</w:t>
      </w:r>
      <w:r w:rsidR="00881688" w:rsidRPr="008C57C7">
        <w:rPr>
          <w:noProof/>
          <w:sz w:val="18"/>
        </w:rPr>
        <w:fldChar w:fldCharType="end"/>
      </w:r>
    </w:p>
    <w:p w:rsidR="00D45DFC" w:rsidRPr="009629B5" w:rsidRDefault="00881688" w:rsidP="008C57C7">
      <w:pPr>
        <w:spacing w:after="80"/>
        <w:contextualSpacing/>
        <w:rPr>
          <w:rFonts w:eastAsiaTheme="majorEastAsia" w:cstheme="majorBidi"/>
          <w:sz w:val="20"/>
          <w:szCs w:val="28"/>
        </w:rPr>
      </w:pPr>
      <w:r w:rsidRPr="008C57C7">
        <w:rPr>
          <w:sz w:val="18"/>
        </w:rPr>
        <w:fldChar w:fldCharType="end"/>
      </w:r>
    </w:p>
    <w:p w:rsidR="00236E74" w:rsidRPr="009629B5" w:rsidRDefault="009832E7" w:rsidP="00D45DFC">
      <w:pPr>
        <w:pStyle w:val="Heading1"/>
        <w:spacing w:before="0" w:after="0"/>
        <w:contextualSpacing/>
        <w:rPr>
          <w:sz w:val="24"/>
        </w:rPr>
      </w:pPr>
      <w:bookmarkStart w:id="0" w:name="_Toc122512854"/>
      <w:r w:rsidRPr="009629B5">
        <w:rPr>
          <w:sz w:val="24"/>
        </w:rPr>
        <w:t>NATURE &amp; LIMITS OF CONTRACT</w:t>
      </w:r>
      <w:bookmarkEnd w:id="0"/>
    </w:p>
    <w:p w:rsidR="006C3FD6" w:rsidRPr="009629B5" w:rsidRDefault="006C3FD6" w:rsidP="006C3FD6">
      <w:pPr>
        <w:rPr>
          <w:sz w:val="20"/>
        </w:rPr>
      </w:pPr>
      <w:r w:rsidRPr="009629B5">
        <w:rPr>
          <w:rStyle w:val="Heading6Char"/>
          <w:sz w:val="20"/>
        </w:rPr>
        <w:t>Contract</w:t>
      </w:r>
      <w:r w:rsidRPr="009629B5">
        <w:rPr>
          <w:sz w:val="20"/>
        </w:rPr>
        <w:t>—legally enforceable promise</w:t>
      </w:r>
    </w:p>
    <w:p w:rsidR="009832E7" w:rsidRPr="009629B5" w:rsidRDefault="009832E7" w:rsidP="009832E7">
      <w:pPr>
        <w:pStyle w:val="Heading2"/>
        <w:rPr>
          <w:i/>
          <w:sz w:val="24"/>
        </w:rPr>
      </w:pPr>
      <w:bookmarkStart w:id="1" w:name="_Toc122512855"/>
      <w:r w:rsidRPr="009629B5">
        <w:rPr>
          <w:caps/>
          <w:sz w:val="24"/>
        </w:rPr>
        <w:t>Unconscionability</w:t>
      </w:r>
      <w:r w:rsidRPr="009629B5">
        <w:rPr>
          <w:sz w:val="24"/>
        </w:rPr>
        <w:t>—</w:t>
      </w:r>
      <w:r w:rsidRPr="009629B5">
        <w:rPr>
          <w:i/>
          <w:sz w:val="24"/>
        </w:rPr>
        <w:t>Shaheen</w:t>
      </w:r>
      <w:r w:rsidRPr="009629B5">
        <w:rPr>
          <w:sz w:val="24"/>
        </w:rPr>
        <w:t>—</w:t>
      </w:r>
      <w:r w:rsidRPr="009629B5">
        <w:rPr>
          <w:i/>
          <w:sz w:val="24"/>
        </w:rPr>
        <w:t>Baby M</w:t>
      </w:r>
      <w:bookmarkEnd w:id="1"/>
    </w:p>
    <w:p w:rsidR="006C3FD6" w:rsidRPr="009629B5" w:rsidRDefault="002459D3" w:rsidP="00B45476">
      <w:pPr>
        <w:pStyle w:val="Heading6"/>
        <w:rPr>
          <w:sz w:val="20"/>
        </w:rPr>
      </w:pPr>
      <w:r w:rsidRPr="009629B5">
        <w:rPr>
          <w:sz w:val="20"/>
        </w:rPr>
        <w:t>Shaheen v Knight—1957</w:t>
      </w:r>
    </w:p>
    <w:p w:rsidR="008312FB" w:rsidRPr="009629B5" w:rsidRDefault="00F4325A" w:rsidP="008312FB">
      <w:pPr>
        <w:ind w:left="720"/>
        <w:rPr>
          <w:i/>
          <w:sz w:val="20"/>
        </w:rPr>
      </w:pPr>
      <w:r w:rsidRPr="009629B5">
        <w:rPr>
          <w:i/>
          <w:sz w:val="20"/>
        </w:rPr>
        <w:t>Ineffective v</w:t>
      </w:r>
      <w:r w:rsidR="008312FB" w:rsidRPr="009629B5">
        <w:rPr>
          <w:i/>
          <w:sz w:val="20"/>
        </w:rPr>
        <w:t>asectomy</w:t>
      </w:r>
      <w:r w:rsidRPr="009629B5">
        <w:rPr>
          <w:i/>
          <w:sz w:val="20"/>
        </w:rPr>
        <w:t>—sues for the expenses of raising a child</w:t>
      </w:r>
      <w:r w:rsidR="008312FB" w:rsidRPr="009629B5">
        <w:rPr>
          <w:i/>
          <w:sz w:val="20"/>
        </w:rPr>
        <w:t xml:space="preserve"> </w:t>
      </w:r>
    </w:p>
    <w:p w:rsidR="00A34B70" w:rsidRPr="009629B5" w:rsidRDefault="00A34B70" w:rsidP="00A34B70">
      <w:pPr>
        <w:ind w:left="720"/>
        <w:rPr>
          <w:sz w:val="20"/>
        </w:rPr>
      </w:pPr>
      <w:r w:rsidRPr="009629B5">
        <w:rPr>
          <w:sz w:val="20"/>
        </w:rPr>
        <w:t>Knight’s argument: paying expenses AND letting him keep the baby make him MORE THAN WHOLE</w:t>
      </w:r>
    </w:p>
    <w:p w:rsidR="0037511A" w:rsidRPr="009629B5" w:rsidRDefault="0037511A" w:rsidP="008312FB">
      <w:pPr>
        <w:ind w:left="720"/>
        <w:rPr>
          <w:sz w:val="20"/>
        </w:rPr>
      </w:pPr>
      <w:r w:rsidRPr="009629B5">
        <w:rPr>
          <w:b/>
          <w:sz w:val="20"/>
        </w:rPr>
        <w:t xml:space="preserve">Holding: </w:t>
      </w:r>
      <w:r w:rsidRPr="009629B5">
        <w:rPr>
          <w:sz w:val="20"/>
        </w:rPr>
        <w:t>Shaheen suffered no damages (birth of a normal child)</w:t>
      </w:r>
      <w:r w:rsidRPr="009629B5">
        <w:rPr>
          <w:sz w:val="20"/>
        </w:rPr>
        <w:sym w:font="Wingdings" w:char="F0E0"/>
      </w:r>
      <w:r w:rsidRPr="009629B5">
        <w:rPr>
          <w:sz w:val="20"/>
        </w:rPr>
        <w:t xml:space="preserve"> cannot recover</w:t>
      </w:r>
    </w:p>
    <w:p w:rsidR="008312FB" w:rsidRPr="009629B5" w:rsidRDefault="008312FB" w:rsidP="00B45476">
      <w:pPr>
        <w:pStyle w:val="Heading6"/>
        <w:rPr>
          <w:sz w:val="20"/>
        </w:rPr>
      </w:pPr>
      <w:r w:rsidRPr="009629B5">
        <w:rPr>
          <w:sz w:val="20"/>
        </w:rPr>
        <w:t>Baby “M”—1987</w:t>
      </w:r>
    </w:p>
    <w:p w:rsidR="0037511A" w:rsidRPr="009629B5" w:rsidRDefault="0037511A" w:rsidP="0037511A">
      <w:pPr>
        <w:ind w:left="720"/>
        <w:rPr>
          <w:i/>
          <w:sz w:val="20"/>
        </w:rPr>
      </w:pPr>
      <w:r w:rsidRPr="009629B5">
        <w:rPr>
          <w:i/>
          <w:sz w:val="20"/>
        </w:rPr>
        <w:t>Whiteheads and Sterns contract around adoption laws—Mrs. Whitehead decides she doesn’t want to give up Baby “M” after all</w:t>
      </w:r>
    </w:p>
    <w:p w:rsidR="0037511A" w:rsidRPr="009629B5" w:rsidRDefault="0037511A" w:rsidP="0037511A">
      <w:pPr>
        <w:ind w:left="720"/>
        <w:rPr>
          <w:sz w:val="20"/>
        </w:rPr>
      </w:pPr>
      <w:r w:rsidRPr="009629B5">
        <w:rPr>
          <w:b/>
          <w:sz w:val="20"/>
        </w:rPr>
        <w:t xml:space="preserve">Narrow Holding: </w:t>
      </w:r>
      <w:r w:rsidRPr="009629B5">
        <w:rPr>
          <w:sz w:val="20"/>
        </w:rPr>
        <w:t>clearly falls under (and violates) adoption law: no money for babies</w:t>
      </w:r>
      <w:r w:rsidRPr="009629B5">
        <w:rPr>
          <w:sz w:val="20"/>
        </w:rPr>
        <w:sym w:font="Wingdings" w:char="F0E0"/>
      </w:r>
      <w:r w:rsidRPr="009629B5">
        <w:rPr>
          <w:sz w:val="20"/>
        </w:rPr>
        <w:t xml:space="preserve"> unenforceable</w:t>
      </w:r>
    </w:p>
    <w:p w:rsidR="008312FB" w:rsidRPr="009629B5" w:rsidRDefault="0037511A" w:rsidP="00A34B70">
      <w:pPr>
        <w:ind w:left="720"/>
        <w:rPr>
          <w:sz w:val="20"/>
        </w:rPr>
      </w:pPr>
      <w:r w:rsidRPr="009629B5">
        <w:rPr>
          <w:b/>
          <w:sz w:val="20"/>
        </w:rPr>
        <w:t>Broad Holding</w:t>
      </w:r>
      <w:r w:rsidRPr="009629B5">
        <w:rPr>
          <w:sz w:val="20"/>
        </w:rPr>
        <w:t>: courts will not enforce a contract that is against public policy</w:t>
      </w:r>
    </w:p>
    <w:p w:rsidR="009832E7" w:rsidRPr="009629B5" w:rsidRDefault="009832E7" w:rsidP="009832E7">
      <w:pPr>
        <w:pStyle w:val="Heading2"/>
        <w:rPr>
          <w:sz w:val="24"/>
        </w:rPr>
      </w:pPr>
      <w:bookmarkStart w:id="2" w:name="_Toc122512856"/>
      <w:r w:rsidRPr="009629B5">
        <w:rPr>
          <w:caps/>
          <w:sz w:val="24"/>
        </w:rPr>
        <w:t>Capacity, Duress, &amp; Undue Influence</w:t>
      </w:r>
      <w:r w:rsidR="00B45476" w:rsidRPr="009629B5">
        <w:rPr>
          <w:sz w:val="24"/>
        </w:rPr>
        <w:t>—Odorizzi—</w:t>
      </w:r>
      <w:r w:rsidRPr="009629B5">
        <w:rPr>
          <w:sz w:val="24"/>
        </w:rPr>
        <w:t>Williams</w:t>
      </w:r>
      <w:bookmarkEnd w:id="2"/>
    </w:p>
    <w:p w:rsidR="00A34B70" w:rsidRPr="009629B5" w:rsidRDefault="00A34B70" w:rsidP="00B45476">
      <w:pPr>
        <w:pStyle w:val="Heading6"/>
        <w:rPr>
          <w:sz w:val="20"/>
        </w:rPr>
      </w:pPr>
      <w:r w:rsidRPr="009629B5">
        <w:rPr>
          <w:sz w:val="20"/>
        </w:rPr>
        <w:t>When the law should not enforce a bargain:</w:t>
      </w:r>
    </w:p>
    <w:p w:rsidR="00A34B70" w:rsidRPr="009629B5" w:rsidRDefault="00A34B70" w:rsidP="000C5F32">
      <w:pPr>
        <w:pStyle w:val="ListParagraph"/>
        <w:numPr>
          <w:ilvl w:val="0"/>
          <w:numId w:val="2"/>
        </w:numPr>
        <w:rPr>
          <w:sz w:val="20"/>
        </w:rPr>
      </w:pPr>
      <w:r w:rsidRPr="009629B5">
        <w:rPr>
          <w:sz w:val="20"/>
        </w:rPr>
        <w:t>Lacking capacity</w:t>
      </w:r>
    </w:p>
    <w:p w:rsidR="00A34B70" w:rsidRPr="009629B5" w:rsidRDefault="00A34B70" w:rsidP="000C5F32">
      <w:pPr>
        <w:pStyle w:val="ListParagraph"/>
        <w:numPr>
          <w:ilvl w:val="0"/>
          <w:numId w:val="2"/>
        </w:numPr>
        <w:rPr>
          <w:sz w:val="20"/>
        </w:rPr>
      </w:pPr>
      <w:r w:rsidRPr="009629B5">
        <w:rPr>
          <w:sz w:val="20"/>
        </w:rPr>
        <w:t>Not an exercise of free will</w:t>
      </w:r>
    </w:p>
    <w:p w:rsidR="00A34B70" w:rsidRPr="009629B5" w:rsidRDefault="00A34B70" w:rsidP="000C5F32">
      <w:pPr>
        <w:pStyle w:val="ListParagraph"/>
        <w:numPr>
          <w:ilvl w:val="0"/>
          <w:numId w:val="2"/>
        </w:numPr>
        <w:rPr>
          <w:sz w:val="20"/>
        </w:rPr>
      </w:pPr>
      <w:r w:rsidRPr="009629B5">
        <w:rPr>
          <w:sz w:val="20"/>
        </w:rPr>
        <w:t>Contrary to public policy</w:t>
      </w:r>
    </w:p>
    <w:p w:rsidR="0052693A" w:rsidRPr="009629B5" w:rsidRDefault="0052693A" w:rsidP="00B45476">
      <w:pPr>
        <w:pStyle w:val="Heading6"/>
        <w:rPr>
          <w:sz w:val="20"/>
        </w:rPr>
      </w:pPr>
      <w:r w:rsidRPr="009629B5">
        <w:rPr>
          <w:sz w:val="20"/>
        </w:rPr>
        <w:t>Definitions:</w:t>
      </w:r>
    </w:p>
    <w:p w:rsidR="00146399" w:rsidRPr="009629B5" w:rsidRDefault="00146399" w:rsidP="000C5F32">
      <w:pPr>
        <w:pStyle w:val="ListParagraph"/>
        <w:numPr>
          <w:ilvl w:val="0"/>
          <w:numId w:val="5"/>
        </w:numPr>
        <w:contextualSpacing w:val="0"/>
        <w:rPr>
          <w:sz w:val="20"/>
        </w:rPr>
      </w:pPr>
      <w:r w:rsidRPr="009629B5">
        <w:rPr>
          <w:b/>
          <w:sz w:val="20"/>
        </w:rPr>
        <w:t xml:space="preserve">Unconscionability: </w:t>
      </w:r>
      <w:r w:rsidRPr="009629B5">
        <w:rPr>
          <w:sz w:val="20"/>
        </w:rPr>
        <w:t xml:space="preserve">“The principle is one of the prevention of oppression and unfair surprise” (UCC Comment)—hybrid between subject and process—doctrine of fairness and </w:t>
      </w:r>
      <w:r w:rsidRPr="009629B5">
        <w:rPr>
          <w:i/>
          <w:sz w:val="20"/>
        </w:rPr>
        <w:t>necessarily</w:t>
      </w:r>
      <w:r w:rsidRPr="009629B5">
        <w:rPr>
          <w:sz w:val="20"/>
        </w:rPr>
        <w:t xml:space="preserve"> subjective</w:t>
      </w:r>
    </w:p>
    <w:p w:rsidR="002B4E8D" w:rsidRPr="009629B5" w:rsidRDefault="002B4E8D" w:rsidP="002B4E8D">
      <w:pPr>
        <w:pStyle w:val="ListParagraph"/>
        <w:contextualSpacing w:val="0"/>
        <w:rPr>
          <w:sz w:val="20"/>
        </w:rPr>
      </w:pPr>
      <w:r w:rsidRPr="009629B5">
        <w:rPr>
          <w:sz w:val="20"/>
        </w:rPr>
        <w:t xml:space="preserve">“… has generally been recognized to include an </w:t>
      </w:r>
      <w:r w:rsidRPr="009629B5">
        <w:rPr>
          <w:b/>
          <w:sz w:val="20"/>
        </w:rPr>
        <w:t>absence of meaningful choice</w:t>
      </w:r>
      <w:r w:rsidRPr="009629B5">
        <w:rPr>
          <w:sz w:val="20"/>
        </w:rPr>
        <w:t xml:space="preserve"> on the part of one of the parties together with contract terms which are </w:t>
      </w:r>
      <w:r w:rsidRPr="009629B5">
        <w:rPr>
          <w:b/>
          <w:sz w:val="20"/>
        </w:rPr>
        <w:t xml:space="preserve">unreasonably favorable </w:t>
      </w:r>
      <w:r w:rsidRPr="009629B5">
        <w:rPr>
          <w:sz w:val="20"/>
        </w:rPr>
        <w:t>to the other party.”—</w:t>
      </w:r>
      <w:r w:rsidRPr="009629B5">
        <w:rPr>
          <w:i/>
          <w:sz w:val="20"/>
        </w:rPr>
        <w:t>Williams</w:t>
      </w:r>
      <w:r w:rsidRPr="009629B5">
        <w:rPr>
          <w:sz w:val="20"/>
        </w:rPr>
        <w:t xml:space="preserve"> </w:t>
      </w:r>
    </w:p>
    <w:p w:rsidR="0052693A" w:rsidRPr="009629B5" w:rsidRDefault="0052693A" w:rsidP="000C5F32">
      <w:pPr>
        <w:pStyle w:val="ListParagraph"/>
        <w:numPr>
          <w:ilvl w:val="0"/>
          <w:numId w:val="5"/>
        </w:numPr>
        <w:contextualSpacing w:val="0"/>
        <w:rPr>
          <w:sz w:val="20"/>
        </w:rPr>
      </w:pPr>
      <w:r w:rsidRPr="009629B5">
        <w:rPr>
          <w:b/>
          <w:sz w:val="20"/>
        </w:rPr>
        <w:t>Duress</w:t>
      </w:r>
      <w:r w:rsidRPr="009629B5">
        <w:rPr>
          <w:sz w:val="20"/>
        </w:rPr>
        <w:t>:  “unlawful confinement of another’s person, or relatives, or property, which causes him to consent to a transaction through fear.”</w:t>
      </w:r>
    </w:p>
    <w:p w:rsidR="0052693A" w:rsidRPr="009629B5" w:rsidRDefault="0052693A" w:rsidP="000C5F32">
      <w:pPr>
        <w:pStyle w:val="ListParagraph"/>
        <w:numPr>
          <w:ilvl w:val="0"/>
          <w:numId w:val="5"/>
        </w:numPr>
        <w:rPr>
          <w:sz w:val="20"/>
        </w:rPr>
      </w:pPr>
      <w:r w:rsidRPr="009629B5">
        <w:rPr>
          <w:b/>
          <w:sz w:val="20"/>
        </w:rPr>
        <w:t>Menace</w:t>
      </w:r>
      <w:r w:rsidRPr="009629B5">
        <w:rPr>
          <w:sz w:val="20"/>
        </w:rPr>
        <w:t>: (in California) “threat of duress or threat of injury to the person, property, or character of another</w:t>
      </w:r>
    </w:p>
    <w:p w:rsidR="0052693A" w:rsidRPr="009629B5" w:rsidRDefault="0052693A" w:rsidP="000C5F32">
      <w:pPr>
        <w:numPr>
          <w:ilvl w:val="0"/>
          <w:numId w:val="3"/>
        </w:numPr>
        <w:ind w:left="1440"/>
        <w:rPr>
          <w:b/>
          <w:sz w:val="20"/>
        </w:rPr>
      </w:pPr>
      <w:r w:rsidRPr="009629B5">
        <w:rPr>
          <w:b/>
          <w:sz w:val="20"/>
        </w:rPr>
        <w:t>Neither duress or menace because “a threat to take a legal action is not unlawful unless the party making the threat knows the falsity of his claim”</w:t>
      </w:r>
    </w:p>
    <w:p w:rsidR="0052693A" w:rsidRPr="009629B5" w:rsidRDefault="0052693A" w:rsidP="000C5F32">
      <w:pPr>
        <w:pStyle w:val="ListParagraph"/>
        <w:numPr>
          <w:ilvl w:val="0"/>
          <w:numId w:val="5"/>
        </w:numPr>
        <w:rPr>
          <w:sz w:val="20"/>
        </w:rPr>
      </w:pPr>
      <w:r w:rsidRPr="009629B5">
        <w:rPr>
          <w:b/>
          <w:sz w:val="20"/>
        </w:rPr>
        <w:t>Actual Fraud:</w:t>
      </w:r>
      <w:r w:rsidRPr="009629B5">
        <w:rPr>
          <w:sz w:val="20"/>
        </w:rPr>
        <w:t xml:space="preserve"> conscious misrepresentation, or concealment, or non-disclosure of a material fact which induces the innocent party to enter the contract.   </w:t>
      </w:r>
    </w:p>
    <w:p w:rsidR="0052693A" w:rsidRPr="009629B5" w:rsidRDefault="0052693A" w:rsidP="000C5F32">
      <w:pPr>
        <w:numPr>
          <w:ilvl w:val="0"/>
          <w:numId w:val="3"/>
        </w:numPr>
        <w:ind w:left="1440"/>
        <w:rPr>
          <w:sz w:val="20"/>
        </w:rPr>
      </w:pPr>
      <w:r w:rsidRPr="009629B5">
        <w:rPr>
          <w:sz w:val="20"/>
        </w:rPr>
        <w:t>No actual fraud—“While the amended complaint charged misrepresentation, it failed to assert the elements of knowledge of falsity, intent to induce reliance, and justifiable reliance.”</w:t>
      </w:r>
    </w:p>
    <w:p w:rsidR="0052693A" w:rsidRPr="009629B5" w:rsidRDefault="0052693A" w:rsidP="000C5F32">
      <w:pPr>
        <w:pStyle w:val="ListParagraph"/>
        <w:numPr>
          <w:ilvl w:val="0"/>
          <w:numId w:val="5"/>
        </w:numPr>
        <w:rPr>
          <w:sz w:val="20"/>
        </w:rPr>
      </w:pPr>
      <w:r w:rsidRPr="009629B5">
        <w:rPr>
          <w:b/>
          <w:sz w:val="20"/>
        </w:rPr>
        <w:t>Constructive Fraud</w:t>
      </w:r>
      <w:r w:rsidRPr="009629B5">
        <w:rPr>
          <w:sz w:val="20"/>
        </w:rPr>
        <w:t>: breach of duty by one in a confidential or fiduciary relationship to another which induces justifiable reliance by the latter to his prejudice</w:t>
      </w:r>
    </w:p>
    <w:p w:rsidR="0052693A" w:rsidRPr="009629B5" w:rsidRDefault="0052693A" w:rsidP="000C5F32">
      <w:pPr>
        <w:numPr>
          <w:ilvl w:val="0"/>
          <w:numId w:val="3"/>
        </w:numPr>
        <w:ind w:left="1440"/>
        <w:rPr>
          <w:sz w:val="20"/>
        </w:rPr>
      </w:pPr>
      <w:r w:rsidRPr="009629B5">
        <w:rPr>
          <w:sz w:val="20"/>
        </w:rPr>
        <w:t>No constructive fraud—“no presumption of a confidential relationship arises from the bare fact that parties to a contract are employer and employee”…”especially here where the parties were negotiating to bring about a termination of their relationship”</w:t>
      </w:r>
    </w:p>
    <w:p w:rsidR="0052693A" w:rsidRPr="009629B5" w:rsidRDefault="0052693A" w:rsidP="000C5F32">
      <w:pPr>
        <w:numPr>
          <w:ilvl w:val="0"/>
          <w:numId w:val="3"/>
        </w:numPr>
        <w:ind w:left="1440"/>
        <w:rPr>
          <w:sz w:val="20"/>
        </w:rPr>
      </w:pPr>
      <w:r w:rsidRPr="009629B5">
        <w:rPr>
          <w:sz w:val="20"/>
        </w:rPr>
        <w:t>No misapprehension</w:t>
      </w:r>
      <w:r w:rsidRPr="009629B5">
        <w:rPr>
          <w:sz w:val="20"/>
        </w:rPr>
        <w:sym w:font="Wingdings" w:char="F0E0"/>
      </w:r>
      <w:r w:rsidRPr="009629B5">
        <w:rPr>
          <w:sz w:val="20"/>
        </w:rPr>
        <w:t>no mistake</w:t>
      </w:r>
    </w:p>
    <w:p w:rsidR="0052693A" w:rsidRPr="009629B5" w:rsidRDefault="0052693A" w:rsidP="000C5F32">
      <w:pPr>
        <w:pStyle w:val="ListParagraph"/>
        <w:numPr>
          <w:ilvl w:val="0"/>
          <w:numId w:val="5"/>
        </w:numPr>
        <w:rPr>
          <w:sz w:val="20"/>
        </w:rPr>
      </w:pPr>
      <w:r w:rsidRPr="009629B5">
        <w:rPr>
          <w:b/>
          <w:sz w:val="20"/>
        </w:rPr>
        <w:t>Undue influence:</w:t>
      </w:r>
      <w:r w:rsidRPr="009629B5">
        <w:rPr>
          <w:sz w:val="20"/>
        </w:rPr>
        <w:t xml:space="preserve">  “In essence undue influence involves the use of </w:t>
      </w:r>
      <w:r w:rsidRPr="009629B5">
        <w:rPr>
          <w:i/>
          <w:sz w:val="20"/>
        </w:rPr>
        <w:t>excessive pressure</w:t>
      </w:r>
      <w:r w:rsidRPr="009629B5">
        <w:rPr>
          <w:sz w:val="20"/>
        </w:rPr>
        <w:t xml:space="preserve"> to persuade one </w:t>
      </w:r>
      <w:r w:rsidRPr="009629B5">
        <w:rPr>
          <w:i/>
          <w:sz w:val="20"/>
        </w:rPr>
        <w:t>vulnerable</w:t>
      </w:r>
      <w:r w:rsidRPr="009629B5">
        <w:rPr>
          <w:sz w:val="20"/>
        </w:rPr>
        <w:t xml:space="preserve"> to such pressure, pressure applied by a </w:t>
      </w:r>
      <w:r w:rsidRPr="009629B5">
        <w:rPr>
          <w:i/>
          <w:sz w:val="20"/>
        </w:rPr>
        <w:t>dominant</w:t>
      </w:r>
      <w:r w:rsidRPr="009629B5">
        <w:rPr>
          <w:sz w:val="20"/>
        </w:rPr>
        <w:t xml:space="preserve"> subject to a subservient object.” Requires: </w:t>
      </w:r>
    </w:p>
    <w:p w:rsidR="0052693A" w:rsidRPr="009629B5" w:rsidRDefault="0052693A" w:rsidP="000C5F32">
      <w:pPr>
        <w:pStyle w:val="NoSpacing"/>
        <w:numPr>
          <w:ilvl w:val="0"/>
          <w:numId w:val="4"/>
        </w:numPr>
        <w:ind w:left="1800"/>
        <w:rPr>
          <w:b/>
          <w:sz w:val="20"/>
        </w:rPr>
      </w:pPr>
      <w:r w:rsidRPr="009629B5">
        <w:rPr>
          <w:b/>
          <w:sz w:val="20"/>
        </w:rPr>
        <w:t xml:space="preserve">Deficient state of mind—plaintiff claims mental and emotional stress of arrest </w:t>
      </w:r>
      <w:r w:rsidRPr="009629B5">
        <w:rPr>
          <w:i/>
          <w:sz w:val="20"/>
        </w:rPr>
        <w:t>(“lessened capacity”)</w:t>
      </w:r>
    </w:p>
    <w:p w:rsidR="0052693A" w:rsidRPr="009629B5" w:rsidRDefault="0052693A" w:rsidP="000C5F32">
      <w:pPr>
        <w:pStyle w:val="NoSpacing"/>
        <w:numPr>
          <w:ilvl w:val="0"/>
          <w:numId w:val="4"/>
        </w:numPr>
        <w:ind w:left="1800"/>
        <w:rPr>
          <w:b/>
          <w:sz w:val="20"/>
        </w:rPr>
      </w:pPr>
      <w:r w:rsidRPr="009629B5">
        <w:rPr>
          <w:b/>
          <w:sz w:val="20"/>
        </w:rPr>
        <w:t>Application of excessive strength, general pattern:</w:t>
      </w:r>
    </w:p>
    <w:p w:rsidR="0052693A" w:rsidRPr="009629B5" w:rsidRDefault="0052693A" w:rsidP="000C5F32">
      <w:pPr>
        <w:pStyle w:val="NoSpacing"/>
        <w:numPr>
          <w:ilvl w:val="1"/>
          <w:numId w:val="4"/>
        </w:numPr>
        <w:ind w:left="2520"/>
        <w:rPr>
          <w:sz w:val="20"/>
        </w:rPr>
      </w:pPr>
      <w:r w:rsidRPr="009629B5">
        <w:rPr>
          <w:sz w:val="20"/>
        </w:rPr>
        <w:t>Discussion of the transaction at an unusual or inappropriate time</w:t>
      </w:r>
    </w:p>
    <w:p w:rsidR="0052693A" w:rsidRPr="009629B5" w:rsidRDefault="0052693A" w:rsidP="000C5F32">
      <w:pPr>
        <w:pStyle w:val="NoSpacing"/>
        <w:numPr>
          <w:ilvl w:val="1"/>
          <w:numId w:val="4"/>
        </w:numPr>
        <w:ind w:left="2520"/>
        <w:rPr>
          <w:sz w:val="20"/>
        </w:rPr>
      </w:pPr>
      <w:r w:rsidRPr="009629B5">
        <w:rPr>
          <w:sz w:val="20"/>
        </w:rPr>
        <w:t>Consummation of the transaction in an unusual place</w:t>
      </w:r>
    </w:p>
    <w:p w:rsidR="0052693A" w:rsidRPr="009629B5" w:rsidRDefault="0052693A" w:rsidP="000C5F32">
      <w:pPr>
        <w:pStyle w:val="NoSpacing"/>
        <w:numPr>
          <w:ilvl w:val="1"/>
          <w:numId w:val="4"/>
        </w:numPr>
        <w:ind w:left="2520"/>
        <w:rPr>
          <w:sz w:val="20"/>
        </w:rPr>
      </w:pPr>
      <w:r w:rsidRPr="009629B5">
        <w:rPr>
          <w:sz w:val="20"/>
        </w:rPr>
        <w:t>Insistent demand that the business be finished at once</w:t>
      </w:r>
    </w:p>
    <w:p w:rsidR="0052693A" w:rsidRPr="009629B5" w:rsidRDefault="0052693A" w:rsidP="000C5F32">
      <w:pPr>
        <w:pStyle w:val="NoSpacing"/>
        <w:numPr>
          <w:ilvl w:val="1"/>
          <w:numId w:val="4"/>
        </w:numPr>
        <w:ind w:left="2520"/>
        <w:rPr>
          <w:sz w:val="20"/>
        </w:rPr>
      </w:pPr>
      <w:r w:rsidRPr="009629B5">
        <w:rPr>
          <w:sz w:val="20"/>
        </w:rPr>
        <w:t>Extreme emphasis on untoward consequences of delay</w:t>
      </w:r>
    </w:p>
    <w:p w:rsidR="0052693A" w:rsidRPr="009629B5" w:rsidRDefault="0052693A" w:rsidP="000C5F32">
      <w:pPr>
        <w:pStyle w:val="NoSpacing"/>
        <w:numPr>
          <w:ilvl w:val="1"/>
          <w:numId w:val="4"/>
        </w:numPr>
        <w:ind w:left="2520"/>
        <w:rPr>
          <w:sz w:val="20"/>
        </w:rPr>
      </w:pPr>
      <w:r w:rsidRPr="009629B5">
        <w:rPr>
          <w:sz w:val="20"/>
        </w:rPr>
        <w:t>The use of multiple persuaders by the dominant side against a single servient party</w:t>
      </w:r>
    </w:p>
    <w:p w:rsidR="0052693A" w:rsidRPr="009629B5" w:rsidRDefault="0052693A" w:rsidP="000C5F32">
      <w:pPr>
        <w:pStyle w:val="NoSpacing"/>
        <w:numPr>
          <w:ilvl w:val="1"/>
          <w:numId w:val="4"/>
        </w:numPr>
        <w:ind w:left="2520"/>
        <w:rPr>
          <w:sz w:val="20"/>
        </w:rPr>
      </w:pPr>
      <w:r w:rsidRPr="009629B5">
        <w:rPr>
          <w:sz w:val="20"/>
        </w:rPr>
        <w:t>Absence of third-party advisers to the subservient party</w:t>
      </w:r>
    </w:p>
    <w:p w:rsidR="0052693A" w:rsidRPr="009629B5" w:rsidRDefault="0052693A" w:rsidP="000C5F32">
      <w:pPr>
        <w:pStyle w:val="NoSpacing"/>
        <w:numPr>
          <w:ilvl w:val="1"/>
          <w:numId w:val="4"/>
        </w:numPr>
        <w:ind w:left="2520"/>
        <w:rPr>
          <w:sz w:val="20"/>
        </w:rPr>
      </w:pPr>
      <w:r w:rsidRPr="009629B5">
        <w:rPr>
          <w:sz w:val="20"/>
        </w:rPr>
        <w:t>Statements that there is no time to consult financial advisers or attorneys</w:t>
      </w:r>
    </w:p>
    <w:p w:rsidR="00A34B70" w:rsidRPr="009629B5" w:rsidRDefault="0052693A" w:rsidP="000C5F32">
      <w:pPr>
        <w:pStyle w:val="NoSpacing"/>
        <w:numPr>
          <w:ilvl w:val="0"/>
          <w:numId w:val="4"/>
        </w:numPr>
        <w:spacing w:after="120"/>
        <w:ind w:left="1800"/>
        <w:rPr>
          <w:sz w:val="20"/>
        </w:rPr>
      </w:pPr>
      <w:r w:rsidRPr="009629B5">
        <w:rPr>
          <w:sz w:val="20"/>
        </w:rPr>
        <w:t xml:space="preserve">Can be either </w:t>
      </w:r>
      <w:r w:rsidRPr="009629B5">
        <w:rPr>
          <w:b/>
          <w:sz w:val="20"/>
        </w:rPr>
        <w:t>PROCESS</w:t>
      </w:r>
      <w:r w:rsidRPr="009629B5">
        <w:rPr>
          <w:sz w:val="20"/>
        </w:rPr>
        <w:t xml:space="preserve"> (if the agreement was entered under questionable circumstances) or </w:t>
      </w:r>
      <w:r w:rsidRPr="009629B5">
        <w:rPr>
          <w:b/>
          <w:sz w:val="20"/>
        </w:rPr>
        <w:t>SUBSTANTIVE</w:t>
      </w:r>
      <w:r w:rsidRPr="009629B5">
        <w:rPr>
          <w:sz w:val="20"/>
        </w:rPr>
        <w:t xml:space="preserve"> (assuming fair process, was the agreement overly biased?)</w:t>
      </w:r>
    </w:p>
    <w:p w:rsidR="00146399" w:rsidRPr="009629B5" w:rsidRDefault="00146399" w:rsidP="00146399">
      <w:pPr>
        <w:rPr>
          <w:sz w:val="20"/>
        </w:rPr>
      </w:pPr>
      <w:r w:rsidRPr="009629B5">
        <w:rPr>
          <w:b/>
          <w:sz w:val="20"/>
        </w:rPr>
        <w:t>***UNCONSCIONABILITY, DURESS, UNDUE INFLUENCE, and GUARDIANSHIP are void—MINOR and INTOXICATION are voidable</w:t>
      </w:r>
    </w:p>
    <w:p w:rsidR="0052693A" w:rsidRPr="009629B5" w:rsidRDefault="0052693A" w:rsidP="00B45476">
      <w:pPr>
        <w:pStyle w:val="Heading6"/>
        <w:rPr>
          <w:sz w:val="20"/>
        </w:rPr>
      </w:pPr>
      <w:r w:rsidRPr="009629B5">
        <w:rPr>
          <w:sz w:val="20"/>
        </w:rPr>
        <w:t>Odorizzi v Bloomfield School District—1966</w:t>
      </w:r>
    </w:p>
    <w:p w:rsidR="0052693A" w:rsidRPr="009629B5" w:rsidRDefault="0052693A" w:rsidP="00146399">
      <w:pPr>
        <w:ind w:left="720"/>
        <w:rPr>
          <w:i/>
          <w:sz w:val="20"/>
        </w:rPr>
      </w:pPr>
      <w:r w:rsidRPr="009629B5">
        <w:rPr>
          <w:i/>
          <w:sz w:val="20"/>
        </w:rPr>
        <w:t xml:space="preserve">Odorizzi gave resignation </w:t>
      </w:r>
      <w:r w:rsidR="003147EE" w:rsidRPr="009629B5">
        <w:rPr>
          <w:i/>
          <w:sz w:val="20"/>
        </w:rPr>
        <w:t>after being in jail—his employer came to his home and “gave him advice”</w:t>
      </w:r>
    </w:p>
    <w:p w:rsidR="00146399" w:rsidRPr="009629B5" w:rsidRDefault="00146399" w:rsidP="000C5F32">
      <w:pPr>
        <w:pStyle w:val="NoSpacing"/>
        <w:numPr>
          <w:ilvl w:val="0"/>
          <w:numId w:val="6"/>
        </w:numPr>
        <w:contextualSpacing/>
        <w:rPr>
          <w:sz w:val="20"/>
        </w:rPr>
      </w:pPr>
      <w:r w:rsidRPr="009629B5">
        <w:rPr>
          <w:b/>
          <w:sz w:val="20"/>
        </w:rPr>
        <w:t>Capacity—</w:t>
      </w:r>
      <w:r w:rsidRPr="009629B5">
        <w:rPr>
          <w:sz w:val="20"/>
        </w:rPr>
        <w:t>purely to do with the state of mind</w:t>
      </w:r>
    </w:p>
    <w:p w:rsidR="00146399" w:rsidRPr="009629B5" w:rsidRDefault="00146399" w:rsidP="000C5F32">
      <w:pPr>
        <w:pStyle w:val="NoSpacing"/>
        <w:numPr>
          <w:ilvl w:val="0"/>
          <w:numId w:val="6"/>
        </w:numPr>
        <w:contextualSpacing/>
        <w:rPr>
          <w:sz w:val="20"/>
        </w:rPr>
      </w:pPr>
      <w:r w:rsidRPr="009629B5">
        <w:rPr>
          <w:b/>
          <w:sz w:val="20"/>
        </w:rPr>
        <w:t>Duress—</w:t>
      </w:r>
      <w:r w:rsidRPr="009629B5">
        <w:rPr>
          <w:sz w:val="20"/>
        </w:rPr>
        <w:t>state of mind + an improper threat (i.e. The Godfather)</w:t>
      </w:r>
    </w:p>
    <w:p w:rsidR="00146399" w:rsidRPr="009629B5" w:rsidRDefault="00146399" w:rsidP="000C5F32">
      <w:pPr>
        <w:pStyle w:val="NoSpacing"/>
        <w:numPr>
          <w:ilvl w:val="0"/>
          <w:numId w:val="6"/>
        </w:numPr>
        <w:spacing w:after="120"/>
        <w:rPr>
          <w:sz w:val="20"/>
        </w:rPr>
      </w:pPr>
      <w:r w:rsidRPr="009629B5">
        <w:rPr>
          <w:b/>
          <w:sz w:val="20"/>
        </w:rPr>
        <w:t>Undue Influence—</w:t>
      </w:r>
      <w:r w:rsidRPr="009629B5">
        <w:rPr>
          <w:sz w:val="20"/>
        </w:rPr>
        <w:t>slightly less state of mind with a less aggressive threat—a “toxic mix” of minor lack of capacity and minimal duress</w:t>
      </w:r>
    </w:p>
    <w:p w:rsidR="00146399" w:rsidRPr="009629B5" w:rsidRDefault="00146399" w:rsidP="000C5F32">
      <w:pPr>
        <w:pStyle w:val="NoSpacing"/>
        <w:numPr>
          <w:ilvl w:val="1"/>
          <w:numId w:val="7"/>
        </w:numPr>
        <w:spacing w:after="120"/>
        <w:contextualSpacing/>
        <w:rPr>
          <w:sz w:val="20"/>
        </w:rPr>
      </w:pPr>
      <w:r w:rsidRPr="009629B5">
        <w:rPr>
          <w:sz w:val="20"/>
        </w:rPr>
        <w:t>Unusual place/time</w:t>
      </w:r>
    </w:p>
    <w:p w:rsidR="00146399" w:rsidRPr="009629B5" w:rsidRDefault="00146399" w:rsidP="000C5F32">
      <w:pPr>
        <w:pStyle w:val="NoSpacing"/>
        <w:numPr>
          <w:ilvl w:val="1"/>
          <w:numId w:val="7"/>
        </w:numPr>
        <w:spacing w:after="120"/>
        <w:contextualSpacing/>
        <w:rPr>
          <w:sz w:val="20"/>
        </w:rPr>
      </w:pPr>
      <w:r w:rsidRPr="009629B5">
        <w:rPr>
          <w:sz w:val="20"/>
        </w:rPr>
        <w:t>Immediate decision</w:t>
      </w:r>
    </w:p>
    <w:p w:rsidR="00146399" w:rsidRPr="009629B5" w:rsidRDefault="00146399" w:rsidP="000C5F32">
      <w:pPr>
        <w:pStyle w:val="NoSpacing"/>
        <w:numPr>
          <w:ilvl w:val="1"/>
          <w:numId w:val="7"/>
        </w:numPr>
        <w:spacing w:after="120"/>
        <w:contextualSpacing/>
        <w:rPr>
          <w:sz w:val="20"/>
        </w:rPr>
      </w:pPr>
      <w:r w:rsidRPr="009629B5">
        <w:rPr>
          <w:sz w:val="20"/>
        </w:rPr>
        <w:t>Consequences of delay</w:t>
      </w:r>
    </w:p>
    <w:p w:rsidR="00146399" w:rsidRPr="009629B5" w:rsidRDefault="00146399" w:rsidP="000C5F32">
      <w:pPr>
        <w:pStyle w:val="NoSpacing"/>
        <w:numPr>
          <w:ilvl w:val="1"/>
          <w:numId w:val="7"/>
        </w:numPr>
        <w:spacing w:after="120"/>
        <w:contextualSpacing/>
        <w:rPr>
          <w:sz w:val="20"/>
        </w:rPr>
      </w:pPr>
      <w:r w:rsidRPr="009629B5">
        <w:rPr>
          <w:sz w:val="20"/>
        </w:rPr>
        <w:t>Multiple persuaders</w:t>
      </w:r>
    </w:p>
    <w:p w:rsidR="00146399" w:rsidRPr="009629B5" w:rsidRDefault="00146399" w:rsidP="000C5F32">
      <w:pPr>
        <w:pStyle w:val="NoSpacing"/>
        <w:numPr>
          <w:ilvl w:val="1"/>
          <w:numId w:val="7"/>
        </w:numPr>
        <w:spacing w:after="120"/>
        <w:rPr>
          <w:sz w:val="20"/>
        </w:rPr>
      </w:pPr>
      <w:r w:rsidRPr="009629B5">
        <w:rPr>
          <w:sz w:val="20"/>
        </w:rPr>
        <w:t>No advisor to Odorizzi</w:t>
      </w:r>
    </w:p>
    <w:p w:rsidR="00146399" w:rsidRPr="009629B5" w:rsidRDefault="00146399" w:rsidP="00B45476">
      <w:pPr>
        <w:spacing w:after="0"/>
        <w:ind w:left="720"/>
        <w:contextualSpacing/>
        <w:rPr>
          <w:sz w:val="20"/>
        </w:rPr>
      </w:pPr>
      <w:r w:rsidRPr="009629B5">
        <w:rPr>
          <w:b/>
          <w:sz w:val="20"/>
        </w:rPr>
        <w:t xml:space="preserve">Holding:  </w:t>
      </w:r>
      <w:r w:rsidRPr="009629B5">
        <w:rPr>
          <w:sz w:val="20"/>
        </w:rPr>
        <w:t xml:space="preserve">threat of humiliation </w:t>
      </w:r>
      <w:r w:rsidRPr="009629B5">
        <w:rPr>
          <w:i/>
          <w:sz w:val="20"/>
        </w:rPr>
        <w:t>not enough for duress</w:t>
      </w:r>
      <w:r w:rsidRPr="009629B5">
        <w:rPr>
          <w:sz w:val="20"/>
        </w:rPr>
        <w:t xml:space="preserve"> but still “improper”, disturbed state of mind </w:t>
      </w:r>
      <w:r w:rsidRPr="009629B5">
        <w:rPr>
          <w:i/>
          <w:sz w:val="20"/>
        </w:rPr>
        <w:t>not enough for lack of capacity</w:t>
      </w:r>
      <w:r w:rsidRPr="009629B5">
        <w:rPr>
          <w:sz w:val="20"/>
        </w:rPr>
        <w:sym w:font="Wingdings" w:char="F0E0"/>
      </w:r>
      <w:r w:rsidRPr="009629B5">
        <w:rPr>
          <w:sz w:val="20"/>
        </w:rPr>
        <w:t xml:space="preserve"> called it “</w:t>
      </w:r>
      <w:r w:rsidRPr="009629B5">
        <w:rPr>
          <w:b/>
          <w:sz w:val="20"/>
        </w:rPr>
        <w:t>undue influence</w:t>
      </w:r>
      <w:r w:rsidRPr="009629B5">
        <w:rPr>
          <w:sz w:val="20"/>
        </w:rPr>
        <w:t xml:space="preserve">” </w:t>
      </w:r>
      <w:r w:rsidRPr="009629B5">
        <w:rPr>
          <w:sz w:val="20"/>
        </w:rPr>
        <w:sym w:font="Wingdings" w:char="F0E0"/>
      </w:r>
      <w:r w:rsidRPr="009629B5">
        <w:rPr>
          <w:sz w:val="20"/>
        </w:rPr>
        <w:t xml:space="preserve"> contract is voidable</w:t>
      </w:r>
    </w:p>
    <w:p w:rsidR="00B45476" w:rsidRPr="009629B5" w:rsidRDefault="00B45476" w:rsidP="00B45476">
      <w:pPr>
        <w:pStyle w:val="Heading3"/>
        <w:rPr>
          <w:sz w:val="20"/>
        </w:rPr>
      </w:pPr>
      <w:bookmarkStart w:id="3" w:name="_Toc122512857"/>
      <w:r w:rsidRPr="009629B5">
        <w:rPr>
          <w:sz w:val="20"/>
        </w:rPr>
        <w:t>New Orleans Hospital Hypothetical</w:t>
      </w:r>
      <w:bookmarkEnd w:id="3"/>
    </w:p>
    <w:p w:rsidR="00B45476" w:rsidRPr="009629B5" w:rsidRDefault="00B45476" w:rsidP="00B45476">
      <w:pPr>
        <w:rPr>
          <w:sz w:val="20"/>
        </w:rPr>
      </w:pPr>
      <w:r w:rsidRPr="009629B5">
        <w:rPr>
          <w:sz w:val="20"/>
        </w:rPr>
        <w:t xml:space="preserve">Selling water post-Katrina for $10/ bottle—“take it or leave it”—undue influence? </w:t>
      </w:r>
    </w:p>
    <w:p w:rsidR="00B45476" w:rsidRPr="009629B5" w:rsidRDefault="00B45476" w:rsidP="00B45476">
      <w:pPr>
        <w:pStyle w:val="Heading6"/>
        <w:rPr>
          <w:sz w:val="20"/>
        </w:rPr>
      </w:pPr>
      <w:r w:rsidRPr="009629B5">
        <w:rPr>
          <w:sz w:val="20"/>
        </w:rPr>
        <w:t>Williams v Walker Thomas Furniture—1965</w:t>
      </w:r>
    </w:p>
    <w:p w:rsidR="002B4E8D" w:rsidRPr="009629B5" w:rsidRDefault="00600345" w:rsidP="000C5F32">
      <w:pPr>
        <w:pStyle w:val="ListParagraph"/>
        <w:numPr>
          <w:ilvl w:val="0"/>
          <w:numId w:val="8"/>
        </w:numPr>
        <w:rPr>
          <w:sz w:val="20"/>
        </w:rPr>
      </w:pPr>
      <w:r w:rsidRPr="009629B5">
        <w:rPr>
          <w:b/>
          <w:sz w:val="20"/>
        </w:rPr>
        <w:t>PROCESS UNCONSCIONABILITY—</w:t>
      </w:r>
      <w:r w:rsidRPr="009629B5">
        <w:rPr>
          <w:sz w:val="20"/>
        </w:rPr>
        <w:t xml:space="preserve">is form contract enough to establish a “lack of meaningful choice” for Williams?  </w:t>
      </w:r>
    </w:p>
    <w:p w:rsidR="002B4E8D" w:rsidRPr="009629B5" w:rsidRDefault="00600345" w:rsidP="000C5F32">
      <w:pPr>
        <w:pStyle w:val="ListParagraph"/>
        <w:numPr>
          <w:ilvl w:val="1"/>
          <w:numId w:val="8"/>
        </w:numPr>
        <w:rPr>
          <w:b/>
          <w:sz w:val="20"/>
        </w:rPr>
      </w:pPr>
      <w:r w:rsidRPr="009629B5">
        <w:rPr>
          <w:sz w:val="20"/>
        </w:rPr>
        <w:t>Too complicated/expensive/onerous to bargain with each buyer individually</w:t>
      </w:r>
    </w:p>
    <w:p w:rsidR="002B4E8D" w:rsidRPr="009629B5" w:rsidRDefault="00600345" w:rsidP="000C5F32">
      <w:pPr>
        <w:pStyle w:val="ListParagraph"/>
        <w:numPr>
          <w:ilvl w:val="1"/>
          <w:numId w:val="8"/>
        </w:numPr>
        <w:rPr>
          <w:b/>
          <w:sz w:val="20"/>
        </w:rPr>
      </w:pPr>
      <w:r w:rsidRPr="009629B5">
        <w:rPr>
          <w:sz w:val="20"/>
        </w:rPr>
        <w:t>Sellers can compete on terms—</w:t>
      </w:r>
      <w:r w:rsidRPr="009629B5">
        <w:rPr>
          <w:i/>
          <w:sz w:val="20"/>
        </w:rPr>
        <w:t>pro-seller clause could mean lower prices for the buyer</w:t>
      </w:r>
    </w:p>
    <w:p w:rsidR="002B4E8D" w:rsidRPr="009629B5" w:rsidRDefault="00600345" w:rsidP="000C5F32">
      <w:pPr>
        <w:pStyle w:val="ListParagraph"/>
        <w:numPr>
          <w:ilvl w:val="1"/>
          <w:numId w:val="8"/>
        </w:numPr>
        <w:rPr>
          <w:b/>
          <w:sz w:val="20"/>
        </w:rPr>
      </w:pPr>
      <w:r w:rsidRPr="009629B5">
        <w:rPr>
          <w:sz w:val="20"/>
        </w:rPr>
        <w:t xml:space="preserve">Was the buyer victim of </w:t>
      </w:r>
      <w:r w:rsidRPr="009629B5">
        <w:rPr>
          <w:b/>
          <w:sz w:val="20"/>
        </w:rPr>
        <w:t>UNFAIR SURPRISE</w:t>
      </w:r>
      <w:r w:rsidRPr="009629B5">
        <w:rPr>
          <w:sz w:val="20"/>
        </w:rPr>
        <w:t>? (consider on a sliding scale</w:t>
      </w:r>
      <w:r w:rsidR="002B4E8D" w:rsidRPr="009629B5">
        <w:rPr>
          <w:sz w:val="20"/>
        </w:rPr>
        <w:t>)</w:t>
      </w:r>
    </w:p>
    <w:p w:rsidR="002B4E8D" w:rsidRPr="009629B5" w:rsidRDefault="00600345" w:rsidP="000C5F32">
      <w:pPr>
        <w:pStyle w:val="ListParagraph"/>
        <w:numPr>
          <w:ilvl w:val="2"/>
          <w:numId w:val="8"/>
        </w:numPr>
        <w:rPr>
          <w:b/>
          <w:sz w:val="20"/>
        </w:rPr>
      </w:pPr>
      <w:r w:rsidRPr="009629B5">
        <w:rPr>
          <w:sz w:val="20"/>
        </w:rPr>
        <w:t>Onerous term</w:t>
      </w:r>
      <w:r w:rsidR="002B4E8D" w:rsidRPr="009629B5">
        <w:rPr>
          <w:sz w:val="20"/>
        </w:rPr>
        <w:t>s</w:t>
      </w:r>
    </w:p>
    <w:p w:rsidR="002B4E8D" w:rsidRPr="009629B5" w:rsidRDefault="00600345" w:rsidP="000C5F32">
      <w:pPr>
        <w:pStyle w:val="ListParagraph"/>
        <w:numPr>
          <w:ilvl w:val="2"/>
          <w:numId w:val="8"/>
        </w:numPr>
        <w:rPr>
          <w:b/>
          <w:sz w:val="20"/>
        </w:rPr>
      </w:pPr>
      <w:r w:rsidRPr="009629B5">
        <w:rPr>
          <w:sz w:val="20"/>
        </w:rPr>
        <w:t>Less influence/opportunity to change the contract</w:t>
      </w:r>
    </w:p>
    <w:p w:rsidR="002B4E8D" w:rsidRPr="009629B5" w:rsidRDefault="00600345" w:rsidP="000C5F32">
      <w:pPr>
        <w:pStyle w:val="ListParagraph"/>
        <w:numPr>
          <w:ilvl w:val="2"/>
          <w:numId w:val="8"/>
        </w:numPr>
        <w:rPr>
          <w:b/>
          <w:sz w:val="20"/>
        </w:rPr>
      </w:pPr>
      <w:r w:rsidRPr="009629B5">
        <w:rPr>
          <w:sz w:val="20"/>
        </w:rPr>
        <w:t>Pressure from salespeople</w:t>
      </w:r>
    </w:p>
    <w:p w:rsidR="002B4E8D" w:rsidRPr="009629B5" w:rsidRDefault="00600345" w:rsidP="000C5F32">
      <w:pPr>
        <w:pStyle w:val="ListParagraph"/>
        <w:numPr>
          <w:ilvl w:val="0"/>
          <w:numId w:val="8"/>
        </w:numPr>
        <w:rPr>
          <w:sz w:val="20"/>
        </w:rPr>
      </w:pPr>
      <w:r w:rsidRPr="009629B5">
        <w:rPr>
          <w:b/>
          <w:sz w:val="20"/>
        </w:rPr>
        <w:t>SUBSTANCE UNCONSCIONABILITY—</w:t>
      </w:r>
      <w:r w:rsidRPr="009629B5">
        <w:rPr>
          <w:sz w:val="20"/>
        </w:rPr>
        <w:t>contract “commercially unreasonable” with “too little bargaining power”</w:t>
      </w:r>
      <w:r w:rsidR="002B4E8D" w:rsidRPr="009629B5">
        <w:rPr>
          <w:sz w:val="20"/>
        </w:rPr>
        <w:t>?</w:t>
      </w:r>
    </w:p>
    <w:p w:rsidR="002B4E8D" w:rsidRPr="009629B5" w:rsidRDefault="00600345" w:rsidP="000C5F32">
      <w:pPr>
        <w:pStyle w:val="ListParagraph"/>
        <w:numPr>
          <w:ilvl w:val="1"/>
          <w:numId w:val="8"/>
        </w:numPr>
        <w:rPr>
          <w:b/>
          <w:sz w:val="20"/>
        </w:rPr>
      </w:pPr>
      <w:r w:rsidRPr="009629B5">
        <w:rPr>
          <w:sz w:val="20"/>
        </w:rPr>
        <w:t>When do negotiations go so far as to constitute “absence of choice with unreasonable results”?</w:t>
      </w:r>
    </w:p>
    <w:p w:rsidR="00B45476" w:rsidRPr="009629B5" w:rsidRDefault="00600345" w:rsidP="000C5F32">
      <w:pPr>
        <w:pStyle w:val="ListParagraph"/>
        <w:numPr>
          <w:ilvl w:val="1"/>
          <w:numId w:val="8"/>
        </w:numPr>
        <w:rPr>
          <w:b/>
          <w:sz w:val="20"/>
        </w:rPr>
      </w:pPr>
      <w:r w:rsidRPr="009629B5">
        <w:rPr>
          <w:sz w:val="20"/>
        </w:rPr>
        <w:t>What would happen if courts threw out dragnet clauses in general?</w:t>
      </w:r>
    </w:p>
    <w:p w:rsidR="005F5361" w:rsidRPr="009629B5" w:rsidRDefault="005F5361" w:rsidP="005F5361">
      <w:pPr>
        <w:ind w:left="720"/>
        <w:rPr>
          <w:sz w:val="20"/>
        </w:rPr>
      </w:pPr>
      <w:r w:rsidRPr="009629B5">
        <w:rPr>
          <w:b/>
          <w:sz w:val="20"/>
        </w:rPr>
        <w:t xml:space="preserve">Holding: </w:t>
      </w:r>
      <w:r w:rsidRPr="009629B5">
        <w:rPr>
          <w:sz w:val="20"/>
        </w:rPr>
        <w:t xml:space="preserve">contract not unconscionable—Williams took advantage of the pro-buyer price </w:t>
      </w:r>
      <w:r w:rsidRPr="009629B5">
        <w:rPr>
          <w:sz w:val="20"/>
        </w:rPr>
        <w:sym w:font="Wingdings" w:char="F0E0"/>
      </w:r>
      <w:r w:rsidRPr="009629B5">
        <w:rPr>
          <w:sz w:val="20"/>
        </w:rPr>
        <w:t xml:space="preserve"> can fairly be subjected to the pro-seller dragnet clause</w:t>
      </w:r>
    </w:p>
    <w:p w:rsidR="009C72DB" w:rsidRPr="009629B5" w:rsidRDefault="009832E7" w:rsidP="009832E7">
      <w:pPr>
        <w:pStyle w:val="Heading1"/>
        <w:rPr>
          <w:caps/>
          <w:sz w:val="24"/>
        </w:rPr>
      </w:pPr>
      <w:bookmarkStart w:id="4" w:name="_Toc122512858"/>
      <w:r w:rsidRPr="009629B5">
        <w:rPr>
          <w:caps/>
          <w:sz w:val="24"/>
        </w:rPr>
        <w:t>Damages Default Rules</w:t>
      </w:r>
      <w:bookmarkEnd w:id="4"/>
    </w:p>
    <w:p w:rsidR="005F5361" w:rsidRPr="009629B5" w:rsidRDefault="005F5361" w:rsidP="000C5F32">
      <w:pPr>
        <w:pStyle w:val="ListParagraph"/>
        <w:numPr>
          <w:ilvl w:val="0"/>
          <w:numId w:val="9"/>
        </w:numPr>
        <w:ind w:left="360"/>
        <w:rPr>
          <w:sz w:val="20"/>
        </w:rPr>
      </w:pPr>
      <w:r w:rsidRPr="009629B5">
        <w:rPr>
          <w:b/>
          <w:caps/>
          <w:sz w:val="20"/>
        </w:rPr>
        <w:t>Expectation damages</w:t>
      </w:r>
      <w:r w:rsidRPr="009629B5">
        <w:rPr>
          <w:sz w:val="20"/>
        </w:rPr>
        <w:t>—benefit of the bargain</w:t>
      </w:r>
    </w:p>
    <w:p w:rsidR="005F5361" w:rsidRPr="009629B5" w:rsidRDefault="005F5361" w:rsidP="000C5F32">
      <w:pPr>
        <w:pStyle w:val="ListParagraph"/>
        <w:numPr>
          <w:ilvl w:val="0"/>
          <w:numId w:val="9"/>
        </w:numPr>
        <w:ind w:left="360"/>
        <w:rPr>
          <w:sz w:val="20"/>
        </w:rPr>
      </w:pPr>
      <w:r w:rsidRPr="009629B5">
        <w:rPr>
          <w:b/>
          <w:caps/>
          <w:sz w:val="20"/>
        </w:rPr>
        <w:t>Reliance</w:t>
      </w:r>
      <w:r w:rsidRPr="009629B5">
        <w:rPr>
          <w:sz w:val="20"/>
        </w:rPr>
        <w:t xml:space="preserve"> </w:t>
      </w:r>
      <w:r w:rsidRPr="009629B5">
        <w:rPr>
          <w:b/>
          <w:caps/>
          <w:sz w:val="20"/>
        </w:rPr>
        <w:t>damages</w:t>
      </w:r>
      <w:r w:rsidRPr="009629B5">
        <w:rPr>
          <w:sz w:val="20"/>
        </w:rPr>
        <w:t>—lost expenditures</w:t>
      </w:r>
      <w:r w:rsidR="00D67E97" w:rsidRPr="009629B5">
        <w:rPr>
          <w:sz w:val="20"/>
        </w:rPr>
        <w:t xml:space="preserve"> (return to the promisee)</w:t>
      </w:r>
    </w:p>
    <w:p w:rsidR="005F5361" w:rsidRPr="009629B5" w:rsidRDefault="005F5361" w:rsidP="000C5F32">
      <w:pPr>
        <w:pStyle w:val="ListParagraph"/>
        <w:numPr>
          <w:ilvl w:val="0"/>
          <w:numId w:val="9"/>
        </w:numPr>
        <w:ind w:left="360"/>
        <w:rPr>
          <w:sz w:val="20"/>
        </w:rPr>
      </w:pPr>
      <w:r w:rsidRPr="009629B5">
        <w:rPr>
          <w:b/>
          <w:caps/>
          <w:sz w:val="20"/>
        </w:rPr>
        <w:t>Restitution damages</w:t>
      </w:r>
      <w:r w:rsidRPr="009629B5">
        <w:rPr>
          <w:sz w:val="20"/>
        </w:rPr>
        <w:t>—disgorged profits</w:t>
      </w:r>
      <w:r w:rsidR="00D67E97" w:rsidRPr="009629B5">
        <w:rPr>
          <w:sz w:val="20"/>
        </w:rPr>
        <w:t xml:space="preserve"> (take away from the promisor)</w:t>
      </w:r>
    </w:p>
    <w:p w:rsidR="00D67E97" w:rsidRPr="009629B5" w:rsidRDefault="00D67E97" w:rsidP="00D67E97">
      <w:pPr>
        <w:pStyle w:val="Heading3"/>
        <w:rPr>
          <w:sz w:val="20"/>
        </w:rPr>
      </w:pPr>
      <w:bookmarkStart w:id="5" w:name="_Toc122512859"/>
      <w:r w:rsidRPr="009629B5">
        <w:rPr>
          <w:sz w:val="20"/>
        </w:rPr>
        <w:t>Abel &amp; Baker Painting Hypothetical</w:t>
      </w:r>
      <w:bookmarkEnd w:id="5"/>
    </w:p>
    <w:p w:rsidR="00D67E97" w:rsidRPr="009629B5" w:rsidRDefault="00D67E97" w:rsidP="00D67E97">
      <w:pPr>
        <w:ind w:left="720"/>
        <w:rPr>
          <w:sz w:val="20"/>
        </w:rPr>
      </w:pPr>
      <w:r w:rsidRPr="009629B5">
        <w:rPr>
          <w:sz w:val="20"/>
        </w:rPr>
        <w:t xml:space="preserve">Baker agreed to paint a house for $100, Abel gave him a $10 and spent $5 prepping his house </w:t>
      </w:r>
    </w:p>
    <w:p w:rsidR="00D67E97" w:rsidRPr="009629B5" w:rsidRDefault="00D67E97" w:rsidP="00D67E97">
      <w:pPr>
        <w:ind w:left="720"/>
        <w:rPr>
          <w:sz w:val="20"/>
        </w:rPr>
      </w:pPr>
      <w:r w:rsidRPr="009629B5">
        <w:rPr>
          <w:b/>
          <w:sz w:val="20"/>
        </w:rPr>
        <w:t>Expected interest</w:t>
      </w:r>
      <w:r w:rsidRPr="009629B5">
        <w:rPr>
          <w:sz w:val="20"/>
        </w:rPr>
        <w:t xml:space="preserve">—Baker is responsible for the damage </w:t>
      </w:r>
      <w:r w:rsidRPr="009629B5">
        <w:rPr>
          <w:sz w:val="20"/>
        </w:rPr>
        <w:sym w:font="Wingdings" w:char="F0E0"/>
      </w:r>
      <w:r w:rsidRPr="009629B5">
        <w:rPr>
          <w:sz w:val="20"/>
        </w:rPr>
        <w:t xml:space="preserve"> we look at what should have been vs. what was:</w:t>
      </w:r>
    </w:p>
    <w:p w:rsidR="00D67E97" w:rsidRPr="009629B5" w:rsidRDefault="00D67E97" w:rsidP="000C5F32">
      <w:pPr>
        <w:pStyle w:val="NoSpacing"/>
        <w:numPr>
          <w:ilvl w:val="0"/>
          <w:numId w:val="10"/>
        </w:numPr>
        <w:ind w:left="2160"/>
        <w:rPr>
          <w:sz w:val="20"/>
        </w:rPr>
      </w:pPr>
      <w:r w:rsidRPr="009629B5">
        <w:rPr>
          <w:sz w:val="20"/>
        </w:rPr>
        <w:t xml:space="preserve">would have spent: </w:t>
      </w:r>
      <w:r w:rsidRPr="009629B5">
        <w:rPr>
          <w:b/>
          <w:sz w:val="20"/>
        </w:rPr>
        <w:t>$105</w:t>
      </w:r>
      <w:r w:rsidRPr="009629B5">
        <w:rPr>
          <w:sz w:val="20"/>
        </w:rPr>
        <w:t xml:space="preserve"> and received a painted house </w:t>
      </w:r>
    </w:p>
    <w:p w:rsidR="00D67E97" w:rsidRPr="009629B5" w:rsidRDefault="00D67E97" w:rsidP="000C5F32">
      <w:pPr>
        <w:pStyle w:val="NoSpacing"/>
        <w:numPr>
          <w:ilvl w:val="1"/>
          <w:numId w:val="10"/>
        </w:numPr>
        <w:ind w:left="2880"/>
        <w:rPr>
          <w:sz w:val="20"/>
        </w:rPr>
      </w:pPr>
      <w:r w:rsidRPr="009629B5">
        <w:rPr>
          <w:sz w:val="20"/>
        </w:rPr>
        <w:t>$10 deposit</w:t>
      </w:r>
    </w:p>
    <w:p w:rsidR="00D67E97" w:rsidRPr="009629B5" w:rsidRDefault="00D67E97" w:rsidP="000C5F32">
      <w:pPr>
        <w:pStyle w:val="NoSpacing"/>
        <w:numPr>
          <w:ilvl w:val="1"/>
          <w:numId w:val="10"/>
        </w:numPr>
        <w:ind w:left="2880"/>
        <w:rPr>
          <w:sz w:val="20"/>
        </w:rPr>
      </w:pPr>
      <w:r w:rsidRPr="009629B5">
        <w:rPr>
          <w:sz w:val="20"/>
        </w:rPr>
        <w:t>$5 prep work</w:t>
      </w:r>
    </w:p>
    <w:p w:rsidR="00D67E97" w:rsidRPr="009629B5" w:rsidRDefault="00D67E97" w:rsidP="000C5F32">
      <w:pPr>
        <w:pStyle w:val="NoSpacing"/>
        <w:numPr>
          <w:ilvl w:val="1"/>
          <w:numId w:val="10"/>
        </w:numPr>
        <w:ind w:left="2880"/>
        <w:rPr>
          <w:sz w:val="20"/>
        </w:rPr>
      </w:pPr>
      <w:r w:rsidRPr="009629B5">
        <w:rPr>
          <w:sz w:val="20"/>
        </w:rPr>
        <w:t>$90 balance payment</w:t>
      </w:r>
    </w:p>
    <w:p w:rsidR="00D67E97" w:rsidRPr="009629B5" w:rsidRDefault="00D67E97" w:rsidP="000C5F32">
      <w:pPr>
        <w:pStyle w:val="NoSpacing"/>
        <w:numPr>
          <w:ilvl w:val="0"/>
          <w:numId w:val="10"/>
        </w:numPr>
        <w:ind w:left="2160"/>
        <w:rPr>
          <w:b/>
          <w:sz w:val="20"/>
        </w:rPr>
      </w:pPr>
      <w:r w:rsidRPr="009629B5">
        <w:rPr>
          <w:sz w:val="20"/>
        </w:rPr>
        <w:t xml:space="preserve">INSTEAD spent </w:t>
      </w:r>
      <w:r w:rsidRPr="009629B5">
        <w:rPr>
          <w:b/>
          <w:sz w:val="20"/>
        </w:rPr>
        <w:t xml:space="preserve">$140 </w:t>
      </w:r>
      <w:r w:rsidRPr="009629B5">
        <w:rPr>
          <w:sz w:val="20"/>
        </w:rPr>
        <w:t>for the SAME painted house</w:t>
      </w:r>
    </w:p>
    <w:p w:rsidR="00D67E97" w:rsidRPr="009629B5" w:rsidRDefault="00D67E97" w:rsidP="000C5F32">
      <w:pPr>
        <w:pStyle w:val="NoSpacing"/>
        <w:numPr>
          <w:ilvl w:val="1"/>
          <w:numId w:val="10"/>
        </w:numPr>
        <w:ind w:left="2880"/>
        <w:rPr>
          <w:b/>
          <w:sz w:val="20"/>
        </w:rPr>
      </w:pPr>
      <w:r w:rsidRPr="009629B5">
        <w:rPr>
          <w:sz w:val="20"/>
        </w:rPr>
        <w:t>$10 deposit</w:t>
      </w:r>
    </w:p>
    <w:p w:rsidR="00D67E97" w:rsidRPr="009629B5" w:rsidRDefault="00D67E97" w:rsidP="000C5F32">
      <w:pPr>
        <w:pStyle w:val="NoSpacing"/>
        <w:numPr>
          <w:ilvl w:val="1"/>
          <w:numId w:val="10"/>
        </w:numPr>
        <w:ind w:left="2880"/>
        <w:rPr>
          <w:b/>
          <w:sz w:val="20"/>
        </w:rPr>
      </w:pPr>
      <w:r w:rsidRPr="009629B5">
        <w:rPr>
          <w:sz w:val="20"/>
        </w:rPr>
        <w:t>$5 prep work</w:t>
      </w:r>
    </w:p>
    <w:p w:rsidR="00D67E97" w:rsidRPr="009629B5" w:rsidRDefault="00D67E97" w:rsidP="000C5F32">
      <w:pPr>
        <w:pStyle w:val="NoSpacing"/>
        <w:numPr>
          <w:ilvl w:val="1"/>
          <w:numId w:val="10"/>
        </w:numPr>
        <w:ind w:left="2880"/>
        <w:rPr>
          <w:b/>
          <w:sz w:val="20"/>
        </w:rPr>
      </w:pPr>
      <w:r w:rsidRPr="009629B5">
        <w:rPr>
          <w:sz w:val="20"/>
        </w:rPr>
        <w:t>$5 re-prep work</w:t>
      </w:r>
    </w:p>
    <w:p w:rsidR="00D67E97" w:rsidRPr="009629B5" w:rsidRDefault="00D67E97" w:rsidP="000C5F32">
      <w:pPr>
        <w:pStyle w:val="NoSpacing"/>
        <w:numPr>
          <w:ilvl w:val="1"/>
          <w:numId w:val="10"/>
        </w:numPr>
        <w:ind w:left="2880"/>
        <w:rPr>
          <w:b/>
          <w:sz w:val="20"/>
        </w:rPr>
      </w:pPr>
      <w:r w:rsidRPr="009629B5">
        <w:rPr>
          <w:sz w:val="20"/>
        </w:rPr>
        <w:t>$120 to a new painter</w:t>
      </w:r>
    </w:p>
    <w:p w:rsidR="00D67E97" w:rsidRPr="009629B5" w:rsidRDefault="00D67E97" w:rsidP="00D67E97">
      <w:pPr>
        <w:ind w:left="720"/>
        <w:rPr>
          <w:sz w:val="20"/>
        </w:rPr>
      </w:pPr>
      <w:r w:rsidRPr="009629B5">
        <w:rPr>
          <w:sz w:val="20"/>
        </w:rPr>
        <w:sym w:font="Wingdings" w:char="F0E0"/>
      </w:r>
      <w:r w:rsidRPr="009629B5">
        <w:rPr>
          <w:sz w:val="20"/>
        </w:rPr>
        <w:t xml:space="preserve">given that the second painter was equal to Baker, Abel is owed </w:t>
      </w:r>
      <w:r w:rsidRPr="009629B5">
        <w:rPr>
          <w:b/>
          <w:sz w:val="20"/>
        </w:rPr>
        <w:t>$35</w:t>
      </w:r>
      <w:r w:rsidRPr="009629B5">
        <w:rPr>
          <w:sz w:val="20"/>
        </w:rPr>
        <w:t xml:space="preserve"> in expected interest damages</w:t>
      </w:r>
    </w:p>
    <w:p w:rsidR="00D67E97" w:rsidRPr="009629B5" w:rsidRDefault="00D67E97" w:rsidP="00D67E97">
      <w:pPr>
        <w:pStyle w:val="NoSpacing"/>
        <w:ind w:left="720"/>
        <w:rPr>
          <w:b/>
          <w:sz w:val="20"/>
        </w:rPr>
      </w:pPr>
      <w:r w:rsidRPr="009629B5">
        <w:rPr>
          <w:b/>
          <w:sz w:val="20"/>
        </w:rPr>
        <w:t xml:space="preserve">Reliance interest— </w:t>
      </w:r>
      <w:r w:rsidRPr="009629B5">
        <w:rPr>
          <w:sz w:val="20"/>
        </w:rPr>
        <w:t xml:space="preserve">(assuming prep work was wasted)— Abel relied on Baker’s promise in spending the initial </w:t>
      </w:r>
      <w:r w:rsidRPr="009629B5">
        <w:rPr>
          <w:b/>
          <w:sz w:val="20"/>
        </w:rPr>
        <w:t>$5</w:t>
      </w:r>
    </w:p>
    <w:p w:rsidR="00D67E97" w:rsidRPr="009629B5" w:rsidRDefault="00D67E97" w:rsidP="00D67E97">
      <w:pPr>
        <w:pStyle w:val="NoSpacing"/>
        <w:ind w:left="720"/>
        <w:rPr>
          <w:b/>
          <w:sz w:val="20"/>
        </w:rPr>
      </w:pPr>
      <w:r w:rsidRPr="009629B5">
        <w:rPr>
          <w:b/>
          <w:sz w:val="20"/>
        </w:rPr>
        <w:t xml:space="preserve">Restitution interest—$10 </w:t>
      </w:r>
      <w:r w:rsidRPr="009629B5">
        <w:rPr>
          <w:sz w:val="20"/>
        </w:rPr>
        <w:t>deposit (could get restitution even if agreement was deemed unconscionable/ void)</w:t>
      </w:r>
    </w:p>
    <w:p w:rsidR="00D67E97" w:rsidRPr="009629B5" w:rsidRDefault="00D67E97" w:rsidP="00D67E97">
      <w:pPr>
        <w:ind w:left="720"/>
        <w:rPr>
          <w:sz w:val="20"/>
        </w:rPr>
      </w:pPr>
      <w:r w:rsidRPr="009629B5">
        <w:rPr>
          <w:sz w:val="20"/>
        </w:rPr>
        <w:t>**usually judge will award either expected interest ($35) OR reliance &amp; restitution ($15)</w:t>
      </w:r>
    </w:p>
    <w:p w:rsidR="006D70F8" w:rsidRPr="009629B5" w:rsidRDefault="006D70F8" w:rsidP="006D70F8">
      <w:pPr>
        <w:pStyle w:val="Heading3"/>
        <w:rPr>
          <w:sz w:val="20"/>
        </w:rPr>
      </w:pPr>
      <w:bookmarkStart w:id="6" w:name="_Toc122512860"/>
      <w:r w:rsidRPr="009629B5">
        <w:rPr>
          <w:sz w:val="20"/>
        </w:rPr>
        <w:t>Wholesaler Bike Hypothetical</w:t>
      </w:r>
      <w:bookmarkEnd w:id="6"/>
      <w:r w:rsidRPr="009629B5">
        <w:rPr>
          <w:sz w:val="20"/>
        </w:rPr>
        <w:t xml:space="preserve"> </w:t>
      </w:r>
    </w:p>
    <w:p w:rsidR="006D70F8" w:rsidRPr="009629B5" w:rsidRDefault="006D70F8" w:rsidP="006D70F8">
      <w:pPr>
        <w:ind w:left="720"/>
        <w:rPr>
          <w:sz w:val="20"/>
        </w:rPr>
      </w:pPr>
      <w:r w:rsidRPr="009629B5">
        <w:rPr>
          <w:sz w:val="20"/>
        </w:rPr>
        <w:t>Wholesaler agrees to sell 250 bicycle wheels to Retailer in exchange for $100 per wheel. Just before the date specified for delivery of the wheels, Wholesaler repudiates the contract. As a result of Wholesaler’s repudiation, Retailer cancels a custom bike sale it had planned for the week following the expected delivery, rendering worthless $10 of promotional materials that listed the date of the sale.</w:t>
      </w:r>
    </w:p>
    <w:p w:rsidR="006D70F8" w:rsidRPr="009629B5" w:rsidRDefault="006D70F8" w:rsidP="000C5F32">
      <w:pPr>
        <w:pStyle w:val="ListParagraph"/>
        <w:numPr>
          <w:ilvl w:val="0"/>
          <w:numId w:val="11"/>
        </w:numPr>
        <w:ind w:left="1080"/>
        <w:rPr>
          <w:sz w:val="20"/>
        </w:rPr>
      </w:pPr>
      <w:r w:rsidRPr="009629B5">
        <w:rPr>
          <w:sz w:val="20"/>
        </w:rPr>
        <w:t xml:space="preserve">Under UCC </w:t>
      </w:r>
      <w:r w:rsidRPr="009629B5">
        <w:rPr>
          <w:rFonts w:cs="Times New Roman"/>
          <w:sz w:val="20"/>
        </w:rPr>
        <w:t>§</w:t>
      </w:r>
      <w:r w:rsidRPr="009629B5">
        <w:rPr>
          <w:sz w:val="20"/>
        </w:rPr>
        <w:t xml:space="preserve">2-712, Retailer can claim cover damages of $2,500 (i.e., $10 per wheel) and, under UCC </w:t>
      </w:r>
      <w:r w:rsidRPr="009629B5">
        <w:rPr>
          <w:rFonts w:cs="Times New Roman"/>
          <w:sz w:val="20"/>
        </w:rPr>
        <w:t>§</w:t>
      </w:r>
      <w:r w:rsidRPr="009629B5">
        <w:rPr>
          <w:sz w:val="20"/>
        </w:rPr>
        <w:t>2-715, consequential damages of $10.</w:t>
      </w:r>
    </w:p>
    <w:p w:rsidR="006D70F8" w:rsidRPr="009629B5" w:rsidRDefault="006D70F8" w:rsidP="000C5F32">
      <w:pPr>
        <w:pStyle w:val="ListParagraph"/>
        <w:numPr>
          <w:ilvl w:val="0"/>
          <w:numId w:val="11"/>
        </w:numPr>
        <w:ind w:left="1080"/>
        <w:rPr>
          <w:sz w:val="20"/>
        </w:rPr>
      </w:pPr>
      <w:r w:rsidRPr="009629B5">
        <w:rPr>
          <w:sz w:val="20"/>
        </w:rPr>
        <w:t xml:space="preserve">These are the same damages that would be available under </w:t>
      </w:r>
      <w:r w:rsidRPr="009629B5">
        <w:rPr>
          <w:rFonts w:cs="Times New Roman"/>
          <w:sz w:val="20"/>
        </w:rPr>
        <w:t>§</w:t>
      </w:r>
      <w:r w:rsidRPr="009629B5">
        <w:rPr>
          <w:sz w:val="20"/>
        </w:rPr>
        <w:t xml:space="preserve">2-713 and </w:t>
      </w:r>
      <w:r w:rsidRPr="009629B5">
        <w:rPr>
          <w:rFonts w:cs="Times New Roman"/>
          <w:sz w:val="20"/>
        </w:rPr>
        <w:t>§</w:t>
      </w:r>
      <w:r w:rsidRPr="009629B5">
        <w:rPr>
          <w:sz w:val="20"/>
        </w:rPr>
        <w:t>2-715 even absent cover.</w:t>
      </w:r>
    </w:p>
    <w:p w:rsidR="00DE124D" w:rsidRPr="009629B5" w:rsidRDefault="00DE124D" w:rsidP="00DE124D">
      <w:pPr>
        <w:pStyle w:val="Heading2"/>
        <w:rPr>
          <w:sz w:val="24"/>
        </w:rPr>
      </w:pPr>
      <w:bookmarkStart w:id="7" w:name="_Toc122512861"/>
      <w:r w:rsidRPr="009629B5">
        <w:rPr>
          <w:sz w:val="24"/>
        </w:rPr>
        <w:t>REMEDIES FOR BREACH—Tongish</w:t>
      </w:r>
      <w:bookmarkEnd w:id="7"/>
    </w:p>
    <w:p w:rsidR="005F5361" w:rsidRPr="009629B5" w:rsidRDefault="009B5414" w:rsidP="009B5414">
      <w:pPr>
        <w:pStyle w:val="Heading6"/>
        <w:rPr>
          <w:sz w:val="20"/>
        </w:rPr>
      </w:pPr>
      <w:r w:rsidRPr="009629B5">
        <w:rPr>
          <w:sz w:val="20"/>
        </w:rPr>
        <w:t xml:space="preserve">Tongish v Thomas—1992 </w:t>
      </w:r>
    </w:p>
    <w:p w:rsidR="009B5414" w:rsidRPr="009629B5" w:rsidRDefault="009B5414" w:rsidP="009B5414">
      <w:pPr>
        <w:pStyle w:val="NoSpacing"/>
        <w:ind w:left="720"/>
        <w:rPr>
          <w:sz w:val="20"/>
        </w:rPr>
      </w:pPr>
      <w:r w:rsidRPr="009629B5">
        <w:rPr>
          <w:sz w:val="20"/>
        </w:rPr>
        <w:t>What was Co-op’s actual injury?</w:t>
      </w:r>
    </w:p>
    <w:p w:rsidR="009B5414" w:rsidRPr="009629B5" w:rsidRDefault="009B5414" w:rsidP="000C5F32">
      <w:pPr>
        <w:pStyle w:val="NoSpacing"/>
        <w:numPr>
          <w:ilvl w:val="0"/>
          <w:numId w:val="12"/>
        </w:numPr>
        <w:ind w:left="1080"/>
        <w:rPr>
          <w:sz w:val="20"/>
        </w:rPr>
      </w:pPr>
      <w:r w:rsidRPr="009629B5">
        <w:rPr>
          <w:sz w:val="20"/>
        </w:rPr>
        <w:t xml:space="preserve">They would have only netted the handling fee </w:t>
      </w:r>
      <w:r w:rsidRPr="009629B5">
        <w:rPr>
          <w:sz w:val="20"/>
        </w:rPr>
        <w:sym w:font="Wingdings" w:char="F0E0"/>
      </w:r>
      <w:r w:rsidRPr="009629B5">
        <w:rPr>
          <w:sz w:val="20"/>
        </w:rPr>
        <w:t xml:space="preserve"> damages way less than market price</w:t>
      </w:r>
    </w:p>
    <w:p w:rsidR="009B5414" w:rsidRPr="009629B5" w:rsidRDefault="009B5414" w:rsidP="000C5F32">
      <w:pPr>
        <w:numPr>
          <w:ilvl w:val="0"/>
          <w:numId w:val="12"/>
        </w:numPr>
        <w:ind w:left="1080"/>
        <w:rPr>
          <w:sz w:val="20"/>
        </w:rPr>
      </w:pPr>
      <w:r w:rsidRPr="009629B5">
        <w:rPr>
          <w:sz w:val="20"/>
        </w:rPr>
        <w:t>BUT under the UCC, Co-op gets market price less contract price as damages</w:t>
      </w:r>
    </w:p>
    <w:p w:rsidR="009B5414" w:rsidRPr="009629B5" w:rsidRDefault="009B5414" w:rsidP="009B5414">
      <w:pPr>
        <w:ind w:left="1080"/>
        <w:rPr>
          <w:sz w:val="20"/>
        </w:rPr>
      </w:pPr>
      <w:r w:rsidRPr="009629B5">
        <w:rPr>
          <w:sz w:val="20"/>
        </w:rPr>
        <w:t>Justification:</w:t>
      </w:r>
    </w:p>
    <w:p w:rsidR="009B5414" w:rsidRPr="009629B5" w:rsidRDefault="009B5414" w:rsidP="000C5F32">
      <w:pPr>
        <w:numPr>
          <w:ilvl w:val="0"/>
          <w:numId w:val="13"/>
        </w:numPr>
        <w:ind w:left="1440"/>
        <w:rPr>
          <w:sz w:val="20"/>
        </w:rPr>
      </w:pPr>
      <w:r w:rsidRPr="009629B5">
        <w:rPr>
          <w:sz w:val="20"/>
        </w:rPr>
        <w:t xml:space="preserve"> Under common law, difference between market price and contract price constitutes damages regardless of Co-op’s intended use of the product</w:t>
      </w:r>
    </w:p>
    <w:p w:rsidR="009B5414" w:rsidRPr="009629B5" w:rsidRDefault="009B5414" w:rsidP="000C5F32">
      <w:pPr>
        <w:numPr>
          <w:ilvl w:val="0"/>
          <w:numId w:val="13"/>
        </w:numPr>
        <w:ind w:left="1440"/>
        <w:rPr>
          <w:sz w:val="20"/>
        </w:rPr>
      </w:pPr>
      <w:r w:rsidRPr="009629B5">
        <w:rPr>
          <w:sz w:val="20"/>
        </w:rPr>
        <w:t>Efficiency justification of the conclusion—it’s a good result from a public policy perspective because it maintains the integrity of the Co-op-Bambino relationship</w:t>
      </w:r>
    </w:p>
    <w:p w:rsidR="009B5414" w:rsidRPr="009629B5" w:rsidRDefault="009B5414" w:rsidP="009B5414">
      <w:pPr>
        <w:ind w:left="720"/>
        <w:rPr>
          <w:sz w:val="20"/>
        </w:rPr>
      </w:pPr>
      <w:r w:rsidRPr="009629B5">
        <w:rPr>
          <w:b/>
          <w:sz w:val="20"/>
        </w:rPr>
        <w:t xml:space="preserve">Holding: </w:t>
      </w:r>
      <w:r w:rsidRPr="009629B5">
        <w:rPr>
          <w:sz w:val="20"/>
        </w:rPr>
        <w:t>Tongish must pay market price of goods NOT handling fee</w:t>
      </w:r>
      <w:r w:rsidRPr="009629B5">
        <w:rPr>
          <w:sz w:val="20"/>
        </w:rPr>
        <w:sym w:font="Wingdings" w:char="F0E0"/>
      </w:r>
      <w:r w:rsidRPr="009629B5">
        <w:rPr>
          <w:sz w:val="20"/>
        </w:rPr>
        <w:t xml:space="preserve"> maintains the integrity of the Co-op-Bambino relationship</w:t>
      </w:r>
    </w:p>
    <w:p w:rsidR="009B5414" w:rsidRPr="009629B5" w:rsidRDefault="009B5414" w:rsidP="009B5414">
      <w:pPr>
        <w:pStyle w:val="Heading3"/>
        <w:rPr>
          <w:sz w:val="20"/>
        </w:rPr>
      </w:pPr>
      <w:bookmarkStart w:id="8" w:name="_Toc122512862"/>
      <w:r w:rsidRPr="009629B5">
        <w:rPr>
          <w:sz w:val="20"/>
        </w:rPr>
        <w:t>Efficient Breach Hypothesis</w:t>
      </w:r>
      <w:bookmarkEnd w:id="8"/>
    </w:p>
    <w:p w:rsidR="009B5414" w:rsidRPr="009629B5" w:rsidRDefault="009B5414" w:rsidP="009B5414">
      <w:pPr>
        <w:ind w:left="720"/>
        <w:rPr>
          <w:sz w:val="20"/>
        </w:rPr>
      </w:pPr>
      <w:r w:rsidRPr="009629B5">
        <w:rPr>
          <w:sz w:val="20"/>
        </w:rPr>
        <w:t xml:space="preserve">Tongish </w:t>
      </w:r>
      <w:r w:rsidRPr="009629B5">
        <w:rPr>
          <w:i/>
          <w:sz w:val="20"/>
        </w:rPr>
        <w:t>chose</w:t>
      </w:r>
      <w:r w:rsidRPr="009629B5">
        <w:rPr>
          <w:sz w:val="20"/>
        </w:rPr>
        <w:t xml:space="preserve"> to breach (</w:t>
      </w:r>
      <w:r w:rsidRPr="009629B5">
        <w:rPr>
          <w:b/>
          <w:sz w:val="20"/>
        </w:rPr>
        <w:t>repudiation</w:t>
      </w:r>
      <w:r w:rsidRPr="009629B5">
        <w:rPr>
          <w:sz w:val="20"/>
        </w:rPr>
        <w:t xml:space="preserve">)—given the decision in </w:t>
      </w:r>
      <w:r w:rsidRPr="009629B5">
        <w:rPr>
          <w:i/>
          <w:sz w:val="20"/>
        </w:rPr>
        <w:t>Tongish</w:t>
      </w:r>
      <w:r w:rsidRPr="009629B5">
        <w:rPr>
          <w:sz w:val="20"/>
        </w:rPr>
        <w:t>—sellers don’t have as much incentive to repudiate because they can’t get away with windfall profits</w:t>
      </w:r>
    </w:p>
    <w:p w:rsidR="00560FA7" w:rsidRPr="009629B5" w:rsidRDefault="009B5414" w:rsidP="00560FA7">
      <w:pPr>
        <w:ind w:left="720"/>
        <w:rPr>
          <w:b/>
          <w:sz w:val="20"/>
        </w:rPr>
      </w:pPr>
      <w:r w:rsidRPr="009629B5">
        <w:rPr>
          <w:b/>
          <w:sz w:val="20"/>
        </w:rPr>
        <w:t>While it’s fair that Tongish is required to perform or pay damages, the purpose of contract law is not</w:t>
      </w:r>
      <w:r w:rsidR="00EC4D0C" w:rsidRPr="009629B5">
        <w:rPr>
          <w:b/>
          <w:sz w:val="20"/>
        </w:rPr>
        <w:t xml:space="preserve"> to force performance</w:t>
      </w:r>
      <w:r w:rsidR="00560FA7" w:rsidRPr="009629B5">
        <w:rPr>
          <w:b/>
          <w:sz w:val="20"/>
        </w:rPr>
        <w:t xml:space="preserve"> </w:t>
      </w:r>
    </w:p>
    <w:p w:rsidR="00560FA7" w:rsidRPr="009629B5" w:rsidRDefault="00560FA7" w:rsidP="00560FA7">
      <w:pPr>
        <w:ind w:left="1440"/>
        <w:rPr>
          <w:sz w:val="20"/>
        </w:rPr>
      </w:pPr>
      <w:r w:rsidRPr="009629B5">
        <w:rPr>
          <w:b/>
          <w:sz w:val="20"/>
        </w:rPr>
        <w:t>Bookseller Illustration</w:t>
      </w:r>
      <w:r w:rsidRPr="009629B5">
        <w:rPr>
          <w:sz w:val="20"/>
        </w:rPr>
        <w:t xml:space="preserve">. Offer to sell a book for $100.  Repudiate. Instead Buyer gets it on eBay for $150.  </w:t>
      </w:r>
    </w:p>
    <w:p w:rsidR="00560FA7" w:rsidRPr="009629B5" w:rsidRDefault="00560FA7" w:rsidP="000C5F32">
      <w:pPr>
        <w:pStyle w:val="ListParagraph"/>
        <w:numPr>
          <w:ilvl w:val="0"/>
          <w:numId w:val="14"/>
        </w:numPr>
        <w:rPr>
          <w:sz w:val="20"/>
        </w:rPr>
      </w:pPr>
      <w:r w:rsidRPr="009629B5">
        <w:rPr>
          <w:sz w:val="20"/>
        </w:rPr>
        <w:t>Expectation damages = $50</w:t>
      </w:r>
    </w:p>
    <w:p w:rsidR="00560FA7" w:rsidRPr="009629B5" w:rsidRDefault="00560FA7" w:rsidP="000C5F32">
      <w:pPr>
        <w:pStyle w:val="ListParagraph"/>
        <w:numPr>
          <w:ilvl w:val="0"/>
          <w:numId w:val="14"/>
        </w:numPr>
        <w:rPr>
          <w:sz w:val="20"/>
        </w:rPr>
      </w:pPr>
      <w:r w:rsidRPr="009629B5">
        <w:rPr>
          <w:sz w:val="20"/>
        </w:rPr>
        <w:t>Efficiency implications—doesn’t matter to seller or buyer if the contract is performed.  Buyer either gets a book worth $150 for $100 or gets $50 and can cover to buy the book at the market price of $150.</w:t>
      </w:r>
    </w:p>
    <w:p w:rsidR="00560FA7" w:rsidRPr="009629B5" w:rsidRDefault="00560FA7" w:rsidP="00560FA7">
      <w:pPr>
        <w:ind w:left="1440"/>
        <w:rPr>
          <w:sz w:val="20"/>
        </w:rPr>
      </w:pPr>
      <w:r w:rsidRPr="009629B5">
        <w:rPr>
          <w:b/>
          <w:sz w:val="20"/>
        </w:rPr>
        <w:t xml:space="preserve">Housepainter Illustration.  </w:t>
      </w:r>
      <w:r w:rsidRPr="009629B5">
        <w:rPr>
          <w:sz w:val="20"/>
        </w:rPr>
        <w:t>Agree to paint the house for $100.  Realize that costs are going to be $150.  Comparable painter costs $120.</w:t>
      </w:r>
    </w:p>
    <w:p w:rsidR="00560FA7" w:rsidRPr="009629B5" w:rsidRDefault="00560FA7" w:rsidP="000C5F32">
      <w:pPr>
        <w:pStyle w:val="ListParagraph"/>
        <w:numPr>
          <w:ilvl w:val="0"/>
          <w:numId w:val="14"/>
        </w:numPr>
        <w:rPr>
          <w:sz w:val="20"/>
        </w:rPr>
      </w:pPr>
      <w:r w:rsidRPr="009629B5">
        <w:rPr>
          <w:sz w:val="20"/>
        </w:rPr>
        <w:t>Expectation damages = $20</w:t>
      </w:r>
    </w:p>
    <w:p w:rsidR="009B5414" w:rsidRPr="009629B5" w:rsidRDefault="00560FA7" w:rsidP="000C5F32">
      <w:pPr>
        <w:pStyle w:val="ListParagraph"/>
        <w:numPr>
          <w:ilvl w:val="0"/>
          <w:numId w:val="14"/>
        </w:numPr>
        <w:contextualSpacing w:val="0"/>
        <w:rPr>
          <w:sz w:val="20"/>
        </w:rPr>
      </w:pPr>
      <w:r w:rsidRPr="009629B5">
        <w:rPr>
          <w:sz w:val="20"/>
        </w:rPr>
        <w:t xml:space="preserve">Efficiency implications—if the seller/painter performed on contract </w:t>
      </w:r>
      <w:r w:rsidRPr="009629B5">
        <w:rPr>
          <w:i/>
          <w:sz w:val="20"/>
        </w:rPr>
        <w:t>society</w:t>
      </w:r>
      <w:r w:rsidRPr="009629B5">
        <w:rPr>
          <w:sz w:val="20"/>
        </w:rPr>
        <w:t xml:space="preserve"> would lose $30.  If seller/painter doesn’t perform—seller is out $20 instead of $50, buyer gets $120 paintjob for the originally agreed upon price of $100, and society doesn’t lose resources to inefficiency.</w:t>
      </w:r>
    </w:p>
    <w:p w:rsidR="00C46FF2" w:rsidRPr="009629B5" w:rsidRDefault="00C46FF2" w:rsidP="000C5F32">
      <w:pPr>
        <w:pStyle w:val="ListParagraph"/>
        <w:numPr>
          <w:ilvl w:val="0"/>
          <w:numId w:val="15"/>
        </w:numPr>
        <w:autoSpaceDE w:val="0"/>
        <w:autoSpaceDN w:val="0"/>
        <w:adjustRightInd w:val="0"/>
        <w:ind w:left="1080"/>
        <w:contextualSpacing w:val="0"/>
        <w:rPr>
          <w:rFonts w:cs="Tahoma"/>
          <w:sz w:val="20"/>
          <w:szCs w:val="21"/>
        </w:rPr>
      </w:pPr>
      <w:r w:rsidRPr="009629B5">
        <w:rPr>
          <w:rFonts w:cs="Tahoma"/>
          <w:b/>
          <w:sz w:val="20"/>
          <w:szCs w:val="21"/>
        </w:rPr>
        <w:t>Charles Fried</w:t>
      </w:r>
      <w:r w:rsidRPr="009629B5">
        <w:rPr>
          <w:rFonts w:cs="Tahoma"/>
          <w:sz w:val="20"/>
          <w:szCs w:val="21"/>
        </w:rPr>
        <w:t xml:space="preserve"> believes that a promisor is morally bound to perform because she intentionally invokes a social convention with a purpose to induce others to expect performance.</w:t>
      </w:r>
    </w:p>
    <w:p w:rsidR="00C46FF2" w:rsidRPr="009629B5" w:rsidRDefault="00C46FF2" w:rsidP="000C5F32">
      <w:pPr>
        <w:pStyle w:val="ListParagraph"/>
        <w:numPr>
          <w:ilvl w:val="0"/>
          <w:numId w:val="15"/>
        </w:numPr>
        <w:autoSpaceDE w:val="0"/>
        <w:autoSpaceDN w:val="0"/>
        <w:adjustRightInd w:val="0"/>
        <w:ind w:left="1080"/>
        <w:contextualSpacing w:val="0"/>
        <w:rPr>
          <w:rFonts w:cs="Tahoma"/>
          <w:sz w:val="20"/>
          <w:szCs w:val="21"/>
        </w:rPr>
      </w:pPr>
      <w:r w:rsidRPr="009629B5">
        <w:rPr>
          <w:rFonts w:cs="Tahoma"/>
          <w:b/>
          <w:sz w:val="20"/>
          <w:szCs w:val="21"/>
        </w:rPr>
        <w:t>Holmes</w:t>
      </w:r>
      <w:r w:rsidRPr="009629B5">
        <w:rPr>
          <w:rFonts w:cs="Tahoma"/>
          <w:sz w:val="20"/>
          <w:szCs w:val="21"/>
        </w:rPr>
        <w:t xml:space="preserve"> once said that a promisor commits to perform </w:t>
      </w:r>
      <w:r w:rsidRPr="009629B5">
        <w:rPr>
          <w:rFonts w:cs="Tahoma"/>
          <w:sz w:val="20"/>
        </w:rPr>
        <w:t xml:space="preserve">or </w:t>
      </w:r>
      <w:r w:rsidRPr="009629B5">
        <w:rPr>
          <w:rFonts w:cs="Tahoma"/>
          <w:sz w:val="20"/>
          <w:szCs w:val="21"/>
        </w:rPr>
        <w:t>pay damages for</w:t>
      </w:r>
      <w:r w:rsidR="00A9776F" w:rsidRPr="009629B5">
        <w:rPr>
          <w:rFonts w:cs="Tahoma"/>
          <w:sz w:val="20"/>
          <w:szCs w:val="21"/>
        </w:rPr>
        <w:t xml:space="preserve"> </w:t>
      </w:r>
      <w:r w:rsidRPr="009629B5">
        <w:rPr>
          <w:rFonts w:cs="Tahoma"/>
          <w:sz w:val="20"/>
          <w:szCs w:val="21"/>
        </w:rPr>
        <w:t>failure, nothing else.</w:t>
      </w:r>
    </w:p>
    <w:p w:rsidR="009832E7" w:rsidRPr="009629B5" w:rsidRDefault="00DE124D" w:rsidP="00DE124D">
      <w:pPr>
        <w:pStyle w:val="Heading2"/>
        <w:rPr>
          <w:sz w:val="24"/>
        </w:rPr>
      </w:pPr>
      <w:bookmarkStart w:id="9" w:name="_Toc122512863"/>
      <w:r w:rsidRPr="009629B5">
        <w:rPr>
          <w:sz w:val="24"/>
        </w:rPr>
        <w:t>REMOTENESS—Hadley—Hector Martinez—Morrow</w:t>
      </w:r>
      <w:bookmarkEnd w:id="9"/>
    </w:p>
    <w:p w:rsidR="00A9776F" w:rsidRPr="009629B5" w:rsidRDefault="00476418" w:rsidP="00476418">
      <w:pPr>
        <w:pStyle w:val="Heading6"/>
        <w:rPr>
          <w:sz w:val="20"/>
        </w:rPr>
      </w:pPr>
      <w:r w:rsidRPr="009629B5">
        <w:rPr>
          <w:sz w:val="20"/>
        </w:rPr>
        <w:t xml:space="preserve">Hadley v Baxendale—1854 </w:t>
      </w:r>
    </w:p>
    <w:p w:rsidR="00476418" w:rsidRPr="009629B5" w:rsidRDefault="00476418" w:rsidP="00476418">
      <w:pPr>
        <w:ind w:left="720"/>
        <w:rPr>
          <w:i/>
          <w:sz w:val="20"/>
        </w:rPr>
      </w:pPr>
      <w:r w:rsidRPr="009629B5">
        <w:rPr>
          <w:i/>
          <w:sz w:val="20"/>
        </w:rPr>
        <w:t>Crankshaft shipper not held liable for unforeseeable/remote damages due to delay</w:t>
      </w:r>
      <w:r w:rsidR="008E2C79" w:rsidRPr="009629B5">
        <w:rPr>
          <w:i/>
          <w:sz w:val="20"/>
        </w:rPr>
        <w:t>—damages “arising naturally”</w:t>
      </w:r>
    </w:p>
    <w:p w:rsidR="00476418" w:rsidRPr="009629B5" w:rsidRDefault="00476418" w:rsidP="00476418">
      <w:pPr>
        <w:ind w:left="720"/>
        <w:rPr>
          <w:sz w:val="20"/>
        </w:rPr>
      </w:pPr>
      <w:r w:rsidRPr="009629B5">
        <w:rPr>
          <w:sz w:val="20"/>
        </w:rPr>
        <w:t xml:space="preserve">For the Shipper (Hadley) under the </w:t>
      </w:r>
      <w:r w:rsidRPr="009629B5">
        <w:rPr>
          <w:i/>
          <w:sz w:val="20"/>
        </w:rPr>
        <w:t xml:space="preserve">Hadley </w:t>
      </w:r>
      <w:r w:rsidRPr="009629B5">
        <w:rPr>
          <w:sz w:val="20"/>
        </w:rPr>
        <w:t>ruling—</w:t>
      </w:r>
    </w:p>
    <w:p w:rsidR="00476418" w:rsidRPr="009629B5" w:rsidRDefault="00476418" w:rsidP="000C5F32">
      <w:pPr>
        <w:numPr>
          <w:ilvl w:val="0"/>
          <w:numId w:val="16"/>
        </w:numPr>
        <w:rPr>
          <w:sz w:val="20"/>
        </w:rPr>
      </w:pPr>
      <w:r w:rsidRPr="009629B5">
        <w:rPr>
          <w:sz w:val="20"/>
        </w:rPr>
        <w:t xml:space="preserve"> Deprived of insurance.  Get only ordinary loss (actual value) NOT extraordinary loss (lost profits)</w:t>
      </w:r>
    </w:p>
    <w:p w:rsidR="00476418" w:rsidRPr="009629B5" w:rsidRDefault="00476418" w:rsidP="000C5F32">
      <w:pPr>
        <w:numPr>
          <w:ilvl w:val="0"/>
          <w:numId w:val="16"/>
        </w:numPr>
        <w:rPr>
          <w:sz w:val="20"/>
        </w:rPr>
      </w:pPr>
      <w:r w:rsidRPr="009629B5">
        <w:rPr>
          <w:sz w:val="20"/>
        </w:rPr>
        <w:t>BUT benefit from the lower shipping costs.</w:t>
      </w:r>
    </w:p>
    <w:p w:rsidR="00476418" w:rsidRPr="009629B5" w:rsidRDefault="00476418" w:rsidP="00476418">
      <w:pPr>
        <w:ind w:left="720"/>
        <w:rPr>
          <w:sz w:val="20"/>
        </w:rPr>
      </w:pPr>
      <w:r w:rsidRPr="009629B5">
        <w:rPr>
          <w:sz w:val="20"/>
        </w:rPr>
        <w:t xml:space="preserve">What if instead of </w:t>
      </w:r>
      <w:r w:rsidRPr="009629B5">
        <w:rPr>
          <w:i/>
          <w:sz w:val="20"/>
        </w:rPr>
        <w:t>Hadley</w:t>
      </w:r>
      <w:r w:rsidRPr="009629B5">
        <w:rPr>
          <w:sz w:val="20"/>
        </w:rPr>
        <w:t xml:space="preserve"> we had an </w:t>
      </w:r>
      <w:r w:rsidRPr="009629B5">
        <w:rPr>
          <w:b/>
          <w:sz w:val="20"/>
        </w:rPr>
        <w:t>Unlimited Liability Default</w:t>
      </w:r>
      <w:r w:rsidRPr="009629B5">
        <w:rPr>
          <w:sz w:val="20"/>
        </w:rPr>
        <w:t xml:space="preserve"> rule? (study guide practice)</w:t>
      </w:r>
    </w:p>
    <w:p w:rsidR="00476418" w:rsidRPr="009629B5" w:rsidRDefault="00476418" w:rsidP="00476418">
      <w:pPr>
        <w:ind w:left="1440"/>
        <w:rPr>
          <w:sz w:val="20"/>
        </w:rPr>
      </w:pPr>
      <w:r w:rsidRPr="009629B5">
        <w:rPr>
          <w:b/>
          <w:sz w:val="20"/>
        </w:rPr>
        <w:t>Separating equilibrium</w:t>
      </w:r>
      <w:r w:rsidRPr="009629B5">
        <w:rPr>
          <w:sz w:val="20"/>
        </w:rPr>
        <w:t>—Individuals would have to differentiate themselves to better inform carriers of the value of their products</w:t>
      </w:r>
    </w:p>
    <w:p w:rsidR="00476418" w:rsidRPr="009629B5" w:rsidRDefault="00476418" w:rsidP="00476418">
      <w:pPr>
        <w:ind w:left="1440"/>
        <w:rPr>
          <w:sz w:val="20"/>
        </w:rPr>
      </w:pPr>
      <w:r w:rsidRPr="009629B5">
        <w:rPr>
          <w:b/>
          <w:sz w:val="20"/>
        </w:rPr>
        <w:t>Pooling equilibrium</w:t>
      </w:r>
      <w:r w:rsidRPr="009629B5">
        <w:rPr>
          <w:sz w:val="20"/>
        </w:rPr>
        <w:t xml:space="preserve">—because of the price differential between rare expensive goods and common inexpensive goods would create a low “blended price” </w:t>
      </w:r>
      <w:r w:rsidRPr="009629B5">
        <w:rPr>
          <w:sz w:val="20"/>
        </w:rPr>
        <w:sym w:font="Wingdings" w:char="F0E0"/>
      </w:r>
      <w:r w:rsidRPr="009629B5">
        <w:rPr>
          <w:sz w:val="20"/>
        </w:rPr>
        <w:t xml:space="preserve"> free ride for shippers of expensive goods, unfairly onerous for more abundant shippers of inexpensive goods</w:t>
      </w:r>
    </w:p>
    <w:p w:rsidR="00476418" w:rsidRPr="009629B5" w:rsidRDefault="00476418" w:rsidP="00476418">
      <w:pPr>
        <w:ind w:left="720"/>
        <w:rPr>
          <w:sz w:val="20"/>
        </w:rPr>
      </w:pPr>
      <w:r w:rsidRPr="009629B5">
        <w:rPr>
          <w:sz w:val="20"/>
        </w:rPr>
        <w:t xml:space="preserve">Instead, under </w:t>
      </w:r>
      <w:r w:rsidRPr="009629B5">
        <w:rPr>
          <w:i/>
          <w:sz w:val="20"/>
        </w:rPr>
        <w:t>Hadley</w:t>
      </w:r>
      <w:r w:rsidRPr="009629B5">
        <w:rPr>
          <w:sz w:val="20"/>
        </w:rPr>
        <w:t xml:space="preserve"> </w:t>
      </w:r>
      <w:r w:rsidR="00F47AB9" w:rsidRPr="009629B5">
        <w:rPr>
          <w:b/>
          <w:sz w:val="20"/>
        </w:rPr>
        <w:t xml:space="preserve">Limited Liability Default </w:t>
      </w:r>
      <w:r w:rsidRPr="009629B5">
        <w:rPr>
          <w:sz w:val="20"/>
        </w:rPr>
        <w:t>rule we have—</w:t>
      </w:r>
    </w:p>
    <w:p w:rsidR="00476418" w:rsidRPr="009629B5" w:rsidRDefault="00476418" w:rsidP="00476418">
      <w:pPr>
        <w:ind w:left="1440"/>
        <w:rPr>
          <w:sz w:val="20"/>
        </w:rPr>
      </w:pPr>
      <w:r w:rsidRPr="009629B5">
        <w:rPr>
          <w:sz w:val="20"/>
        </w:rPr>
        <w:t>Separating equilibrium BUT it puts responsibility of declaration of value on the shippers of expensive goods—</w:t>
      </w:r>
      <w:r w:rsidRPr="009629B5">
        <w:rPr>
          <w:b/>
          <w:sz w:val="20"/>
        </w:rPr>
        <w:t>more efficient because fewer actual negotiations</w:t>
      </w:r>
      <w:r w:rsidRPr="009629B5">
        <w:rPr>
          <w:sz w:val="20"/>
        </w:rPr>
        <w:t xml:space="preserve"> take place AND </w:t>
      </w:r>
      <w:r w:rsidRPr="009629B5">
        <w:rPr>
          <w:b/>
          <w:sz w:val="20"/>
        </w:rPr>
        <w:t>eliminates the inefficient free-ride for shippers of expensive goods</w:t>
      </w:r>
    </w:p>
    <w:p w:rsidR="00476418" w:rsidRPr="009629B5" w:rsidRDefault="00476418" w:rsidP="00476418">
      <w:pPr>
        <w:pStyle w:val="Heading6"/>
        <w:rPr>
          <w:sz w:val="20"/>
        </w:rPr>
      </w:pPr>
      <w:r w:rsidRPr="009629B5">
        <w:rPr>
          <w:sz w:val="20"/>
        </w:rPr>
        <w:t>Hector Martinez v Southern Pacific Transportation—1979</w:t>
      </w:r>
    </w:p>
    <w:p w:rsidR="000B657B" w:rsidRPr="009629B5" w:rsidRDefault="000B657B" w:rsidP="008E2C79">
      <w:pPr>
        <w:ind w:left="720"/>
        <w:rPr>
          <w:i/>
          <w:sz w:val="20"/>
        </w:rPr>
      </w:pPr>
      <w:r w:rsidRPr="009629B5">
        <w:rPr>
          <w:i/>
          <w:sz w:val="20"/>
        </w:rPr>
        <w:t>Damaged &amp; delayed dragline—sues for lost revenue—rental value</w:t>
      </w:r>
    </w:p>
    <w:p w:rsidR="008E2C79" w:rsidRPr="009629B5" w:rsidRDefault="008E2C79" w:rsidP="008E2C79">
      <w:pPr>
        <w:ind w:left="720"/>
        <w:rPr>
          <w:b/>
          <w:sz w:val="20"/>
        </w:rPr>
      </w:pPr>
      <w:r w:rsidRPr="009629B5">
        <w:rPr>
          <w:b/>
          <w:sz w:val="20"/>
        </w:rPr>
        <w:t>Arguments:</w:t>
      </w:r>
    </w:p>
    <w:p w:rsidR="008E2C79" w:rsidRPr="009629B5" w:rsidRDefault="008E2C79" w:rsidP="000C5F32">
      <w:pPr>
        <w:pStyle w:val="NoSpacing"/>
        <w:numPr>
          <w:ilvl w:val="0"/>
          <w:numId w:val="17"/>
        </w:numPr>
        <w:rPr>
          <w:sz w:val="20"/>
        </w:rPr>
      </w:pPr>
      <w:r w:rsidRPr="009629B5">
        <w:rPr>
          <w:b/>
          <w:sz w:val="20"/>
        </w:rPr>
        <w:t>Martinez</w:t>
      </w:r>
      <w:r w:rsidRPr="009629B5">
        <w:rPr>
          <w:sz w:val="20"/>
        </w:rPr>
        <w:t>—machine worth its rental value for the month long delay</w:t>
      </w:r>
    </w:p>
    <w:p w:rsidR="008E2C79" w:rsidRPr="009629B5" w:rsidRDefault="008E2C79" w:rsidP="000C5F32">
      <w:pPr>
        <w:pStyle w:val="NoSpacing"/>
        <w:numPr>
          <w:ilvl w:val="0"/>
          <w:numId w:val="17"/>
        </w:numPr>
        <w:rPr>
          <w:i/>
          <w:sz w:val="20"/>
        </w:rPr>
      </w:pPr>
      <w:r w:rsidRPr="009629B5">
        <w:rPr>
          <w:b/>
          <w:sz w:val="20"/>
        </w:rPr>
        <w:t>SoPac</w:t>
      </w:r>
      <w:r w:rsidRPr="009629B5">
        <w:rPr>
          <w:sz w:val="20"/>
        </w:rPr>
        <w:t xml:space="preserve">—rental value is an unforeseeable cost under </w:t>
      </w:r>
      <w:r w:rsidRPr="009629B5">
        <w:rPr>
          <w:i/>
          <w:sz w:val="20"/>
        </w:rPr>
        <w:t>Hadley</w:t>
      </w:r>
    </w:p>
    <w:p w:rsidR="008E2C79" w:rsidRPr="009629B5" w:rsidRDefault="008E2C79" w:rsidP="000C5F32">
      <w:pPr>
        <w:pStyle w:val="NoSpacing"/>
        <w:numPr>
          <w:ilvl w:val="0"/>
          <w:numId w:val="17"/>
        </w:numPr>
        <w:rPr>
          <w:sz w:val="20"/>
        </w:rPr>
      </w:pPr>
      <w:r w:rsidRPr="009629B5">
        <w:rPr>
          <w:b/>
          <w:i/>
          <w:sz w:val="20"/>
        </w:rPr>
        <w:t>Adler</w:t>
      </w:r>
      <w:r w:rsidRPr="009629B5">
        <w:rPr>
          <w:b/>
          <w:sz w:val="20"/>
        </w:rPr>
        <w:t>—</w:t>
      </w:r>
      <w:r w:rsidRPr="009629B5">
        <w:rPr>
          <w:sz w:val="20"/>
        </w:rPr>
        <w:t xml:space="preserve">the court misses a big point here.  The </w:t>
      </w:r>
      <w:r w:rsidRPr="009629B5">
        <w:rPr>
          <w:b/>
          <w:sz w:val="20"/>
        </w:rPr>
        <w:t>rental cost is roughly equal to cover</w:t>
      </w:r>
      <w:r w:rsidRPr="009629B5">
        <w:rPr>
          <w:sz w:val="20"/>
        </w:rPr>
        <w:sym w:font="Wingdings" w:char="F0E0"/>
      </w:r>
      <w:r w:rsidRPr="009629B5">
        <w:rPr>
          <w:sz w:val="20"/>
        </w:rPr>
        <w:t xml:space="preserve"> use market price to determine the damages under expectation regardless of Martinez’s intended use for the dragline.</w:t>
      </w:r>
    </w:p>
    <w:p w:rsidR="008E2C79" w:rsidRPr="009629B5" w:rsidRDefault="008E2C79" w:rsidP="008E2C79">
      <w:pPr>
        <w:ind w:left="720"/>
        <w:rPr>
          <w:b/>
          <w:sz w:val="20"/>
        </w:rPr>
      </w:pPr>
      <w:r w:rsidRPr="009629B5">
        <w:rPr>
          <w:b/>
          <w:sz w:val="20"/>
        </w:rPr>
        <w:t>Decision:</w:t>
      </w:r>
    </w:p>
    <w:p w:rsidR="008E2C79" w:rsidRPr="009629B5" w:rsidRDefault="008E2C79" w:rsidP="000C5F32">
      <w:pPr>
        <w:pStyle w:val="ListParagraph"/>
        <w:numPr>
          <w:ilvl w:val="0"/>
          <w:numId w:val="17"/>
        </w:numPr>
        <w:rPr>
          <w:sz w:val="20"/>
        </w:rPr>
      </w:pPr>
      <w:r w:rsidRPr="009629B5">
        <w:rPr>
          <w:sz w:val="20"/>
        </w:rPr>
        <w:t xml:space="preserve">Martinez could recover losses during delay—not while the dragline was under repair (already settled)  </w:t>
      </w:r>
    </w:p>
    <w:p w:rsidR="00476418" w:rsidRPr="009629B5" w:rsidRDefault="007C09FA" w:rsidP="000B657B">
      <w:pPr>
        <w:pStyle w:val="Heading6"/>
        <w:rPr>
          <w:sz w:val="20"/>
        </w:rPr>
      </w:pPr>
      <w:r w:rsidRPr="009629B5">
        <w:rPr>
          <w:sz w:val="20"/>
        </w:rPr>
        <w:t>Morrow v First National Bank of Hot Spring—1977</w:t>
      </w:r>
    </w:p>
    <w:p w:rsidR="000B657B" w:rsidRPr="009629B5" w:rsidRDefault="000B657B" w:rsidP="000B657B">
      <w:pPr>
        <w:ind w:left="720"/>
        <w:rPr>
          <w:i/>
          <w:sz w:val="20"/>
        </w:rPr>
      </w:pPr>
      <w:r w:rsidRPr="009629B5">
        <w:rPr>
          <w:i/>
          <w:sz w:val="20"/>
        </w:rPr>
        <w:t>Coin collectors robbed—sue bank for not informing them of the availability of a safety deposit box</w:t>
      </w:r>
    </w:p>
    <w:p w:rsidR="000B657B" w:rsidRPr="009629B5" w:rsidRDefault="000B657B" w:rsidP="000B657B">
      <w:pPr>
        <w:ind w:left="720"/>
        <w:rPr>
          <w:rStyle w:val="Heading3Char"/>
        </w:rPr>
      </w:pPr>
      <w:r w:rsidRPr="009629B5">
        <w:rPr>
          <w:b/>
          <w:sz w:val="20"/>
        </w:rPr>
        <w:t xml:space="preserve">Holding: </w:t>
      </w:r>
      <w:r w:rsidRPr="009629B5">
        <w:rPr>
          <w:sz w:val="20"/>
        </w:rPr>
        <w:t>$75 deposit insufficient to imply an insurance policy on coins</w:t>
      </w:r>
    </w:p>
    <w:p w:rsidR="000B657B" w:rsidRPr="009629B5" w:rsidRDefault="000B657B" w:rsidP="00671F6F">
      <w:pPr>
        <w:ind w:left="720"/>
        <w:rPr>
          <w:sz w:val="20"/>
        </w:rPr>
      </w:pPr>
      <w:r w:rsidRPr="009629B5">
        <w:rPr>
          <w:rStyle w:val="Heading3Char"/>
          <w:sz w:val="20"/>
        </w:rPr>
        <w:t>Tacit Agreement Rule:</w:t>
      </w:r>
      <w:r w:rsidRPr="009629B5">
        <w:rPr>
          <w:sz w:val="20"/>
        </w:rPr>
        <w:t xml:space="preserve"> even foreseeable damages (like valuable coins being stolen) are not included in expectation damages unless the promisor implicitly assumes </w:t>
      </w:r>
      <w:r w:rsidR="00671F6F" w:rsidRPr="009629B5">
        <w:rPr>
          <w:sz w:val="20"/>
        </w:rPr>
        <w:t>responsibility</w:t>
      </w:r>
    </w:p>
    <w:p w:rsidR="00DE124D" w:rsidRPr="009629B5" w:rsidRDefault="00DE124D" w:rsidP="00DE124D">
      <w:pPr>
        <w:pStyle w:val="Heading2"/>
        <w:rPr>
          <w:sz w:val="24"/>
        </w:rPr>
      </w:pPr>
      <w:bookmarkStart w:id="10" w:name="_Toc122512864"/>
      <w:r w:rsidRPr="009629B5">
        <w:rPr>
          <w:sz w:val="24"/>
        </w:rPr>
        <w:t>CERTAINTY</w:t>
      </w:r>
      <w:r w:rsidR="00671F6F" w:rsidRPr="009629B5">
        <w:rPr>
          <w:sz w:val="24"/>
        </w:rPr>
        <w:t xml:space="preserve"> &amp; RELIANCE INTEREST</w:t>
      </w:r>
      <w:r w:rsidRPr="009629B5">
        <w:rPr>
          <w:sz w:val="24"/>
        </w:rPr>
        <w:t>—Dempsey—Anglia—Mistletoe</w:t>
      </w:r>
      <w:bookmarkEnd w:id="10"/>
    </w:p>
    <w:p w:rsidR="007E1479" w:rsidRPr="009629B5" w:rsidRDefault="007E1479" w:rsidP="007E1479">
      <w:pPr>
        <w:pStyle w:val="Heading3"/>
        <w:rPr>
          <w:sz w:val="20"/>
        </w:rPr>
      </w:pPr>
      <w:bookmarkStart w:id="11" w:name="_Toc122512865"/>
      <w:r w:rsidRPr="009629B5">
        <w:rPr>
          <w:sz w:val="20"/>
        </w:rPr>
        <w:t>Abel &amp; Baker Concert Hypothetical</w:t>
      </w:r>
      <w:bookmarkEnd w:id="11"/>
    </w:p>
    <w:p w:rsidR="007E1479" w:rsidRPr="009629B5" w:rsidRDefault="007E1479" w:rsidP="000C5F32">
      <w:pPr>
        <w:pStyle w:val="ListParagraph"/>
        <w:numPr>
          <w:ilvl w:val="0"/>
          <w:numId w:val="17"/>
        </w:numPr>
        <w:autoSpaceDE w:val="0"/>
        <w:autoSpaceDN w:val="0"/>
        <w:adjustRightInd w:val="0"/>
        <w:contextualSpacing w:val="0"/>
        <w:rPr>
          <w:rFonts w:cs="Tahoma"/>
          <w:sz w:val="20"/>
          <w:szCs w:val="18"/>
        </w:rPr>
      </w:pPr>
      <w:r w:rsidRPr="009629B5">
        <w:rPr>
          <w:rFonts w:cs="Tahoma"/>
          <w:sz w:val="20"/>
          <w:szCs w:val="18"/>
        </w:rPr>
        <w:t>Abel agrees to sing at Baker’s concert hall for $100,000</w:t>
      </w:r>
    </w:p>
    <w:p w:rsidR="007E1479" w:rsidRPr="009629B5" w:rsidRDefault="007E1479" w:rsidP="000C5F32">
      <w:pPr>
        <w:pStyle w:val="ListParagraph"/>
        <w:numPr>
          <w:ilvl w:val="0"/>
          <w:numId w:val="17"/>
        </w:numPr>
        <w:autoSpaceDE w:val="0"/>
        <w:autoSpaceDN w:val="0"/>
        <w:adjustRightInd w:val="0"/>
        <w:contextualSpacing w:val="0"/>
        <w:rPr>
          <w:rFonts w:cs="Tahoma"/>
          <w:sz w:val="20"/>
          <w:szCs w:val="18"/>
        </w:rPr>
      </w:pPr>
      <w:r w:rsidRPr="009629B5">
        <w:rPr>
          <w:rFonts w:cs="Tahoma"/>
          <w:sz w:val="20"/>
          <w:szCs w:val="18"/>
        </w:rPr>
        <w:t xml:space="preserve">Reliance: Baker spends $10,000 in promoting the concert. </w:t>
      </w:r>
    </w:p>
    <w:p w:rsidR="007E1479" w:rsidRPr="009629B5" w:rsidRDefault="007E1479" w:rsidP="000C5F32">
      <w:pPr>
        <w:pStyle w:val="ListParagraph"/>
        <w:numPr>
          <w:ilvl w:val="0"/>
          <w:numId w:val="17"/>
        </w:numPr>
        <w:autoSpaceDE w:val="0"/>
        <w:autoSpaceDN w:val="0"/>
        <w:adjustRightInd w:val="0"/>
        <w:contextualSpacing w:val="0"/>
        <w:rPr>
          <w:rFonts w:cs="Tahoma"/>
          <w:sz w:val="20"/>
          <w:szCs w:val="18"/>
        </w:rPr>
      </w:pPr>
      <w:r w:rsidRPr="009629B5">
        <w:rPr>
          <w:rFonts w:cs="Tahoma"/>
          <w:sz w:val="20"/>
          <w:szCs w:val="18"/>
        </w:rPr>
        <w:t>before the concert, but after promotional expenditure, Abel repudiates</w:t>
      </w:r>
    </w:p>
    <w:p w:rsidR="007E1479" w:rsidRPr="009629B5" w:rsidRDefault="007E1479" w:rsidP="000C5F32">
      <w:pPr>
        <w:pStyle w:val="ListParagraph"/>
        <w:numPr>
          <w:ilvl w:val="0"/>
          <w:numId w:val="17"/>
        </w:numPr>
        <w:autoSpaceDE w:val="0"/>
        <w:autoSpaceDN w:val="0"/>
        <w:adjustRightInd w:val="0"/>
        <w:contextualSpacing w:val="0"/>
        <w:rPr>
          <w:rFonts w:cs="Tahoma"/>
          <w:sz w:val="20"/>
          <w:szCs w:val="18"/>
        </w:rPr>
      </w:pPr>
      <w:r w:rsidRPr="009629B5">
        <w:rPr>
          <w:rFonts w:cs="Tahoma"/>
          <w:sz w:val="20"/>
          <w:szCs w:val="18"/>
        </w:rPr>
        <w:t xml:space="preserve">Baker hires Charley instead, for the same $100,000 </w:t>
      </w:r>
    </w:p>
    <w:p w:rsidR="007E1479" w:rsidRPr="009629B5" w:rsidRDefault="007E1479" w:rsidP="000C5F32">
      <w:pPr>
        <w:pStyle w:val="ListParagraph"/>
        <w:numPr>
          <w:ilvl w:val="0"/>
          <w:numId w:val="17"/>
        </w:numPr>
        <w:autoSpaceDE w:val="0"/>
        <w:autoSpaceDN w:val="0"/>
        <w:adjustRightInd w:val="0"/>
        <w:contextualSpacing w:val="0"/>
        <w:rPr>
          <w:rFonts w:cs="Tahoma"/>
          <w:sz w:val="20"/>
          <w:szCs w:val="18"/>
        </w:rPr>
      </w:pPr>
      <w:r w:rsidRPr="009629B5">
        <w:rPr>
          <w:rFonts w:cs="Tahoma"/>
          <w:sz w:val="20"/>
          <w:szCs w:val="18"/>
        </w:rPr>
        <w:t xml:space="preserve">Baker reasonably promotes Charley’s concert with an additional $10,000 expenditure. </w:t>
      </w:r>
    </w:p>
    <w:p w:rsidR="007E1479" w:rsidRPr="009629B5" w:rsidRDefault="007E1479" w:rsidP="000C5F32">
      <w:pPr>
        <w:pStyle w:val="ListParagraph"/>
        <w:numPr>
          <w:ilvl w:val="0"/>
          <w:numId w:val="17"/>
        </w:numPr>
        <w:autoSpaceDE w:val="0"/>
        <w:autoSpaceDN w:val="0"/>
        <w:adjustRightInd w:val="0"/>
        <w:contextualSpacing w:val="0"/>
        <w:rPr>
          <w:rFonts w:cs="Tahoma"/>
          <w:sz w:val="20"/>
          <w:szCs w:val="18"/>
        </w:rPr>
      </w:pPr>
      <w:r w:rsidRPr="009629B5">
        <w:rPr>
          <w:rFonts w:cs="Tahoma"/>
          <w:sz w:val="20"/>
          <w:szCs w:val="18"/>
        </w:rPr>
        <w:t>At Charley’s concert, Baker takes in $150,000 in revenues net of trivial additional expenses</w:t>
      </w:r>
    </w:p>
    <w:p w:rsidR="007E1479" w:rsidRPr="009629B5" w:rsidRDefault="007E1479" w:rsidP="007E1479">
      <w:pPr>
        <w:autoSpaceDE w:val="0"/>
        <w:autoSpaceDN w:val="0"/>
        <w:adjustRightInd w:val="0"/>
        <w:rPr>
          <w:rFonts w:cs="Tahoma"/>
          <w:sz w:val="20"/>
          <w:szCs w:val="18"/>
        </w:rPr>
      </w:pPr>
      <w:r w:rsidRPr="009629B5">
        <w:rPr>
          <w:rFonts w:cs="Tahoma"/>
          <w:sz w:val="20"/>
          <w:szCs w:val="18"/>
        </w:rPr>
        <w:t xml:space="preserve">Baker sues Abel for her breach—believes that based on his initial promotion (which was entirely wasted), the Abel concert </w:t>
      </w:r>
      <w:r w:rsidRPr="009629B5">
        <w:rPr>
          <w:rFonts w:cs="Tahoma"/>
          <w:b/>
          <w:sz w:val="20"/>
          <w:szCs w:val="18"/>
        </w:rPr>
        <w:t>would have generated $200,000 in revenues</w:t>
      </w:r>
      <w:r w:rsidRPr="009629B5">
        <w:rPr>
          <w:rFonts w:cs="Tahoma"/>
          <w:sz w:val="20"/>
          <w:szCs w:val="18"/>
        </w:rPr>
        <w:t xml:space="preserve">, again net of trivial additional expenses, </w:t>
      </w:r>
      <w:r w:rsidRPr="009629B5">
        <w:rPr>
          <w:rFonts w:cs="Tahoma"/>
          <w:sz w:val="20"/>
          <w:szCs w:val="18"/>
        </w:rPr>
        <w:sym w:font="Wingdings" w:char="F0E0"/>
      </w:r>
      <w:r w:rsidRPr="009629B5">
        <w:rPr>
          <w:rFonts w:cs="Tahoma"/>
          <w:sz w:val="20"/>
          <w:szCs w:val="18"/>
        </w:rPr>
        <w:t xml:space="preserve"> loss from Abel’s breach is thus $60,000.</w:t>
      </w:r>
    </w:p>
    <w:p w:rsidR="007E1479" w:rsidRPr="009629B5" w:rsidRDefault="007E1479" w:rsidP="007E1479">
      <w:pPr>
        <w:autoSpaceDE w:val="0"/>
        <w:autoSpaceDN w:val="0"/>
        <w:adjustRightInd w:val="0"/>
        <w:spacing w:after="0"/>
        <w:rPr>
          <w:rFonts w:cs="Tahoma"/>
          <w:sz w:val="20"/>
          <w:szCs w:val="18"/>
        </w:rPr>
      </w:pPr>
      <w:r w:rsidRPr="009629B5">
        <w:rPr>
          <w:rFonts w:cs="Tahoma"/>
          <w:b/>
          <w:sz w:val="20"/>
          <w:szCs w:val="18"/>
        </w:rPr>
        <w:t>Probable Outcome:</w:t>
      </w:r>
      <w:r w:rsidRPr="009629B5">
        <w:rPr>
          <w:rFonts w:cs="Tahoma"/>
          <w:sz w:val="20"/>
          <w:szCs w:val="18"/>
        </w:rPr>
        <w:t xml:space="preserve"> court might conclude that the difference in revenues between the Charley and the</w:t>
      </w:r>
      <w:r w:rsidRPr="009629B5">
        <w:rPr>
          <w:rFonts w:cs="Tahoma"/>
          <w:sz w:val="20"/>
          <w:szCs w:val="29"/>
        </w:rPr>
        <w:t xml:space="preserve"> </w:t>
      </w:r>
      <w:r w:rsidRPr="009629B5">
        <w:rPr>
          <w:rFonts w:cs="Tahoma"/>
          <w:sz w:val="20"/>
          <w:szCs w:val="18"/>
        </w:rPr>
        <w:t>Abel concert were too speculative to award.</w:t>
      </w:r>
      <w:r w:rsidRPr="009629B5">
        <w:rPr>
          <w:rFonts w:cs="Tahoma"/>
          <w:sz w:val="20"/>
          <w:szCs w:val="29"/>
        </w:rPr>
        <w:t xml:space="preserve"> </w:t>
      </w:r>
      <w:r w:rsidRPr="009629B5">
        <w:rPr>
          <w:rFonts w:cs="Tahoma"/>
          <w:sz w:val="20"/>
          <w:szCs w:val="18"/>
        </w:rPr>
        <w:t xml:space="preserve">But Baker’s </w:t>
      </w:r>
      <w:r w:rsidRPr="009629B5">
        <w:rPr>
          <w:rFonts w:cs="Tahoma"/>
          <w:b/>
          <w:sz w:val="20"/>
          <w:szCs w:val="18"/>
        </w:rPr>
        <w:t>$10,000</w:t>
      </w:r>
      <w:r w:rsidRPr="009629B5">
        <w:rPr>
          <w:rFonts w:cs="Tahoma"/>
          <w:sz w:val="20"/>
          <w:szCs w:val="18"/>
        </w:rPr>
        <w:t xml:space="preserve"> wasted promotional expenditure (included in his $60,000 failed</w:t>
      </w:r>
      <w:r w:rsidRPr="009629B5">
        <w:rPr>
          <w:rFonts w:cs="Tahoma"/>
          <w:sz w:val="20"/>
          <w:szCs w:val="29"/>
        </w:rPr>
        <w:t xml:space="preserve"> </w:t>
      </w:r>
      <w:r w:rsidRPr="009629B5">
        <w:rPr>
          <w:rFonts w:cs="Tahoma"/>
          <w:sz w:val="20"/>
          <w:szCs w:val="18"/>
        </w:rPr>
        <w:t xml:space="preserve">expectation claim) would be awarded here as </w:t>
      </w:r>
      <w:r w:rsidRPr="009629B5">
        <w:rPr>
          <w:rFonts w:cs="Tahoma"/>
          <w:b/>
          <w:sz w:val="20"/>
          <w:szCs w:val="18"/>
        </w:rPr>
        <w:t>reliance damages</w:t>
      </w:r>
      <w:r w:rsidRPr="009629B5">
        <w:rPr>
          <w:rFonts w:cs="Tahoma"/>
          <w:sz w:val="20"/>
          <w:szCs w:val="18"/>
        </w:rPr>
        <w:t xml:space="preserve">. </w:t>
      </w:r>
    </w:p>
    <w:p w:rsidR="00671F6F" w:rsidRPr="009629B5" w:rsidRDefault="007E1479" w:rsidP="007E1479">
      <w:pPr>
        <w:autoSpaceDE w:val="0"/>
        <w:autoSpaceDN w:val="0"/>
        <w:adjustRightInd w:val="0"/>
        <w:spacing w:after="0"/>
        <w:ind w:left="720"/>
        <w:rPr>
          <w:rFonts w:cs="Tahoma"/>
          <w:sz w:val="20"/>
          <w:szCs w:val="20"/>
        </w:rPr>
      </w:pPr>
      <w:r w:rsidRPr="009629B5">
        <w:rPr>
          <w:rFonts w:cs="Tahoma"/>
          <w:sz w:val="20"/>
          <w:szCs w:val="18"/>
        </w:rPr>
        <w:t>How might this award be</w:t>
      </w:r>
      <w:r w:rsidRPr="009629B5">
        <w:rPr>
          <w:rFonts w:cs="Tahoma"/>
          <w:sz w:val="20"/>
          <w:szCs w:val="29"/>
        </w:rPr>
        <w:t xml:space="preserve"> </w:t>
      </w:r>
      <w:r w:rsidRPr="009629B5">
        <w:rPr>
          <w:rFonts w:cs="Tahoma"/>
          <w:sz w:val="20"/>
          <w:szCs w:val="18"/>
        </w:rPr>
        <w:t>recharacterized?</w:t>
      </w:r>
      <w:r w:rsidRPr="009629B5">
        <w:rPr>
          <w:rFonts w:cs="Tahoma"/>
          <w:sz w:val="20"/>
          <w:szCs w:val="29"/>
        </w:rPr>
        <w:t xml:space="preserve"> </w:t>
      </w:r>
      <w:r w:rsidRPr="009629B5">
        <w:rPr>
          <w:rFonts w:cs="Tahoma"/>
          <w:sz w:val="20"/>
          <w:szCs w:val="20"/>
        </w:rPr>
        <w:t>As the provable portion of an expectation remedy.</w:t>
      </w:r>
    </w:p>
    <w:p w:rsidR="007E1479" w:rsidRPr="009629B5" w:rsidRDefault="007E1479" w:rsidP="007E1479">
      <w:pPr>
        <w:pStyle w:val="Heading6"/>
        <w:rPr>
          <w:sz w:val="20"/>
        </w:rPr>
      </w:pPr>
      <w:r w:rsidRPr="009629B5">
        <w:rPr>
          <w:sz w:val="20"/>
        </w:rPr>
        <w:t>Chicago Coliseum Club v Dempsey—1932—ADLER DOES NOT LIKE</w:t>
      </w:r>
    </w:p>
    <w:p w:rsidR="007E1479" w:rsidRPr="009629B5" w:rsidRDefault="007E1479" w:rsidP="007E1479">
      <w:pPr>
        <w:ind w:left="720"/>
        <w:rPr>
          <w:sz w:val="20"/>
        </w:rPr>
      </w:pPr>
      <w:r w:rsidRPr="009629B5">
        <w:rPr>
          <w:sz w:val="20"/>
        </w:rPr>
        <w:t>CCC sued for:</w:t>
      </w:r>
    </w:p>
    <w:p w:rsidR="007E1479" w:rsidRPr="009629B5" w:rsidRDefault="007E1479" w:rsidP="000C5F32">
      <w:pPr>
        <w:numPr>
          <w:ilvl w:val="0"/>
          <w:numId w:val="18"/>
        </w:numPr>
        <w:rPr>
          <w:sz w:val="20"/>
        </w:rPr>
      </w:pPr>
      <w:r w:rsidRPr="009629B5">
        <w:rPr>
          <w:b/>
          <w:sz w:val="20"/>
        </w:rPr>
        <w:t>Expected profits</w:t>
      </w:r>
      <w:r w:rsidRPr="009629B5">
        <w:rPr>
          <w:sz w:val="20"/>
        </w:rPr>
        <w:t>—not awarded—not a “reasonable degree of certainty”</w:t>
      </w:r>
    </w:p>
    <w:p w:rsidR="007E1479" w:rsidRPr="009629B5" w:rsidRDefault="007E1479" w:rsidP="007E1479">
      <w:pPr>
        <w:ind w:left="1080"/>
        <w:rPr>
          <w:sz w:val="20"/>
        </w:rPr>
      </w:pPr>
      <w:r w:rsidRPr="009629B5">
        <w:rPr>
          <w:b/>
          <w:sz w:val="20"/>
        </w:rPr>
        <w:t>**Adler—court should have used old fight ticket sales to estimate.</w:t>
      </w:r>
      <w:r w:rsidRPr="009629B5">
        <w:rPr>
          <w:sz w:val="20"/>
        </w:rPr>
        <w:t xml:space="preserve">  It’s almost as if they say the damages were so high they couldn’t be accurately estimated so they just assign zero.</w:t>
      </w:r>
    </w:p>
    <w:p w:rsidR="007E1479" w:rsidRPr="009629B5" w:rsidRDefault="007E1479" w:rsidP="000C5F32">
      <w:pPr>
        <w:numPr>
          <w:ilvl w:val="0"/>
          <w:numId w:val="18"/>
        </w:numPr>
        <w:rPr>
          <w:sz w:val="20"/>
        </w:rPr>
      </w:pPr>
      <w:r w:rsidRPr="009629B5">
        <w:rPr>
          <w:sz w:val="20"/>
        </w:rPr>
        <w:t xml:space="preserve">Expenses incurred </w:t>
      </w:r>
      <w:r w:rsidRPr="009629B5">
        <w:rPr>
          <w:b/>
          <w:sz w:val="20"/>
        </w:rPr>
        <w:t>procuring the contract</w:t>
      </w:r>
      <w:r w:rsidRPr="009629B5">
        <w:rPr>
          <w:sz w:val="20"/>
        </w:rPr>
        <w:t>—lower court: ?—now: No—“plaintiff speculated”</w:t>
      </w:r>
    </w:p>
    <w:p w:rsidR="007E1479" w:rsidRPr="009629B5" w:rsidRDefault="007E1479" w:rsidP="000C5F32">
      <w:pPr>
        <w:numPr>
          <w:ilvl w:val="0"/>
          <w:numId w:val="18"/>
        </w:numPr>
        <w:rPr>
          <w:sz w:val="20"/>
        </w:rPr>
      </w:pPr>
      <w:r w:rsidRPr="009629B5">
        <w:rPr>
          <w:sz w:val="20"/>
        </w:rPr>
        <w:t xml:space="preserve">Expenses incurred </w:t>
      </w:r>
      <w:r w:rsidRPr="009629B5">
        <w:rPr>
          <w:b/>
          <w:sz w:val="20"/>
        </w:rPr>
        <w:t>trying to compel</w:t>
      </w:r>
      <w:r w:rsidRPr="009629B5">
        <w:rPr>
          <w:sz w:val="20"/>
        </w:rPr>
        <w:t xml:space="preserve"> Dempsey to perform </w:t>
      </w:r>
      <w:r w:rsidRPr="009629B5">
        <w:rPr>
          <w:i/>
          <w:sz w:val="20"/>
        </w:rPr>
        <w:t>after repudiation</w:t>
      </w:r>
      <w:r w:rsidRPr="009629B5">
        <w:rPr>
          <w:sz w:val="20"/>
        </w:rPr>
        <w:t xml:space="preserve">—lower court: ?—now: No—“plaintiff having been informed that the defendant intended to proceed no further under his agreement, took such steps </w:t>
      </w:r>
      <w:r w:rsidRPr="009629B5">
        <w:rPr>
          <w:b/>
          <w:sz w:val="20"/>
        </w:rPr>
        <w:t>at his own financial risk</w:t>
      </w:r>
      <w:r w:rsidRPr="009629B5">
        <w:rPr>
          <w:sz w:val="20"/>
        </w:rPr>
        <w:t>”</w:t>
      </w:r>
    </w:p>
    <w:p w:rsidR="007E1479" w:rsidRPr="009629B5" w:rsidRDefault="007E1479" w:rsidP="000C5F32">
      <w:pPr>
        <w:numPr>
          <w:ilvl w:val="0"/>
          <w:numId w:val="18"/>
        </w:numPr>
        <w:rPr>
          <w:sz w:val="20"/>
        </w:rPr>
      </w:pPr>
      <w:r w:rsidRPr="009629B5">
        <w:rPr>
          <w:sz w:val="20"/>
        </w:rPr>
        <w:t xml:space="preserve">Expenses incurred </w:t>
      </w:r>
      <w:r w:rsidRPr="009629B5">
        <w:rPr>
          <w:b/>
          <w:sz w:val="20"/>
        </w:rPr>
        <w:t>after signing and before breach</w:t>
      </w:r>
      <w:r w:rsidRPr="009629B5">
        <w:rPr>
          <w:sz w:val="20"/>
        </w:rPr>
        <w:t>—special expenses are recoverable, but not salaries paid to regular employees</w:t>
      </w:r>
    </w:p>
    <w:p w:rsidR="00514A60" w:rsidRPr="009629B5" w:rsidRDefault="00514A60" w:rsidP="00514A60">
      <w:pPr>
        <w:ind w:left="720"/>
        <w:rPr>
          <w:sz w:val="20"/>
        </w:rPr>
      </w:pPr>
      <w:r w:rsidRPr="009629B5">
        <w:rPr>
          <w:sz w:val="20"/>
        </w:rPr>
        <w:t>**</w:t>
      </w:r>
      <w:r w:rsidRPr="009629B5">
        <w:rPr>
          <w:i/>
          <w:sz w:val="20"/>
        </w:rPr>
        <w:t xml:space="preserve"> expectation damages don’t include “speculative” profits</w:t>
      </w:r>
      <w:r w:rsidRPr="009629B5">
        <w:rPr>
          <w:sz w:val="20"/>
        </w:rPr>
        <w:t xml:space="preserve">—not really the case.  The court could (and probably should) have used available information to make an estimate of profits—If a party wants the court to speculate and estimate profits, the burden of providing evidence to support the speculative profits falls to him.  Otherwise, </w:t>
      </w:r>
      <w:r w:rsidRPr="009629B5">
        <w:rPr>
          <w:b/>
          <w:i/>
          <w:sz w:val="20"/>
        </w:rPr>
        <w:t>the court assumes zero profits</w:t>
      </w:r>
      <w:r w:rsidRPr="009629B5">
        <w:rPr>
          <w:sz w:val="20"/>
        </w:rPr>
        <w:t xml:space="preserve"> come of the contract.</w:t>
      </w:r>
    </w:p>
    <w:p w:rsidR="007E1479" w:rsidRPr="009629B5" w:rsidRDefault="007E1479" w:rsidP="007E1479">
      <w:pPr>
        <w:pStyle w:val="Heading6"/>
        <w:rPr>
          <w:sz w:val="20"/>
        </w:rPr>
      </w:pPr>
      <w:r w:rsidRPr="009629B5">
        <w:rPr>
          <w:sz w:val="20"/>
        </w:rPr>
        <w:t>Anglia Television v Reed (Mr. Brady)—1971 (Britain)</w:t>
      </w:r>
    </w:p>
    <w:p w:rsidR="007E1479" w:rsidRPr="009629B5" w:rsidRDefault="007E1479" w:rsidP="007E1479">
      <w:pPr>
        <w:ind w:left="720"/>
        <w:rPr>
          <w:sz w:val="20"/>
        </w:rPr>
      </w:pPr>
      <w:r w:rsidRPr="009629B5">
        <w:rPr>
          <w:sz w:val="20"/>
        </w:rPr>
        <w:t xml:space="preserve">Anglia is awarded </w:t>
      </w:r>
      <w:r w:rsidRPr="009629B5">
        <w:rPr>
          <w:b/>
          <w:sz w:val="20"/>
        </w:rPr>
        <w:t xml:space="preserve">EXPECTATION DAMAGES </w:t>
      </w:r>
      <w:r w:rsidRPr="009629B5">
        <w:rPr>
          <w:sz w:val="20"/>
        </w:rPr>
        <w:t xml:space="preserve"> (not reliance damages) </w:t>
      </w:r>
      <w:r w:rsidRPr="009629B5">
        <w:rPr>
          <w:sz w:val="20"/>
        </w:rPr>
        <w:sym w:font="Wingdings" w:char="F0E0"/>
      </w:r>
      <w:r w:rsidRPr="009629B5">
        <w:rPr>
          <w:sz w:val="20"/>
        </w:rPr>
        <w:t xml:space="preserve"> court assumes that profit will be zero and expenses recouped—not too speculative</w:t>
      </w:r>
    </w:p>
    <w:p w:rsidR="00514A60" w:rsidRPr="009629B5" w:rsidRDefault="00514A60" w:rsidP="007E1479">
      <w:pPr>
        <w:ind w:left="720"/>
        <w:rPr>
          <w:sz w:val="20"/>
        </w:rPr>
      </w:pPr>
      <w:r w:rsidRPr="009629B5">
        <w:rPr>
          <w:sz w:val="20"/>
        </w:rPr>
        <w:t>**</w:t>
      </w:r>
      <w:r w:rsidRPr="009629B5">
        <w:rPr>
          <w:b/>
          <w:i/>
          <w:sz w:val="20"/>
        </w:rPr>
        <w:t>expectation</w:t>
      </w:r>
      <w:r w:rsidRPr="009629B5">
        <w:rPr>
          <w:i/>
          <w:sz w:val="20"/>
        </w:rPr>
        <w:t xml:space="preserve"> damages include wasted expenses, even before the contract was signed</w:t>
      </w:r>
      <w:r w:rsidRPr="009629B5">
        <w:rPr>
          <w:sz w:val="20"/>
        </w:rPr>
        <w:t xml:space="preserve">.  Since the court assumes that the project would just break even, </w:t>
      </w:r>
      <w:r w:rsidRPr="009629B5">
        <w:rPr>
          <w:i/>
          <w:sz w:val="20"/>
        </w:rPr>
        <w:t>all</w:t>
      </w:r>
      <w:r w:rsidRPr="009629B5">
        <w:rPr>
          <w:sz w:val="20"/>
        </w:rPr>
        <w:t xml:space="preserve"> wasted expenses can be recouped as expectation damages.  </w:t>
      </w:r>
      <w:r w:rsidRPr="009629B5">
        <w:rPr>
          <w:b/>
          <w:sz w:val="20"/>
        </w:rPr>
        <w:t>These are NOT reliance damages</w:t>
      </w:r>
      <w:r w:rsidRPr="009629B5">
        <w:rPr>
          <w:sz w:val="20"/>
        </w:rPr>
        <w:t xml:space="preserve"> (which can only be awarded for expenses after contract is signed.)</w:t>
      </w:r>
    </w:p>
    <w:p w:rsidR="007E1479" w:rsidRPr="009629B5" w:rsidRDefault="007E1479" w:rsidP="007E1479">
      <w:pPr>
        <w:pStyle w:val="Heading6"/>
        <w:rPr>
          <w:sz w:val="20"/>
        </w:rPr>
      </w:pPr>
      <w:r w:rsidRPr="009629B5">
        <w:rPr>
          <w:sz w:val="20"/>
        </w:rPr>
        <w:t>Mistletoe Express v Locke—1988</w:t>
      </w:r>
    </w:p>
    <w:p w:rsidR="007E1479" w:rsidRPr="009629B5" w:rsidRDefault="007E1479" w:rsidP="007E1479">
      <w:pPr>
        <w:ind w:left="720"/>
        <w:rPr>
          <w:i/>
          <w:sz w:val="20"/>
        </w:rPr>
      </w:pPr>
      <w:r w:rsidRPr="009629B5">
        <w:rPr>
          <w:i/>
          <w:sz w:val="20"/>
        </w:rPr>
        <w:t xml:space="preserve">Locke made a capital investment in shipping equipment—relied on a contract with Mistletoe—cancelled early.  </w:t>
      </w:r>
    </w:p>
    <w:p w:rsidR="007E1479" w:rsidRPr="009629B5" w:rsidRDefault="007E1479" w:rsidP="007E1479">
      <w:pPr>
        <w:ind w:left="720"/>
        <w:rPr>
          <w:b/>
          <w:i/>
          <w:sz w:val="20"/>
        </w:rPr>
      </w:pPr>
      <w:r w:rsidRPr="009629B5">
        <w:rPr>
          <w:b/>
          <w:i/>
          <w:sz w:val="20"/>
        </w:rPr>
        <w:t xml:space="preserve">“Where the contract requires a capital investment by one of the parties in order to perform, that party’s reasonable expectation of profit </w:t>
      </w:r>
      <w:r w:rsidRPr="009629B5">
        <w:rPr>
          <w:b/>
          <w:sz w:val="20"/>
        </w:rPr>
        <w:t>includes recouping the capital investment</w:t>
      </w:r>
      <w:r w:rsidRPr="009629B5">
        <w:rPr>
          <w:b/>
          <w:i/>
          <w:sz w:val="20"/>
        </w:rPr>
        <w:t>.”</w:t>
      </w:r>
    </w:p>
    <w:p w:rsidR="00514A60" w:rsidRPr="009629B5" w:rsidRDefault="00514A60" w:rsidP="00514A60">
      <w:pPr>
        <w:ind w:left="720"/>
        <w:rPr>
          <w:sz w:val="20"/>
        </w:rPr>
      </w:pPr>
      <w:r w:rsidRPr="009629B5">
        <w:rPr>
          <w:sz w:val="20"/>
        </w:rPr>
        <w:t>**</w:t>
      </w:r>
      <w:r w:rsidRPr="009629B5">
        <w:rPr>
          <w:b/>
          <w:i/>
          <w:sz w:val="20"/>
        </w:rPr>
        <w:t xml:space="preserve"> expectation</w:t>
      </w:r>
      <w:r w:rsidRPr="009629B5">
        <w:rPr>
          <w:i/>
          <w:sz w:val="20"/>
        </w:rPr>
        <w:t xml:space="preserve"> damages include losses on capital expenditures</w:t>
      </w:r>
      <w:r w:rsidRPr="009629B5">
        <w:rPr>
          <w:sz w:val="20"/>
        </w:rPr>
        <w:t xml:space="preserve"> because the court assumes a zero profit and the cost of investment would, necessarily, be recouped to break even on the project—These recouped expenses should be thought of in terms of </w:t>
      </w:r>
      <w:r w:rsidRPr="009629B5">
        <w:rPr>
          <w:b/>
          <w:sz w:val="20"/>
        </w:rPr>
        <w:t>profit</w:t>
      </w:r>
      <w:r w:rsidRPr="009629B5">
        <w:rPr>
          <w:sz w:val="20"/>
        </w:rPr>
        <w:t xml:space="preserve">.  Once we see them recouped on a zero profit project, the court doesn’t have to wildly speculate about potential profits and can use these wasted costs as an easy predictor of (otherwise) difficult to estimate expectation damages.  </w:t>
      </w:r>
    </w:p>
    <w:p w:rsidR="00514A60" w:rsidRPr="009629B5" w:rsidRDefault="00514A60" w:rsidP="00514A60">
      <w:pPr>
        <w:pStyle w:val="Heading3"/>
        <w:rPr>
          <w:sz w:val="20"/>
        </w:rPr>
      </w:pPr>
      <w:bookmarkStart w:id="12" w:name="_Toc122512866"/>
      <w:r w:rsidRPr="009629B5">
        <w:rPr>
          <w:sz w:val="20"/>
        </w:rPr>
        <w:t>Efficient Breach Hypothesis</w:t>
      </w:r>
      <w:bookmarkEnd w:id="12"/>
    </w:p>
    <w:tbl>
      <w:tblPr>
        <w:tblW w:w="10310" w:type="dxa"/>
        <w:tblInd w:w="37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750"/>
        <w:gridCol w:w="549"/>
        <w:gridCol w:w="661"/>
        <w:gridCol w:w="661"/>
        <w:gridCol w:w="1180"/>
        <w:gridCol w:w="2233"/>
        <w:gridCol w:w="2218"/>
        <w:gridCol w:w="2058"/>
      </w:tblGrid>
      <w:tr w:rsidR="00514A60" w:rsidRPr="009629B5">
        <w:tc>
          <w:tcPr>
            <w:tcW w:w="750" w:type="dxa"/>
            <w:vMerge w:val="restart"/>
            <w:tcBorders>
              <w:top w:val="single" w:sz="8" w:space="0" w:color="C0504D"/>
              <w:left w:val="single" w:sz="8" w:space="0" w:color="C0504D"/>
              <w:bottom w:val="single" w:sz="18" w:space="0" w:color="C0504D"/>
              <w:right w:val="single" w:sz="8" w:space="0" w:color="C0504D"/>
            </w:tcBorders>
            <w:vAlign w:val="bottom"/>
          </w:tcPr>
          <w:p w:rsidR="00514A60" w:rsidRPr="009629B5" w:rsidRDefault="00514A60" w:rsidP="00A866BB">
            <w:pPr>
              <w:jc w:val="center"/>
              <w:rPr>
                <w:rFonts w:eastAsia="Times New Roman"/>
                <w:b/>
                <w:bCs/>
                <w:sz w:val="20"/>
              </w:rPr>
            </w:pPr>
            <w:r w:rsidRPr="009629B5">
              <w:rPr>
                <w:rFonts w:eastAsia="Times New Roman"/>
                <w:b/>
                <w:bCs/>
                <w:sz w:val="20"/>
              </w:rPr>
              <w:t>Case</w:t>
            </w:r>
          </w:p>
        </w:tc>
        <w:tc>
          <w:tcPr>
            <w:tcW w:w="549" w:type="dxa"/>
            <w:vMerge w:val="restart"/>
            <w:tcBorders>
              <w:top w:val="single" w:sz="8" w:space="0" w:color="C0504D"/>
              <w:left w:val="single" w:sz="8" w:space="0" w:color="C0504D"/>
              <w:bottom w:val="single" w:sz="18" w:space="0" w:color="C0504D"/>
              <w:right w:val="single" w:sz="8" w:space="0" w:color="C0504D"/>
            </w:tcBorders>
            <w:vAlign w:val="bottom"/>
          </w:tcPr>
          <w:p w:rsidR="00514A60" w:rsidRPr="009629B5" w:rsidRDefault="00514A60" w:rsidP="00A866BB">
            <w:pPr>
              <w:jc w:val="center"/>
              <w:rPr>
                <w:rFonts w:eastAsia="Times New Roman"/>
                <w:b/>
                <w:bCs/>
                <w:sz w:val="20"/>
              </w:rPr>
            </w:pPr>
            <w:r w:rsidRPr="009629B5">
              <w:rPr>
                <w:rFonts w:eastAsia="Times New Roman"/>
                <w:b/>
                <w:bCs/>
                <w:sz w:val="20"/>
              </w:rPr>
              <w:t>$5</w:t>
            </w:r>
          </w:p>
        </w:tc>
        <w:tc>
          <w:tcPr>
            <w:tcW w:w="661" w:type="dxa"/>
            <w:vMerge w:val="restart"/>
            <w:tcBorders>
              <w:top w:val="single" w:sz="8" w:space="0" w:color="C0504D"/>
              <w:left w:val="single" w:sz="8" w:space="0" w:color="C0504D"/>
              <w:bottom w:val="single" w:sz="18" w:space="0" w:color="C0504D"/>
              <w:right w:val="single" w:sz="8" w:space="0" w:color="C0504D"/>
            </w:tcBorders>
            <w:vAlign w:val="bottom"/>
          </w:tcPr>
          <w:p w:rsidR="00514A60" w:rsidRPr="009629B5" w:rsidRDefault="00514A60" w:rsidP="00A866BB">
            <w:pPr>
              <w:jc w:val="center"/>
              <w:rPr>
                <w:rFonts w:eastAsia="Times New Roman"/>
                <w:b/>
                <w:bCs/>
                <w:sz w:val="20"/>
              </w:rPr>
            </w:pPr>
            <w:r w:rsidRPr="009629B5">
              <w:rPr>
                <w:rFonts w:eastAsia="Times New Roman"/>
                <w:b/>
                <w:bCs/>
                <w:sz w:val="20"/>
              </w:rPr>
              <w:t>$10</w:t>
            </w:r>
          </w:p>
        </w:tc>
        <w:tc>
          <w:tcPr>
            <w:tcW w:w="661" w:type="dxa"/>
            <w:vMerge w:val="restart"/>
            <w:tcBorders>
              <w:top w:val="single" w:sz="8" w:space="0" w:color="C0504D"/>
              <w:left w:val="single" w:sz="8" w:space="0" w:color="C0504D"/>
              <w:bottom w:val="single" w:sz="18" w:space="0" w:color="C0504D"/>
              <w:right w:val="single" w:sz="8" w:space="0" w:color="C0504D"/>
            </w:tcBorders>
            <w:vAlign w:val="bottom"/>
          </w:tcPr>
          <w:p w:rsidR="00514A60" w:rsidRPr="009629B5" w:rsidRDefault="00514A60" w:rsidP="00A866BB">
            <w:pPr>
              <w:jc w:val="center"/>
              <w:rPr>
                <w:rFonts w:eastAsia="Times New Roman"/>
                <w:b/>
                <w:bCs/>
                <w:sz w:val="20"/>
              </w:rPr>
            </w:pPr>
            <w:r w:rsidRPr="009629B5">
              <w:rPr>
                <w:rFonts w:eastAsia="Times New Roman"/>
                <w:b/>
                <w:bCs/>
                <w:sz w:val="20"/>
              </w:rPr>
              <w:t>$15</w:t>
            </w:r>
          </w:p>
        </w:tc>
        <w:tc>
          <w:tcPr>
            <w:tcW w:w="1180" w:type="dxa"/>
            <w:tcBorders>
              <w:top w:val="single" w:sz="8" w:space="0" w:color="C0504D"/>
              <w:left w:val="single" w:sz="8" w:space="0" w:color="C0504D"/>
              <w:bottom w:val="nil"/>
              <w:right w:val="single" w:sz="8" w:space="0" w:color="C0504D"/>
            </w:tcBorders>
          </w:tcPr>
          <w:p w:rsidR="00514A60" w:rsidRPr="009629B5" w:rsidRDefault="00514A60" w:rsidP="00A866BB">
            <w:pPr>
              <w:jc w:val="center"/>
              <w:rPr>
                <w:rFonts w:eastAsia="Times New Roman"/>
                <w:b/>
                <w:bCs/>
                <w:sz w:val="20"/>
              </w:rPr>
            </w:pPr>
            <w:r w:rsidRPr="009629B5">
              <w:rPr>
                <w:rFonts w:eastAsia="Times New Roman"/>
                <w:b/>
                <w:bCs/>
                <w:sz w:val="20"/>
              </w:rPr>
              <w:t>Efficient?</w:t>
            </w:r>
          </w:p>
        </w:tc>
        <w:tc>
          <w:tcPr>
            <w:tcW w:w="2233" w:type="dxa"/>
            <w:tcBorders>
              <w:top w:val="single" w:sz="8" w:space="0" w:color="C0504D"/>
              <w:left w:val="single" w:sz="8" w:space="0" w:color="C0504D"/>
              <w:bottom w:val="nil"/>
              <w:right w:val="single" w:sz="8" w:space="0" w:color="C0504D"/>
            </w:tcBorders>
          </w:tcPr>
          <w:p w:rsidR="00514A60" w:rsidRPr="009629B5" w:rsidRDefault="00514A60" w:rsidP="00A866BB">
            <w:pPr>
              <w:jc w:val="center"/>
              <w:rPr>
                <w:rFonts w:eastAsia="Times New Roman"/>
                <w:b/>
                <w:bCs/>
                <w:sz w:val="20"/>
              </w:rPr>
            </w:pPr>
            <w:r w:rsidRPr="009629B5">
              <w:rPr>
                <w:rFonts w:eastAsia="Times New Roman"/>
                <w:b/>
                <w:bCs/>
                <w:sz w:val="20"/>
              </w:rPr>
              <w:t>Abel—if he performs</w:t>
            </w:r>
          </w:p>
        </w:tc>
        <w:tc>
          <w:tcPr>
            <w:tcW w:w="2218" w:type="dxa"/>
            <w:tcBorders>
              <w:top w:val="single" w:sz="8" w:space="0" w:color="C0504D"/>
              <w:left w:val="single" w:sz="8" w:space="0" w:color="C0504D"/>
              <w:bottom w:val="nil"/>
              <w:right w:val="single" w:sz="8" w:space="0" w:color="C0504D"/>
            </w:tcBorders>
          </w:tcPr>
          <w:p w:rsidR="00514A60" w:rsidRPr="009629B5" w:rsidRDefault="00514A60" w:rsidP="00A866BB">
            <w:pPr>
              <w:jc w:val="center"/>
              <w:rPr>
                <w:rFonts w:eastAsia="Times New Roman"/>
                <w:b/>
                <w:bCs/>
                <w:sz w:val="20"/>
              </w:rPr>
            </w:pPr>
            <w:r w:rsidRPr="009629B5">
              <w:rPr>
                <w:rFonts w:eastAsia="Times New Roman"/>
                <w:b/>
                <w:bCs/>
                <w:sz w:val="20"/>
              </w:rPr>
              <w:t>Abel—if he breaches</w:t>
            </w:r>
          </w:p>
        </w:tc>
        <w:tc>
          <w:tcPr>
            <w:tcW w:w="2058" w:type="dxa"/>
            <w:vMerge w:val="restart"/>
            <w:tcBorders>
              <w:top w:val="single" w:sz="8" w:space="0" w:color="C0504D"/>
              <w:left w:val="single" w:sz="8" w:space="0" w:color="C0504D"/>
              <w:bottom w:val="single" w:sz="18" w:space="0" w:color="C0504D"/>
              <w:right w:val="single" w:sz="8" w:space="0" w:color="C0504D"/>
            </w:tcBorders>
            <w:vAlign w:val="bottom"/>
          </w:tcPr>
          <w:p w:rsidR="00514A60" w:rsidRPr="009629B5" w:rsidRDefault="00514A60" w:rsidP="00A866BB">
            <w:pPr>
              <w:jc w:val="center"/>
              <w:rPr>
                <w:rFonts w:eastAsia="Times New Roman"/>
                <w:b/>
                <w:bCs/>
                <w:sz w:val="20"/>
              </w:rPr>
            </w:pPr>
            <w:r w:rsidRPr="009629B5">
              <w:rPr>
                <w:rFonts w:eastAsia="Times New Roman"/>
                <w:b/>
                <w:bCs/>
                <w:sz w:val="20"/>
              </w:rPr>
              <w:t>What will Abel do?</w:t>
            </w:r>
          </w:p>
        </w:tc>
      </w:tr>
      <w:tr w:rsidR="00514A60" w:rsidRPr="009629B5">
        <w:tc>
          <w:tcPr>
            <w:tcW w:w="750" w:type="dxa"/>
            <w:vMerge/>
            <w:tcBorders>
              <w:top w:val="single" w:sz="18" w:space="0" w:color="C0504D"/>
              <w:left w:val="single" w:sz="8" w:space="0" w:color="C0504D"/>
              <w:bottom w:val="single" w:sz="24" w:space="0" w:color="C0504D"/>
              <w:right w:val="single" w:sz="8" w:space="0" w:color="C0504D"/>
            </w:tcBorders>
            <w:shd w:val="clear" w:color="auto" w:fill="EFD3D2"/>
          </w:tcPr>
          <w:p w:rsidR="00514A60" w:rsidRPr="009629B5" w:rsidRDefault="00514A60" w:rsidP="00A866BB">
            <w:pPr>
              <w:rPr>
                <w:rFonts w:eastAsia="Times New Roman"/>
                <w:b/>
                <w:bCs/>
                <w:sz w:val="20"/>
              </w:rPr>
            </w:pPr>
          </w:p>
        </w:tc>
        <w:tc>
          <w:tcPr>
            <w:tcW w:w="549" w:type="dxa"/>
            <w:vMerge/>
            <w:tcBorders>
              <w:top w:val="single" w:sz="18" w:space="0" w:color="C0504D"/>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sz w:val="20"/>
              </w:rPr>
            </w:pPr>
          </w:p>
        </w:tc>
        <w:tc>
          <w:tcPr>
            <w:tcW w:w="661" w:type="dxa"/>
            <w:vMerge/>
            <w:tcBorders>
              <w:top w:val="single" w:sz="18" w:space="0" w:color="C0504D"/>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sz w:val="20"/>
              </w:rPr>
            </w:pPr>
          </w:p>
        </w:tc>
        <w:tc>
          <w:tcPr>
            <w:tcW w:w="661" w:type="dxa"/>
            <w:vMerge/>
            <w:tcBorders>
              <w:top w:val="single" w:sz="18" w:space="0" w:color="C0504D"/>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sz w:val="20"/>
              </w:rPr>
            </w:pPr>
          </w:p>
        </w:tc>
        <w:tc>
          <w:tcPr>
            <w:tcW w:w="1180" w:type="dxa"/>
            <w:tcBorders>
              <w:top w:val="nil"/>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b/>
                <w:sz w:val="20"/>
              </w:rPr>
            </w:pPr>
            <w:r w:rsidRPr="009629B5">
              <w:rPr>
                <w:b/>
                <w:sz w:val="20"/>
              </w:rPr>
              <w:t>V &gt; C ?</w:t>
            </w:r>
          </w:p>
        </w:tc>
        <w:tc>
          <w:tcPr>
            <w:tcW w:w="2233" w:type="dxa"/>
            <w:tcBorders>
              <w:top w:val="nil"/>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b/>
                <w:sz w:val="20"/>
              </w:rPr>
            </w:pPr>
            <w:r w:rsidRPr="009629B5">
              <w:rPr>
                <w:b/>
                <w:sz w:val="20"/>
              </w:rPr>
              <w:t xml:space="preserve"> $ P – C</w:t>
            </w:r>
          </w:p>
        </w:tc>
        <w:tc>
          <w:tcPr>
            <w:tcW w:w="2218" w:type="dxa"/>
            <w:tcBorders>
              <w:top w:val="nil"/>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b/>
                <w:sz w:val="20"/>
              </w:rPr>
            </w:pPr>
            <w:r w:rsidRPr="009629B5">
              <w:rPr>
                <w:b/>
                <w:sz w:val="20"/>
              </w:rPr>
              <w:t>$ P - V</w:t>
            </w:r>
          </w:p>
        </w:tc>
        <w:tc>
          <w:tcPr>
            <w:tcW w:w="2058" w:type="dxa"/>
            <w:vMerge/>
            <w:tcBorders>
              <w:top w:val="single" w:sz="8" w:space="0" w:color="C0504D"/>
              <w:left w:val="single" w:sz="8" w:space="0" w:color="C0504D"/>
              <w:bottom w:val="single" w:sz="24" w:space="0" w:color="C0504D"/>
              <w:right w:val="single" w:sz="8" w:space="0" w:color="C0504D"/>
            </w:tcBorders>
            <w:shd w:val="clear" w:color="auto" w:fill="EFD3D2"/>
          </w:tcPr>
          <w:p w:rsidR="00514A60" w:rsidRPr="009629B5" w:rsidRDefault="00514A60" w:rsidP="00A866BB">
            <w:pPr>
              <w:jc w:val="center"/>
              <w:rPr>
                <w:sz w:val="20"/>
              </w:rPr>
            </w:pPr>
          </w:p>
        </w:tc>
      </w:tr>
      <w:tr w:rsidR="00514A60" w:rsidRPr="009629B5">
        <w:tc>
          <w:tcPr>
            <w:tcW w:w="750"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rFonts w:eastAsia="Times New Roman"/>
                <w:b/>
                <w:bCs/>
                <w:sz w:val="20"/>
              </w:rPr>
            </w:pPr>
            <w:r w:rsidRPr="009629B5">
              <w:rPr>
                <w:rFonts w:eastAsia="Times New Roman"/>
                <w:b/>
                <w:bCs/>
                <w:sz w:val="20"/>
              </w:rPr>
              <w:t>1</w:t>
            </w:r>
          </w:p>
        </w:tc>
        <w:tc>
          <w:tcPr>
            <w:tcW w:w="549"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P</w:t>
            </w:r>
          </w:p>
        </w:tc>
        <w:tc>
          <w:tcPr>
            <w:tcW w:w="661"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C</w:t>
            </w:r>
          </w:p>
        </w:tc>
        <w:tc>
          <w:tcPr>
            <w:tcW w:w="661"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V</w:t>
            </w:r>
          </w:p>
        </w:tc>
        <w:tc>
          <w:tcPr>
            <w:tcW w:w="1180"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Yes</w:t>
            </w:r>
          </w:p>
        </w:tc>
        <w:tc>
          <w:tcPr>
            <w:tcW w:w="2233"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-5</w:t>
            </w:r>
          </w:p>
        </w:tc>
        <w:tc>
          <w:tcPr>
            <w:tcW w:w="2218"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-10</w:t>
            </w:r>
          </w:p>
        </w:tc>
        <w:tc>
          <w:tcPr>
            <w:tcW w:w="2058" w:type="dxa"/>
            <w:tcBorders>
              <w:top w:val="single" w:sz="24"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Perform</w:t>
            </w:r>
          </w:p>
        </w:tc>
      </w:tr>
      <w:tr w:rsidR="00514A60" w:rsidRPr="009629B5">
        <w:tc>
          <w:tcPr>
            <w:tcW w:w="750"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rFonts w:eastAsia="Times New Roman"/>
                <w:b/>
                <w:bCs/>
                <w:sz w:val="20"/>
              </w:rPr>
            </w:pPr>
            <w:r w:rsidRPr="009629B5">
              <w:rPr>
                <w:rFonts w:eastAsia="Times New Roman"/>
                <w:b/>
                <w:bCs/>
                <w:sz w:val="20"/>
              </w:rPr>
              <w:t>2</w:t>
            </w:r>
          </w:p>
        </w:tc>
        <w:tc>
          <w:tcPr>
            <w:tcW w:w="549"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C</w:t>
            </w:r>
          </w:p>
        </w:tc>
        <w:tc>
          <w:tcPr>
            <w:tcW w:w="661"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P</w:t>
            </w:r>
          </w:p>
        </w:tc>
        <w:tc>
          <w:tcPr>
            <w:tcW w:w="661"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V</w:t>
            </w:r>
          </w:p>
        </w:tc>
        <w:tc>
          <w:tcPr>
            <w:tcW w:w="1180"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Yes</w:t>
            </w:r>
          </w:p>
        </w:tc>
        <w:tc>
          <w:tcPr>
            <w:tcW w:w="2233"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5</w:t>
            </w:r>
          </w:p>
        </w:tc>
        <w:tc>
          <w:tcPr>
            <w:tcW w:w="2218"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-5</w:t>
            </w:r>
          </w:p>
        </w:tc>
        <w:tc>
          <w:tcPr>
            <w:tcW w:w="2058"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Perform</w:t>
            </w:r>
          </w:p>
        </w:tc>
      </w:tr>
      <w:tr w:rsidR="00514A60" w:rsidRPr="009629B5">
        <w:tc>
          <w:tcPr>
            <w:tcW w:w="750"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rFonts w:eastAsia="Times New Roman"/>
                <w:b/>
                <w:bCs/>
                <w:sz w:val="20"/>
              </w:rPr>
            </w:pPr>
            <w:r w:rsidRPr="009629B5">
              <w:rPr>
                <w:rFonts w:eastAsia="Times New Roman"/>
                <w:b/>
                <w:bCs/>
                <w:sz w:val="20"/>
              </w:rPr>
              <w:t>3</w:t>
            </w:r>
          </w:p>
        </w:tc>
        <w:tc>
          <w:tcPr>
            <w:tcW w:w="549"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C</w:t>
            </w:r>
          </w:p>
        </w:tc>
        <w:tc>
          <w:tcPr>
            <w:tcW w:w="661"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V</w:t>
            </w:r>
          </w:p>
        </w:tc>
        <w:tc>
          <w:tcPr>
            <w:tcW w:w="661"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P</w:t>
            </w:r>
          </w:p>
        </w:tc>
        <w:tc>
          <w:tcPr>
            <w:tcW w:w="1180"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No</w:t>
            </w:r>
          </w:p>
        </w:tc>
        <w:tc>
          <w:tcPr>
            <w:tcW w:w="2233"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10</w:t>
            </w:r>
          </w:p>
        </w:tc>
        <w:tc>
          <w:tcPr>
            <w:tcW w:w="2218"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 xml:space="preserve">5 </w:t>
            </w:r>
            <w:r w:rsidRPr="009629B5">
              <w:rPr>
                <w:sz w:val="20"/>
              </w:rPr>
              <w:sym w:font="Wingdings" w:char="F0E0"/>
            </w:r>
            <w:r w:rsidRPr="009629B5">
              <w:rPr>
                <w:sz w:val="20"/>
              </w:rPr>
              <w:t xml:space="preserve"> 0*</w:t>
            </w:r>
          </w:p>
        </w:tc>
        <w:tc>
          <w:tcPr>
            <w:tcW w:w="2058"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Perform</w:t>
            </w:r>
          </w:p>
        </w:tc>
      </w:tr>
      <w:tr w:rsidR="00514A60" w:rsidRPr="009629B5">
        <w:tc>
          <w:tcPr>
            <w:tcW w:w="750"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rFonts w:eastAsia="Times New Roman"/>
                <w:b/>
                <w:bCs/>
                <w:sz w:val="20"/>
              </w:rPr>
            </w:pPr>
            <w:r w:rsidRPr="009629B5">
              <w:rPr>
                <w:rFonts w:eastAsia="Times New Roman"/>
                <w:b/>
                <w:bCs/>
                <w:sz w:val="20"/>
              </w:rPr>
              <w:t>4</w:t>
            </w:r>
          </w:p>
        </w:tc>
        <w:tc>
          <w:tcPr>
            <w:tcW w:w="549"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P</w:t>
            </w:r>
          </w:p>
        </w:tc>
        <w:tc>
          <w:tcPr>
            <w:tcW w:w="661"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V</w:t>
            </w:r>
          </w:p>
        </w:tc>
        <w:tc>
          <w:tcPr>
            <w:tcW w:w="661"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C</w:t>
            </w:r>
          </w:p>
        </w:tc>
        <w:tc>
          <w:tcPr>
            <w:tcW w:w="1180"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No</w:t>
            </w:r>
          </w:p>
        </w:tc>
        <w:tc>
          <w:tcPr>
            <w:tcW w:w="2233"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-10</w:t>
            </w:r>
          </w:p>
        </w:tc>
        <w:tc>
          <w:tcPr>
            <w:tcW w:w="2218"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-5</w:t>
            </w:r>
          </w:p>
        </w:tc>
        <w:tc>
          <w:tcPr>
            <w:tcW w:w="2058"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Breach</w:t>
            </w:r>
          </w:p>
        </w:tc>
      </w:tr>
      <w:tr w:rsidR="00514A60" w:rsidRPr="009629B5">
        <w:tc>
          <w:tcPr>
            <w:tcW w:w="750"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rFonts w:eastAsia="Times New Roman"/>
                <w:b/>
                <w:bCs/>
                <w:sz w:val="20"/>
              </w:rPr>
            </w:pPr>
            <w:r w:rsidRPr="009629B5">
              <w:rPr>
                <w:rFonts w:eastAsia="Times New Roman"/>
                <w:b/>
                <w:bCs/>
                <w:sz w:val="20"/>
              </w:rPr>
              <w:t>5</w:t>
            </w:r>
          </w:p>
        </w:tc>
        <w:tc>
          <w:tcPr>
            <w:tcW w:w="549"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V</w:t>
            </w:r>
          </w:p>
        </w:tc>
        <w:tc>
          <w:tcPr>
            <w:tcW w:w="661"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P</w:t>
            </w:r>
          </w:p>
        </w:tc>
        <w:tc>
          <w:tcPr>
            <w:tcW w:w="661"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C</w:t>
            </w:r>
          </w:p>
        </w:tc>
        <w:tc>
          <w:tcPr>
            <w:tcW w:w="1180"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No</w:t>
            </w:r>
          </w:p>
        </w:tc>
        <w:tc>
          <w:tcPr>
            <w:tcW w:w="2233"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-5</w:t>
            </w:r>
          </w:p>
        </w:tc>
        <w:tc>
          <w:tcPr>
            <w:tcW w:w="2218"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 xml:space="preserve">5 </w:t>
            </w:r>
            <w:r w:rsidRPr="009629B5">
              <w:rPr>
                <w:sz w:val="20"/>
              </w:rPr>
              <w:sym w:font="Wingdings" w:char="F0E0"/>
            </w:r>
            <w:r w:rsidRPr="009629B5">
              <w:rPr>
                <w:sz w:val="20"/>
              </w:rPr>
              <w:t xml:space="preserve"> 0*</w:t>
            </w:r>
          </w:p>
        </w:tc>
        <w:tc>
          <w:tcPr>
            <w:tcW w:w="2058" w:type="dxa"/>
            <w:tcBorders>
              <w:top w:val="single" w:sz="8" w:space="0" w:color="C0504D"/>
              <w:left w:val="single" w:sz="8" w:space="0" w:color="C0504D"/>
              <w:bottom w:val="single" w:sz="8" w:space="0" w:color="C0504D"/>
              <w:right w:val="single" w:sz="8" w:space="0" w:color="C0504D"/>
            </w:tcBorders>
          </w:tcPr>
          <w:p w:rsidR="00514A60" w:rsidRPr="009629B5" w:rsidRDefault="00514A60" w:rsidP="00A866BB">
            <w:pPr>
              <w:jc w:val="center"/>
              <w:rPr>
                <w:sz w:val="20"/>
              </w:rPr>
            </w:pPr>
            <w:r w:rsidRPr="009629B5">
              <w:rPr>
                <w:sz w:val="20"/>
              </w:rPr>
              <w:t>Breach</w:t>
            </w:r>
          </w:p>
        </w:tc>
      </w:tr>
      <w:tr w:rsidR="00514A60" w:rsidRPr="009629B5">
        <w:tc>
          <w:tcPr>
            <w:tcW w:w="750"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rFonts w:eastAsia="Times New Roman"/>
                <w:b/>
                <w:bCs/>
                <w:sz w:val="20"/>
              </w:rPr>
            </w:pPr>
            <w:r w:rsidRPr="009629B5">
              <w:rPr>
                <w:rFonts w:eastAsia="Times New Roman"/>
                <w:b/>
                <w:bCs/>
                <w:sz w:val="20"/>
              </w:rPr>
              <w:t>6</w:t>
            </w:r>
          </w:p>
        </w:tc>
        <w:tc>
          <w:tcPr>
            <w:tcW w:w="549"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V</w:t>
            </w:r>
          </w:p>
        </w:tc>
        <w:tc>
          <w:tcPr>
            <w:tcW w:w="661"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C</w:t>
            </w:r>
          </w:p>
        </w:tc>
        <w:tc>
          <w:tcPr>
            <w:tcW w:w="661"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P</w:t>
            </w:r>
          </w:p>
        </w:tc>
        <w:tc>
          <w:tcPr>
            <w:tcW w:w="1180"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No</w:t>
            </w:r>
          </w:p>
        </w:tc>
        <w:tc>
          <w:tcPr>
            <w:tcW w:w="2233"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5</w:t>
            </w:r>
          </w:p>
        </w:tc>
        <w:tc>
          <w:tcPr>
            <w:tcW w:w="2218"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 xml:space="preserve">10 </w:t>
            </w:r>
            <w:r w:rsidRPr="009629B5">
              <w:rPr>
                <w:sz w:val="20"/>
              </w:rPr>
              <w:sym w:font="Wingdings" w:char="F0E0"/>
            </w:r>
            <w:r w:rsidRPr="009629B5">
              <w:rPr>
                <w:sz w:val="20"/>
              </w:rPr>
              <w:t xml:space="preserve"> 0*</w:t>
            </w:r>
          </w:p>
        </w:tc>
        <w:tc>
          <w:tcPr>
            <w:tcW w:w="2058" w:type="dxa"/>
            <w:tcBorders>
              <w:top w:val="single" w:sz="8" w:space="0" w:color="C0504D"/>
              <w:left w:val="single" w:sz="8" w:space="0" w:color="C0504D"/>
              <w:bottom w:val="single" w:sz="8" w:space="0" w:color="C0504D"/>
              <w:right w:val="single" w:sz="8" w:space="0" w:color="C0504D"/>
            </w:tcBorders>
            <w:shd w:val="clear" w:color="auto" w:fill="EFD3D2"/>
          </w:tcPr>
          <w:p w:rsidR="00514A60" w:rsidRPr="009629B5" w:rsidRDefault="00514A60" w:rsidP="00A866BB">
            <w:pPr>
              <w:jc w:val="center"/>
              <w:rPr>
                <w:sz w:val="20"/>
              </w:rPr>
            </w:pPr>
            <w:r w:rsidRPr="009629B5">
              <w:rPr>
                <w:sz w:val="20"/>
              </w:rPr>
              <w:t>Perform</w:t>
            </w:r>
          </w:p>
        </w:tc>
      </w:tr>
      <w:tr w:rsidR="00514A60" w:rsidRPr="009629B5">
        <w:tc>
          <w:tcPr>
            <w:tcW w:w="10310" w:type="dxa"/>
            <w:gridSpan w:val="8"/>
            <w:tcBorders>
              <w:top w:val="single" w:sz="8" w:space="0" w:color="C0504D"/>
              <w:left w:val="single" w:sz="8" w:space="0" w:color="C0504D"/>
              <w:bottom w:val="single" w:sz="8" w:space="0" w:color="C0504D"/>
              <w:right w:val="single" w:sz="8" w:space="0" w:color="C0504D"/>
            </w:tcBorders>
          </w:tcPr>
          <w:p w:rsidR="00514A60" w:rsidRPr="009629B5" w:rsidRDefault="00514A60" w:rsidP="0062724F">
            <w:pPr>
              <w:jc w:val="center"/>
              <w:rPr>
                <w:rFonts w:eastAsia="Times New Roman"/>
                <w:b/>
                <w:bCs/>
                <w:sz w:val="20"/>
              </w:rPr>
            </w:pPr>
            <w:r w:rsidRPr="009629B5">
              <w:rPr>
                <w:rFonts w:eastAsia="Times New Roman"/>
                <w:b/>
                <w:bCs/>
                <w:sz w:val="20"/>
              </w:rPr>
              <w:t xml:space="preserve">*If Abel’s breach enriches him, his value for breaching goes to </w:t>
            </w:r>
            <w:r w:rsidR="0062724F" w:rsidRPr="009629B5">
              <w:rPr>
                <w:rFonts w:eastAsia="Times New Roman"/>
                <w:b/>
                <w:bCs/>
                <w:sz w:val="20"/>
              </w:rPr>
              <w:t>0</w:t>
            </w:r>
            <w:r w:rsidRPr="009629B5">
              <w:rPr>
                <w:rFonts w:eastAsia="Times New Roman"/>
                <w:b/>
                <w:bCs/>
                <w:sz w:val="20"/>
              </w:rPr>
              <w:t xml:space="preserve"> </w:t>
            </w:r>
            <w:r w:rsidR="0062724F" w:rsidRPr="009629B5">
              <w:rPr>
                <w:rFonts w:eastAsia="Times New Roman"/>
                <w:b/>
                <w:bCs/>
                <w:sz w:val="20"/>
              </w:rPr>
              <w:t>(</w:t>
            </w:r>
            <w:r w:rsidRPr="009629B5">
              <w:rPr>
                <w:rFonts w:eastAsia="Times New Roman"/>
                <w:b/>
                <w:bCs/>
                <w:sz w:val="20"/>
              </w:rPr>
              <w:t>cannot collect damages for his own breach</w:t>
            </w:r>
            <w:r w:rsidR="0062724F" w:rsidRPr="009629B5">
              <w:rPr>
                <w:rFonts w:eastAsia="Times New Roman"/>
                <w:b/>
                <w:bCs/>
                <w:sz w:val="20"/>
              </w:rPr>
              <w:t>)</w:t>
            </w:r>
          </w:p>
        </w:tc>
      </w:tr>
    </w:tbl>
    <w:p w:rsidR="007E1479" w:rsidRPr="009629B5" w:rsidRDefault="007E1479" w:rsidP="007E1479">
      <w:pPr>
        <w:ind w:left="720"/>
        <w:rPr>
          <w:sz w:val="20"/>
        </w:rPr>
      </w:pPr>
    </w:p>
    <w:p w:rsidR="00A264A1" w:rsidRPr="009629B5" w:rsidRDefault="00A264A1" w:rsidP="00DE124D">
      <w:pPr>
        <w:pStyle w:val="Heading2"/>
        <w:rPr>
          <w:sz w:val="24"/>
        </w:rPr>
      </w:pPr>
      <w:bookmarkStart w:id="13" w:name="_Toc122512867"/>
      <w:r w:rsidRPr="009629B5">
        <w:rPr>
          <w:sz w:val="24"/>
        </w:rPr>
        <w:t>MITIGATION OBLIGATION</w:t>
      </w:r>
      <w:r w:rsidR="00D17A4A" w:rsidRPr="009629B5">
        <w:rPr>
          <w:sz w:val="24"/>
        </w:rPr>
        <w:t>—Rockingham County—Parker—Neri</w:t>
      </w:r>
      <w:bookmarkEnd w:id="13"/>
    </w:p>
    <w:p w:rsidR="00A264A1" w:rsidRPr="009629B5" w:rsidRDefault="00A264A1" w:rsidP="00A264A1">
      <w:pPr>
        <w:rPr>
          <w:sz w:val="20"/>
        </w:rPr>
      </w:pPr>
      <w:r w:rsidRPr="009629B5">
        <w:rPr>
          <w:sz w:val="20"/>
        </w:rPr>
        <w:t>Breaching party is only liable for natural consequences—if you value the service more than the market/best available price the additional loss of value is a self-imposed injury</w:t>
      </w:r>
    </w:p>
    <w:p w:rsidR="00A866BB" w:rsidRPr="009629B5" w:rsidRDefault="00A866BB" w:rsidP="00A264A1">
      <w:pPr>
        <w:rPr>
          <w:b/>
          <w:sz w:val="20"/>
        </w:rPr>
      </w:pPr>
      <w:r w:rsidRPr="009629B5">
        <w:rPr>
          <w:b/>
          <w:sz w:val="20"/>
        </w:rPr>
        <w:t>Mitigation REFINES EXPECTATION DAMAGES</w:t>
      </w:r>
      <w:r w:rsidRPr="009629B5">
        <w:rPr>
          <w:sz w:val="20"/>
        </w:rPr>
        <w:t xml:space="preserve"> (as opposed to foreseeability which limits expectation damages)</w:t>
      </w:r>
      <w:r w:rsidRPr="009629B5">
        <w:rPr>
          <w:b/>
          <w:sz w:val="20"/>
        </w:rPr>
        <w:t xml:space="preserve"> </w:t>
      </w:r>
    </w:p>
    <w:p w:rsidR="00A264A1" w:rsidRPr="009629B5" w:rsidRDefault="00A866BB" w:rsidP="00A866BB">
      <w:pPr>
        <w:pStyle w:val="Heading6"/>
        <w:rPr>
          <w:sz w:val="20"/>
        </w:rPr>
      </w:pPr>
      <w:r w:rsidRPr="009629B5">
        <w:rPr>
          <w:sz w:val="20"/>
        </w:rPr>
        <w:t>Rockingham County v Luten Bridge—1929</w:t>
      </w:r>
    </w:p>
    <w:p w:rsidR="00A866BB" w:rsidRPr="009629B5" w:rsidRDefault="00A866BB" w:rsidP="00D17A4A">
      <w:pPr>
        <w:ind w:left="720"/>
        <w:rPr>
          <w:b/>
          <w:sz w:val="20"/>
        </w:rPr>
      </w:pPr>
      <w:r w:rsidRPr="009629B5">
        <w:rPr>
          <w:i/>
          <w:sz w:val="20"/>
        </w:rPr>
        <w:t>County counsel repudiated on contract to construct a bridge—Luten continued working</w:t>
      </w:r>
      <w:r w:rsidRPr="009629B5">
        <w:rPr>
          <w:i/>
          <w:sz w:val="20"/>
        </w:rPr>
        <w:br/>
      </w:r>
      <w:r w:rsidRPr="009629B5">
        <w:rPr>
          <w:b/>
          <w:sz w:val="20"/>
        </w:rPr>
        <w:t>Holding</w:t>
      </w:r>
      <w:r w:rsidRPr="009629B5">
        <w:rPr>
          <w:sz w:val="20"/>
        </w:rPr>
        <w:t xml:space="preserve">: Luten can recover expectation damages equal to </w:t>
      </w:r>
      <w:r w:rsidRPr="009629B5">
        <w:rPr>
          <w:b/>
          <w:sz w:val="20"/>
        </w:rPr>
        <w:t>anticipated profits + expenditures to date</w:t>
      </w:r>
    </w:p>
    <w:p w:rsidR="00A866BB" w:rsidRPr="009629B5" w:rsidRDefault="00A866BB" w:rsidP="00A866BB">
      <w:pPr>
        <w:ind w:left="720"/>
        <w:rPr>
          <w:sz w:val="20"/>
        </w:rPr>
      </w:pPr>
      <w:r w:rsidRPr="009629B5">
        <w:rPr>
          <w:b/>
          <w:sz w:val="20"/>
        </w:rPr>
        <w:t>Pithy takeaway</w:t>
      </w:r>
      <w:r w:rsidRPr="009629B5">
        <w:rPr>
          <w:sz w:val="20"/>
        </w:rPr>
        <w:t xml:space="preserve">: ceasing work is </w:t>
      </w:r>
      <w:r w:rsidRPr="009629B5">
        <w:rPr>
          <w:i/>
          <w:sz w:val="20"/>
        </w:rPr>
        <w:t>never</w:t>
      </w:r>
      <w:r w:rsidRPr="009629B5">
        <w:rPr>
          <w:sz w:val="20"/>
        </w:rPr>
        <w:t xml:space="preserve"> an undue burden</w:t>
      </w:r>
    </w:p>
    <w:p w:rsidR="00A866BB" w:rsidRPr="009629B5" w:rsidRDefault="00A866BB" w:rsidP="00A866BB">
      <w:pPr>
        <w:pStyle w:val="Heading6"/>
        <w:rPr>
          <w:sz w:val="20"/>
        </w:rPr>
      </w:pPr>
      <w:r w:rsidRPr="009629B5">
        <w:rPr>
          <w:sz w:val="20"/>
        </w:rPr>
        <w:t>Parker v Twentieth Century Fox—1970</w:t>
      </w:r>
    </w:p>
    <w:p w:rsidR="00A866BB" w:rsidRPr="009629B5" w:rsidRDefault="00A866BB" w:rsidP="00A866BB">
      <w:pPr>
        <w:ind w:left="720"/>
        <w:rPr>
          <w:i/>
          <w:sz w:val="20"/>
        </w:rPr>
      </w:pPr>
      <w:r w:rsidRPr="009629B5">
        <w:rPr>
          <w:sz w:val="20"/>
        </w:rPr>
        <w:t xml:space="preserve">Offered Parker </w:t>
      </w:r>
      <w:r w:rsidRPr="009629B5">
        <w:rPr>
          <w:i/>
          <w:sz w:val="20"/>
        </w:rPr>
        <w:t>Bloomer Girl</w:t>
      </w:r>
      <w:r w:rsidRPr="009629B5">
        <w:rPr>
          <w:sz w:val="20"/>
        </w:rPr>
        <w:t xml:space="preserve">—repudiated and offered </w:t>
      </w:r>
      <w:r w:rsidR="00D17A4A" w:rsidRPr="009629B5">
        <w:rPr>
          <w:i/>
          <w:sz w:val="20"/>
        </w:rPr>
        <w:t>Big Country</w:t>
      </w:r>
    </w:p>
    <w:p w:rsidR="00D17A4A" w:rsidRPr="009629B5" w:rsidRDefault="00D17A4A" w:rsidP="00A866BB">
      <w:pPr>
        <w:ind w:left="720"/>
        <w:rPr>
          <w:sz w:val="20"/>
        </w:rPr>
      </w:pPr>
      <w:r w:rsidRPr="009629B5">
        <w:rPr>
          <w:b/>
          <w:sz w:val="20"/>
        </w:rPr>
        <w:t>Holding</w:t>
      </w:r>
      <w:r w:rsidRPr="009629B5">
        <w:rPr>
          <w:sz w:val="20"/>
        </w:rPr>
        <w:t xml:space="preserve">: Parker has a mitigation obligation but no </w:t>
      </w:r>
      <w:r w:rsidRPr="009629B5">
        <w:rPr>
          <w:b/>
          <w:sz w:val="20"/>
        </w:rPr>
        <w:t xml:space="preserve">opportunity </w:t>
      </w:r>
      <w:r w:rsidRPr="009629B5">
        <w:rPr>
          <w:sz w:val="20"/>
        </w:rPr>
        <w:t>(</w:t>
      </w:r>
      <w:r w:rsidRPr="009629B5">
        <w:rPr>
          <w:i/>
          <w:sz w:val="20"/>
        </w:rPr>
        <w:t>Big Country</w:t>
      </w:r>
      <w:r w:rsidRPr="009629B5">
        <w:rPr>
          <w:sz w:val="20"/>
        </w:rPr>
        <w:t xml:space="preserve"> was “different and inferior”)</w:t>
      </w:r>
    </w:p>
    <w:p w:rsidR="00D17A4A" w:rsidRPr="009629B5" w:rsidRDefault="00D17A4A" w:rsidP="00D17A4A">
      <w:pPr>
        <w:pStyle w:val="Heading3"/>
        <w:rPr>
          <w:sz w:val="20"/>
        </w:rPr>
      </w:pPr>
      <w:bookmarkStart w:id="14" w:name="_Toc122512868"/>
      <w:r w:rsidRPr="009629B5">
        <w:rPr>
          <w:sz w:val="20"/>
        </w:rPr>
        <w:t>Rare Roman Coin Shipper Hypothetical</w:t>
      </w:r>
      <w:bookmarkEnd w:id="14"/>
    </w:p>
    <w:p w:rsidR="00960583" w:rsidRPr="009629B5" w:rsidRDefault="00960583" w:rsidP="000C5F32">
      <w:pPr>
        <w:pStyle w:val="ListParagraph"/>
        <w:numPr>
          <w:ilvl w:val="0"/>
          <w:numId w:val="19"/>
        </w:numPr>
        <w:autoSpaceDE w:val="0"/>
        <w:autoSpaceDN w:val="0"/>
        <w:adjustRightInd w:val="0"/>
        <w:contextualSpacing w:val="0"/>
        <w:rPr>
          <w:rFonts w:cs="Tahoma"/>
          <w:sz w:val="20"/>
          <w:szCs w:val="18"/>
        </w:rPr>
      </w:pPr>
      <w:r w:rsidRPr="009629B5">
        <w:rPr>
          <w:rFonts w:cs="Tahoma"/>
          <w:b/>
          <w:sz w:val="20"/>
          <w:szCs w:val="18"/>
        </w:rPr>
        <w:t>Original agreement:</w:t>
      </w:r>
      <w:r w:rsidRPr="009629B5">
        <w:rPr>
          <w:rFonts w:cs="Tahoma"/>
          <w:sz w:val="20"/>
          <w:szCs w:val="18"/>
        </w:rPr>
        <w:t xml:space="preserve"> Buyer agrees to purchase a rare Roman coin from Seller for </w:t>
      </w:r>
      <w:r w:rsidRPr="009629B5">
        <w:rPr>
          <w:rFonts w:cs="Tahoma"/>
          <w:b/>
          <w:sz w:val="20"/>
          <w:szCs w:val="18"/>
        </w:rPr>
        <w:t>$10,000</w:t>
      </w:r>
      <w:r w:rsidRPr="009629B5">
        <w:rPr>
          <w:rFonts w:cs="Tahoma"/>
          <w:sz w:val="20"/>
          <w:szCs w:val="18"/>
        </w:rPr>
        <w:t xml:space="preserve">. Seller is obliged to have the coin shipped to Buyer’s home across the country in </w:t>
      </w:r>
      <w:r w:rsidRPr="009629B5">
        <w:rPr>
          <w:rFonts w:cs="Tahoma"/>
          <w:b/>
          <w:sz w:val="20"/>
          <w:szCs w:val="18"/>
        </w:rPr>
        <w:t>four week’s</w:t>
      </w:r>
      <w:r w:rsidRPr="009629B5">
        <w:rPr>
          <w:rFonts w:cs="Tahoma"/>
          <w:sz w:val="20"/>
          <w:szCs w:val="18"/>
        </w:rPr>
        <w:t xml:space="preserve"> time. To fulfill this obligation, on the day of the contract, Seller promptly pays a carrier a </w:t>
      </w:r>
      <w:r w:rsidRPr="009629B5">
        <w:rPr>
          <w:rFonts w:cs="Tahoma"/>
          <w:b/>
          <w:sz w:val="20"/>
          <w:szCs w:val="18"/>
        </w:rPr>
        <w:t>$100 nonrefundable deposit</w:t>
      </w:r>
      <w:r w:rsidRPr="009629B5">
        <w:rPr>
          <w:rFonts w:cs="Tahoma"/>
          <w:sz w:val="20"/>
          <w:szCs w:val="18"/>
        </w:rPr>
        <w:t xml:space="preserve"> for the carrier’s services. Seller keeps the coin (by itself) in a safety deposit box for $75 per week.</w:t>
      </w:r>
    </w:p>
    <w:p w:rsidR="00960583" w:rsidRPr="009629B5" w:rsidRDefault="00960583" w:rsidP="000C5F32">
      <w:pPr>
        <w:pStyle w:val="ListParagraph"/>
        <w:numPr>
          <w:ilvl w:val="0"/>
          <w:numId w:val="19"/>
        </w:numPr>
        <w:autoSpaceDE w:val="0"/>
        <w:autoSpaceDN w:val="0"/>
        <w:adjustRightInd w:val="0"/>
        <w:contextualSpacing w:val="0"/>
        <w:rPr>
          <w:rFonts w:cs="Tahoma"/>
          <w:sz w:val="20"/>
          <w:szCs w:val="18"/>
        </w:rPr>
      </w:pPr>
      <w:r w:rsidRPr="009629B5">
        <w:rPr>
          <w:rFonts w:cs="Tahoma"/>
          <w:b/>
          <w:sz w:val="20"/>
          <w:szCs w:val="18"/>
        </w:rPr>
        <w:t>Buyer repudiates</w:t>
      </w:r>
    </w:p>
    <w:p w:rsidR="00960583" w:rsidRPr="009629B5" w:rsidRDefault="00960583" w:rsidP="000C5F32">
      <w:pPr>
        <w:pStyle w:val="ListParagraph"/>
        <w:numPr>
          <w:ilvl w:val="0"/>
          <w:numId w:val="19"/>
        </w:numPr>
        <w:autoSpaceDE w:val="0"/>
        <w:autoSpaceDN w:val="0"/>
        <w:adjustRightInd w:val="0"/>
        <w:contextualSpacing w:val="0"/>
        <w:rPr>
          <w:rFonts w:cs="Tahoma"/>
          <w:sz w:val="20"/>
          <w:szCs w:val="18"/>
        </w:rPr>
      </w:pPr>
      <w:r w:rsidRPr="009629B5">
        <w:rPr>
          <w:rFonts w:cs="Tahoma"/>
          <w:b/>
          <w:sz w:val="20"/>
          <w:szCs w:val="18"/>
        </w:rPr>
        <w:t xml:space="preserve">New arrangement: </w:t>
      </w:r>
      <w:r w:rsidRPr="009629B5">
        <w:rPr>
          <w:rFonts w:cs="Tahoma"/>
          <w:sz w:val="20"/>
          <w:szCs w:val="18"/>
        </w:rPr>
        <w:t xml:space="preserve">Seller searches for </w:t>
      </w:r>
      <w:r w:rsidRPr="009629B5">
        <w:rPr>
          <w:rFonts w:cs="Tahoma"/>
          <w:b/>
          <w:sz w:val="20"/>
          <w:szCs w:val="18"/>
        </w:rPr>
        <w:t>two weeks</w:t>
      </w:r>
      <w:r w:rsidRPr="009629B5">
        <w:rPr>
          <w:rFonts w:cs="Tahoma"/>
          <w:sz w:val="20"/>
          <w:szCs w:val="18"/>
        </w:rPr>
        <w:t xml:space="preserve"> for an alternative buyer to pay </w:t>
      </w:r>
      <w:r w:rsidRPr="009629B5">
        <w:rPr>
          <w:rFonts w:cs="Tahoma"/>
          <w:b/>
          <w:sz w:val="20"/>
          <w:szCs w:val="18"/>
        </w:rPr>
        <w:t>$9,000</w:t>
      </w:r>
      <w:r w:rsidRPr="009629B5">
        <w:rPr>
          <w:rFonts w:cs="Tahoma"/>
          <w:sz w:val="20"/>
          <w:szCs w:val="18"/>
        </w:rPr>
        <w:t>; the new buyer lives near Seller’s place of business and is willing to pick up the coin immediately.</w:t>
      </w:r>
    </w:p>
    <w:p w:rsidR="00960583" w:rsidRPr="009629B5" w:rsidRDefault="00960583" w:rsidP="000C5F32">
      <w:pPr>
        <w:pStyle w:val="ListParagraph"/>
        <w:numPr>
          <w:ilvl w:val="0"/>
          <w:numId w:val="19"/>
        </w:numPr>
        <w:autoSpaceDE w:val="0"/>
        <w:autoSpaceDN w:val="0"/>
        <w:adjustRightInd w:val="0"/>
        <w:contextualSpacing w:val="0"/>
        <w:rPr>
          <w:rFonts w:cs="Tahoma"/>
          <w:sz w:val="20"/>
          <w:szCs w:val="18"/>
        </w:rPr>
      </w:pPr>
      <w:r w:rsidRPr="009629B5">
        <w:rPr>
          <w:rFonts w:cs="Tahoma"/>
          <w:b/>
          <w:sz w:val="20"/>
          <w:szCs w:val="18"/>
        </w:rPr>
        <w:t>Damages:</w:t>
      </w:r>
      <w:r w:rsidRPr="009629B5">
        <w:rPr>
          <w:rFonts w:cs="Tahoma"/>
          <w:sz w:val="20"/>
          <w:szCs w:val="18"/>
        </w:rPr>
        <w:t xml:space="preserve"> </w:t>
      </w:r>
      <w:r w:rsidR="0060379F" w:rsidRPr="009629B5">
        <w:rPr>
          <w:rFonts w:cs="Tahoma"/>
          <w:sz w:val="20"/>
          <w:szCs w:val="18"/>
        </w:rPr>
        <w:t xml:space="preserve">$10,000- $9,000 = $1,000 + $100 wasted cost - $75 savings = </w:t>
      </w:r>
      <w:r w:rsidR="0060379F" w:rsidRPr="009629B5">
        <w:rPr>
          <w:rFonts w:cs="Tahoma"/>
          <w:b/>
          <w:sz w:val="20"/>
          <w:szCs w:val="18"/>
        </w:rPr>
        <w:t>$1,025</w:t>
      </w:r>
    </w:p>
    <w:p w:rsidR="00202FC5" w:rsidRPr="009629B5" w:rsidRDefault="00202FC5" w:rsidP="00202FC5">
      <w:pPr>
        <w:pStyle w:val="Heading6"/>
        <w:rPr>
          <w:sz w:val="20"/>
        </w:rPr>
      </w:pPr>
      <w:r w:rsidRPr="009629B5">
        <w:rPr>
          <w:sz w:val="20"/>
        </w:rPr>
        <w:t xml:space="preserve">Neri v Retail Marine—1972 </w:t>
      </w:r>
    </w:p>
    <w:p w:rsidR="00920152" w:rsidRPr="009629B5" w:rsidRDefault="00202FC5" w:rsidP="00202FC5">
      <w:pPr>
        <w:ind w:left="720"/>
        <w:rPr>
          <w:i/>
          <w:sz w:val="20"/>
        </w:rPr>
      </w:pPr>
      <w:r w:rsidRPr="009629B5">
        <w:rPr>
          <w:i/>
          <w:sz w:val="20"/>
        </w:rPr>
        <w:t>Neri put down a deposit for $4,250—storage costs after repudiation $674—</w:t>
      </w:r>
      <w:r w:rsidR="00920152" w:rsidRPr="009629B5">
        <w:rPr>
          <w:i/>
          <w:sz w:val="20"/>
        </w:rPr>
        <w:t>lost profit $2,579</w:t>
      </w:r>
    </w:p>
    <w:p w:rsidR="00202FC5" w:rsidRPr="009629B5" w:rsidRDefault="00202FC5" w:rsidP="00202FC5">
      <w:pPr>
        <w:ind w:left="720"/>
        <w:rPr>
          <w:b/>
          <w:sz w:val="20"/>
        </w:rPr>
      </w:pPr>
      <w:r w:rsidRPr="009629B5">
        <w:rPr>
          <w:sz w:val="20"/>
        </w:rPr>
        <w:t>Retail Marine had a mitigation obligation but no opportunity—without the repudiation Retail Marine would have made two sales (because they had a large inventory for sale</w:t>
      </w:r>
      <w:r w:rsidR="00920152" w:rsidRPr="009629B5">
        <w:rPr>
          <w:sz w:val="20"/>
        </w:rPr>
        <w:t>—“lost volume” seller</w:t>
      </w:r>
      <w:r w:rsidRPr="009629B5">
        <w:rPr>
          <w:sz w:val="20"/>
        </w:rPr>
        <w:t>)</w:t>
      </w:r>
      <w:r w:rsidRPr="009629B5">
        <w:rPr>
          <w:sz w:val="20"/>
        </w:rPr>
        <w:sym w:font="Wingdings" w:char="F0E0"/>
      </w:r>
      <w:r w:rsidRPr="009629B5">
        <w:rPr>
          <w:sz w:val="20"/>
        </w:rPr>
        <w:t xml:space="preserve"> Retail Marine can recover </w:t>
      </w:r>
      <w:r w:rsidRPr="009629B5">
        <w:rPr>
          <w:b/>
          <w:sz w:val="20"/>
        </w:rPr>
        <w:t>lost profit + incidental damages (storage costs)</w:t>
      </w:r>
    </w:p>
    <w:p w:rsidR="00202FC5" w:rsidRPr="009629B5" w:rsidRDefault="00202FC5" w:rsidP="00202FC5">
      <w:pPr>
        <w:pStyle w:val="Heading6"/>
        <w:ind w:left="720"/>
        <w:rPr>
          <w:b w:val="0"/>
          <w:sz w:val="20"/>
        </w:rPr>
      </w:pPr>
      <w:r w:rsidRPr="009629B5">
        <w:rPr>
          <w:caps/>
          <w:sz w:val="20"/>
        </w:rPr>
        <w:t>Incidental</w:t>
      </w:r>
      <w:r w:rsidRPr="009629B5">
        <w:rPr>
          <w:b w:val="0"/>
          <w:caps/>
          <w:sz w:val="20"/>
        </w:rPr>
        <w:t xml:space="preserve"> </w:t>
      </w:r>
      <w:r w:rsidRPr="009629B5">
        <w:rPr>
          <w:b w:val="0"/>
          <w:sz w:val="20"/>
        </w:rPr>
        <w:t xml:space="preserve">(direct consequences of breach) vs. </w:t>
      </w:r>
      <w:r w:rsidRPr="009629B5">
        <w:rPr>
          <w:caps/>
          <w:sz w:val="20"/>
        </w:rPr>
        <w:t>consequential damages</w:t>
      </w:r>
      <w:r w:rsidRPr="009629B5">
        <w:rPr>
          <w:b w:val="0"/>
          <w:sz w:val="20"/>
        </w:rPr>
        <w:t xml:space="preserve"> (indirect consequences)</w:t>
      </w:r>
    </w:p>
    <w:p w:rsidR="00202FC5" w:rsidRPr="009629B5" w:rsidRDefault="00202FC5" w:rsidP="000C5F32">
      <w:pPr>
        <w:pStyle w:val="ListParagraph"/>
        <w:numPr>
          <w:ilvl w:val="0"/>
          <w:numId w:val="20"/>
        </w:numPr>
        <w:rPr>
          <w:sz w:val="20"/>
        </w:rPr>
      </w:pPr>
      <w:r w:rsidRPr="009629B5">
        <w:rPr>
          <w:b/>
          <w:sz w:val="20"/>
        </w:rPr>
        <w:t>Under 2-718(1)</w:t>
      </w:r>
      <w:r w:rsidRPr="009629B5">
        <w:rPr>
          <w:sz w:val="20"/>
        </w:rPr>
        <w:t>: must return all but the lesser of $500 or 20% of the value of performance ($2,517.48)</w:t>
      </w:r>
      <w:r w:rsidRPr="009629B5">
        <w:rPr>
          <w:sz w:val="20"/>
        </w:rPr>
        <w:sym w:font="Wingdings" w:char="F0E0"/>
      </w:r>
      <w:r w:rsidRPr="009629B5">
        <w:rPr>
          <w:sz w:val="20"/>
        </w:rPr>
        <w:t xml:space="preserve"> Neri would get back $4,250 - $500 = $3,750</w:t>
      </w:r>
    </w:p>
    <w:p w:rsidR="00202FC5" w:rsidRPr="009629B5" w:rsidRDefault="00202FC5" w:rsidP="000C5F32">
      <w:pPr>
        <w:pStyle w:val="ListParagraph"/>
        <w:numPr>
          <w:ilvl w:val="0"/>
          <w:numId w:val="20"/>
        </w:numPr>
        <w:rPr>
          <w:sz w:val="20"/>
        </w:rPr>
      </w:pPr>
      <w:r w:rsidRPr="009629B5">
        <w:rPr>
          <w:b/>
          <w:sz w:val="20"/>
        </w:rPr>
        <w:t>Under 2-718(2)</w:t>
      </w:r>
      <w:r w:rsidRPr="009629B5">
        <w:rPr>
          <w:sz w:val="20"/>
        </w:rPr>
        <w:t>: gets what Neri actually got</w:t>
      </w:r>
    </w:p>
    <w:p w:rsidR="00202FC5" w:rsidRPr="009629B5" w:rsidRDefault="00202FC5" w:rsidP="000C5F32">
      <w:pPr>
        <w:pStyle w:val="ListParagraph"/>
        <w:numPr>
          <w:ilvl w:val="0"/>
          <w:numId w:val="20"/>
        </w:numPr>
        <w:rPr>
          <w:sz w:val="20"/>
        </w:rPr>
      </w:pPr>
      <w:r w:rsidRPr="009629B5">
        <w:rPr>
          <w:b/>
          <w:sz w:val="20"/>
        </w:rPr>
        <w:t>Under 1-106</w:t>
      </w:r>
      <w:r w:rsidRPr="009629B5">
        <w:rPr>
          <w:sz w:val="20"/>
        </w:rPr>
        <w:t xml:space="preserve"> (common law): expectation remedy—ditto</w:t>
      </w:r>
    </w:p>
    <w:p w:rsidR="00202FC5" w:rsidRPr="009629B5" w:rsidRDefault="00202FC5" w:rsidP="00202FC5">
      <w:pPr>
        <w:pStyle w:val="Heading6"/>
        <w:ind w:left="720"/>
        <w:rPr>
          <w:sz w:val="20"/>
        </w:rPr>
      </w:pPr>
      <w:r w:rsidRPr="009629B5">
        <w:rPr>
          <w:sz w:val="20"/>
        </w:rPr>
        <w:t>Differences in common law and statutes:</w:t>
      </w:r>
    </w:p>
    <w:p w:rsidR="00202FC5" w:rsidRPr="009629B5" w:rsidRDefault="00202FC5" w:rsidP="000C5F32">
      <w:pPr>
        <w:pStyle w:val="NoSpacing"/>
        <w:numPr>
          <w:ilvl w:val="0"/>
          <w:numId w:val="21"/>
        </w:numPr>
        <w:rPr>
          <w:sz w:val="20"/>
        </w:rPr>
      </w:pPr>
      <w:r w:rsidRPr="009629B5">
        <w:rPr>
          <w:i/>
          <w:sz w:val="20"/>
        </w:rPr>
        <w:t>Common law</w:t>
      </w:r>
      <w:r w:rsidRPr="009629B5">
        <w:rPr>
          <w:sz w:val="20"/>
        </w:rPr>
        <w:t xml:space="preserve"> awards damages at the time of repudiation</w:t>
      </w:r>
    </w:p>
    <w:p w:rsidR="00202FC5" w:rsidRPr="009629B5" w:rsidRDefault="00202FC5" w:rsidP="000C5F32">
      <w:pPr>
        <w:pStyle w:val="ListParagraph"/>
        <w:numPr>
          <w:ilvl w:val="0"/>
          <w:numId w:val="21"/>
        </w:numPr>
        <w:rPr>
          <w:sz w:val="20"/>
        </w:rPr>
      </w:pPr>
      <w:r w:rsidRPr="009629B5">
        <w:rPr>
          <w:i/>
          <w:sz w:val="20"/>
        </w:rPr>
        <w:t>Statutes</w:t>
      </w:r>
      <w:r w:rsidRPr="009629B5">
        <w:rPr>
          <w:sz w:val="20"/>
        </w:rPr>
        <w:t xml:space="preserve"> reward </w:t>
      </w:r>
      <w:r w:rsidRPr="009629B5">
        <w:rPr>
          <w:b/>
          <w:sz w:val="20"/>
        </w:rPr>
        <w:t>buyer</w:t>
      </w:r>
      <w:r w:rsidRPr="009629B5">
        <w:rPr>
          <w:sz w:val="20"/>
        </w:rPr>
        <w:t xml:space="preserve"> damages at repudiation and </w:t>
      </w:r>
      <w:r w:rsidRPr="009629B5">
        <w:rPr>
          <w:b/>
          <w:sz w:val="20"/>
        </w:rPr>
        <w:t xml:space="preserve">seller </w:t>
      </w:r>
      <w:r w:rsidRPr="009629B5">
        <w:rPr>
          <w:sz w:val="20"/>
        </w:rPr>
        <w:t>damages at time of performance</w:t>
      </w:r>
    </w:p>
    <w:p w:rsidR="00675C74" w:rsidRPr="009629B5" w:rsidRDefault="00675C74" w:rsidP="00675C74">
      <w:pPr>
        <w:pStyle w:val="Heading1"/>
        <w:rPr>
          <w:sz w:val="24"/>
        </w:rPr>
      </w:pPr>
      <w:bookmarkStart w:id="15" w:name="_Toc122512869"/>
      <w:r w:rsidRPr="009629B5">
        <w:rPr>
          <w:sz w:val="24"/>
        </w:rPr>
        <w:t>SPECIFIED DAMAGES—Kemble—Wassenaar—Lake River</w:t>
      </w:r>
      <w:bookmarkEnd w:id="15"/>
    </w:p>
    <w:p w:rsidR="00765B3D" w:rsidRPr="009629B5" w:rsidRDefault="00765B3D" w:rsidP="00765B3D">
      <w:pPr>
        <w:jc w:val="center"/>
        <w:rPr>
          <w:b/>
          <w:caps/>
          <w:sz w:val="20"/>
        </w:rPr>
      </w:pPr>
      <w:r w:rsidRPr="009629B5">
        <w:rPr>
          <w:b/>
          <w:caps/>
          <w:sz w:val="20"/>
        </w:rPr>
        <w:t>Specified damages save the parties the trouble of proof in the event of breach</w:t>
      </w:r>
    </w:p>
    <w:p w:rsidR="00D31C34" w:rsidRPr="009629B5" w:rsidRDefault="00D31C34" w:rsidP="00D31C34">
      <w:pPr>
        <w:pStyle w:val="Heading6"/>
        <w:rPr>
          <w:sz w:val="20"/>
        </w:rPr>
      </w:pPr>
      <w:r w:rsidRPr="009629B5">
        <w:rPr>
          <w:sz w:val="20"/>
        </w:rPr>
        <w:t xml:space="preserve">Purposes of Stipulated Damages: </w:t>
      </w:r>
    </w:p>
    <w:p w:rsidR="00D31C34" w:rsidRPr="009629B5" w:rsidRDefault="00D31C34" w:rsidP="000C5F32">
      <w:pPr>
        <w:pStyle w:val="ListParagraph"/>
        <w:numPr>
          <w:ilvl w:val="0"/>
          <w:numId w:val="23"/>
        </w:numPr>
        <w:autoSpaceDE w:val="0"/>
        <w:autoSpaceDN w:val="0"/>
        <w:adjustRightInd w:val="0"/>
        <w:spacing w:after="0"/>
        <w:ind w:left="1080"/>
        <w:rPr>
          <w:rFonts w:cs="Tahoma"/>
          <w:sz w:val="20"/>
          <w:szCs w:val="21"/>
        </w:rPr>
      </w:pPr>
      <w:r w:rsidRPr="009629B5">
        <w:rPr>
          <w:rFonts w:cs="Tahoma"/>
          <w:sz w:val="20"/>
          <w:szCs w:val="21"/>
        </w:rPr>
        <w:t>avoid uncertainty</w:t>
      </w:r>
    </w:p>
    <w:p w:rsidR="00D31C34" w:rsidRPr="009629B5" w:rsidRDefault="00D31C34" w:rsidP="000C5F32">
      <w:pPr>
        <w:pStyle w:val="ListParagraph"/>
        <w:numPr>
          <w:ilvl w:val="0"/>
          <w:numId w:val="23"/>
        </w:numPr>
        <w:autoSpaceDE w:val="0"/>
        <w:autoSpaceDN w:val="0"/>
        <w:adjustRightInd w:val="0"/>
        <w:spacing w:after="0"/>
        <w:ind w:left="1080"/>
        <w:rPr>
          <w:rFonts w:cs="Tahoma"/>
          <w:sz w:val="20"/>
          <w:szCs w:val="21"/>
        </w:rPr>
      </w:pPr>
      <w:r w:rsidRPr="009629B5">
        <w:rPr>
          <w:rFonts w:cs="Tahoma"/>
          <w:sz w:val="20"/>
          <w:szCs w:val="21"/>
        </w:rPr>
        <w:t>avoid litigation expense</w:t>
      </w:r>
    </w:p>
    <w:p w:rsidR="00D31C34" w:rsidRPr="009629B5" w:rsidRDefault="00D31C34" w:rsidP="000C5F32">
      <w:pPr>
        <w:pStyle w:val="ListParagraph"/>
        <w:numPr>
          <w:ilvl w:val="0"/>
          <w:numId w:val="23"/>
        </w:numPr>
        <w:autoSpaceDE w:val="0"/>
        <w:autoSpaceDN w:val="0"/>
        <w:adjustRightInd w:val="0"/>
        <w:spacing w:after="0"/>
        <w:ind w:left="1080"/>
        <w:rPr>
          <w:rFonts w:cs="Tahoma"/>
          <w:sz w:val="20"/>
          <w:szCs w:val="21"/>
        </w:rPr>
      </w:pPr>
      <w:r w:rsidRPr="009629B5">
        <w:rPr>
          <w:rFonts w:cs="Tahoma"/>
          <w:sz w:val="20"/>
          <w:szCs w:val="21"/>
        </w:rPr>
        <w:t>substitute for anticipated inadequate judicial award</w:t>
      </w:r>
    </w:p>
    <w:p w:rsidR="00D31C34" w:rsidRPr="009629B5" w:rsidRDefault="00D31C34" w:rsidP="000C5F32">
      <w:pPr>
        <w:pStyle w:val="ListParagraph"/>
        <w:numPr>
          <w:ilvl w:val="0"/>
          <w:numId w:val="23"/>
        </w:numPr>
        <w:autoSpaceDE w:val="0"/>
        <w:autoSpaceDN w:val="0"/>
        <w:adjustRightInd w:val="0"/>
        <w:spacing w:after="0"/>
        <w:ind w:left="1080"/>
        <w:rPr>
          <w:rFonts w:cs="Tahoma"/>
          <w:sz w:val="20"/>
          <w:szCs w:val="21"/>
        </w:rPr>
      </w:pPr>
      <w:r w:rsidRPr="009629B5">
        <w:rPr>
          <w:rFonts w:cs="Tahoma"/>
          <w:sz w:val="20"/>
          <w:szCs w:val="21"/>
        </w:rPr>
        <w:t>provide an incentive for economic efficiency</w:t>
      </w:r>
    </w:p>
    <w:p w:rsidR="00D31C34" w:rsidRPr="009629B5" w:rsidRDefault="00D31C34" w:rsidP="000C5F32">
      <w:pPr>
        <w:pStyle w:val="ListParagraph"/>
        <w:numPr>
          <w:ilvl w:val="0"/>
          <w:numId w:val="23"/>
        </w:numPr>
        <w:autoSpaceDE w:val="0"/>
        <w:autoSpaceDN w:val="0"/>
        <w:adjustRightInd w:val="0"/>
        <w:spacing w:after="0"/>
        <w:ind w:left="1080"/>
        <w:rPr>
          <w:rFonts w:cs="Tahoma"/>
          <w:sz w:val="20"/>
          <w:szCs w:val="21"/>
        </w:rPr>
      </w:pPr>
      <w:r w:rsidRPr="009629B5">
        <w:rPr>
          <w:rFonts w:cs="Tahoma"/>
          <w:sz w:val="20"/>
          <w:szCs w:val="21"/>
        </w:rPr>
        <w:t xml:space="preserve">judicial economy and freedom to contract (added by </w:t>
      </w:r>
      <w:r w:rsidRPr="009629B5">
        <w:rPr>
          <w:rFonts w:cs="Tahoma"/>
          <w:i/>
          <w:sz w:val="20"/>
          <w:szCs w:val="21"/>
        </w:rPr>
        <w:t>Wassenaar</w:t>
      </w:r>
      <w:r w:rsidRPr="009629B5">
        <w:rPr>
          <w:rFonts w:cs="Tahoma"/>
          <w:sz w:val="20"/>
          <w:szCs w:val="21"/>
        </w:rPr>
        <w:t>)</w:t>
      </w:r>
    </w:p>
    <w:p w:rsidR="00CC02D0" w:rsidRPr="009629B5" w:rsidRDefault="00CC02D0" w:rsidP="00CC02D0">
      <w:pPr>
        <w:pStyle w:val="Heading6"/>
        <w:rPr>
          <w:sz w:val="20"/>
        </w:rPr>
      </w:pPr>
      <w:r w:rsidRPr="009629B5">
        <w:rPr>
          <w:sz w:val="20"/>
        </w:rPr>
        <w:t xml:space="preserve">Rules from Restatements and </w:t>
      </w:r>
      <w:r w:rsidRPr="009629B5">
        <w:rPr>
          <w:i/>
          <w:sz w:val="20"/>
        </w:rPr>
        <w:t>Wassenaar</w:t>
      </w:r>
      <w:r w:rsidRPr="009629B5">
        <w:rPr>
          <w:sz w:val="20"/>
        </w:rPr>
        <w:t>:</w:t>
      </w:r>
    </w:p>
    <w:p w:rsidR="00CC02D0" w:rsidRPr="009629B5" w:rsidRDefault="00CC02D0" w:rsidP="000C5F32">
      <w:pPr>
        <w:numPr>
          <w:ilvl w:val="0"/>
          <w:numId w:val="22"/>
        </w:numPr>
        <w:rPr>
          <w:sz w:val="20"/>
        </w:rPr>
      </w:pPr>
      <w:r w:rsidRPr="009629B5">
        <w:rPr>
          <w:sz w:val="20"/>
        </w:rPr>
        <w:t>Can’t be too high—indication of penalty</w:t>
      </w:r>
    </w:p>
    <w:p w:rsidR="00CC02D0" w:rsidRPr="009629B5" w:rsidRDefault="00CC02D0" w:rsidP="000C5F32">
      <w:pPr>
        <w:numPr>
          <w:ilvl w:val="0"/>
          <w:numId w:val="22"/>
        </w:numPr>
        <w:rPr>
          <w:sz w:val="20"/>
        </w:rPr>
      </w:pPr>
      <w:r w:rsidRPr="009629B5">
        <w:rPr>
          <w:sz w:val="20"/>
        </w:rPr>
        <w:t xml:space="preserve">Ease of calculation—if you think damages will be high and easy to calculate at breach, you can’t fairly include them as stipulated damages </w:t>
      </w:r>
    </w:p>
    <w:p w:rsidR="00CC02D0" w:rsidRPr="009629B5" w:rsidRDefault="00CC02D0" w:rsidP="000C5F32">
      <w:pPr>
        <w:numPr>
          <w:ilvl w:val="0"/>
          <w:numId w:val="22"/>
        </w:numPr>
        <w:rPr>
          <w:sz w:val="20"/>
        </w:rPr>
      </w:pPr>
      <w:r w:rsidRPr="009629B5">
        <w:rPr>
          <w:sz w:val="20"/>
        </w:rPr>
        <w:t xml:space="preserve">(added by </w:t>
      </w:r>
      <w:r w:rsidRPr="009629B5">
        <w:rPr>
          <w:i/>
          <w:sz w:val="20"/>
        </w:rPr>
        <w:t>Wassenaar</w:t>
      </w:r>
      <w:r w:rsidRPr="009629B5">
        <w:rPr>
          <w:sz w:val="20"/>
        </w:rPr>
        <w:t>) can use stipulated damages to protect against price fluctuations—if you think the value at the time of breach could vary greatly from the time of contract, stipulated damages can be a hedge</w:t>
      </w:r>
    </w:p>
    <w:p w:rsidR="00765B3D" w:rsidRPr="009629B5" w:rsidRDefault="00765B3D" w:rsidP="00765B3D">
      <w:pPr>
        <w:rPr>
          <w:b/>
          <w:caps/>
          <w:sz w:val="20"/>
        </w:rPr>
      </w:pPr>
      <w:r w:rsidRPr="009629B5">
        <w:rPr>
          <w:b/>
          <w:caps/>
          <w:sz w:val="20"/>
        </w:rPr>
        <w:t>“To be enforceable, specified damages need both to be reasonable in amount and necessary, the latter requirement satisfied by the difficulty of proof at the time of breach.”—Adler</w:t>
      </w:r>
    </w:p>
    <w:p w:rsidR="00D31C34" w:rsidRPr="009629B5" w:rsidRDefault="00D31C34" w:rsidP="00D31C34">
      <w:pPr>
        <w:pStyle w:val="Heading6"/>
        <w:rPr>
          <w:sz w:val="20"/>
        </w:rPr>
      </w:pPr>
      <w:r w:rsidRPr="009629B5">
        <w:rPr>
          <w:sz w:val="20"/>
        </w:rPr>
        <w:t>Kemble v Farren—1829</w:t>
      </w:r>
    </w:p>
    <w:p w:rsidR="000D3E77" w:rsidRPr="009629B5" w:rsidRDefault="000D3E77" w:rsidP="00D31C34">
      <w:pPr>
        <w:ind w:left="720"/>
        <w:rPr>
          <w:i/>
          <w:sz w:val="20"/>
        </w:rPr>
      </w:pPr>
      <w:r w:rsidRPr="009629B5">
        <w:rPr>
          <w:i/>
          <w:sz w:val="20"/>
        </w:rPr>
        <w:t>Theater hired comedian with lots of conditions and specified damages—comedian quits (‘big breach’)</w:t>
      </w:r>
    </w:p>
    <w:p w:rsidR="00D31C34" w:rsidRPr="009629B5" w:rsidRDefault="00D31C34" w:rsidP="00D31C34">
      <w:pPr>
        <w:ind w:left="720"/>
        <w:rPr>
          <w:sz w:val="20"/>
        </w:rPr>
      </w:pPr>
      <w:r w:rsidRPr="009629B5">
        <w:rPr>
          <w:sz w:val="20"/>
        </w:rPr>
        <w:t xml:space="preserve">Kemble and Farren had an explicit contract stating that breaching “agreement, or any part thereof, or any stipulation therein contained” would warrant payment of £1000 </w:t>
      </w:r>
      <w:r w:rsidRPr="009629B5">
        <w:rPr>
          <w:sz w:val="20"/>
        </w:rPr>
        <w:sym w:font="Wingdings" w:char="F0E0"/>
      </w:r>
      <w:r w:rsidRPr="009629B5">
        <w:rPr>
          <w:sz w:val="20"/>
        </w:rPr>
        <w:t xml:space="preserve"> Farren breached, Kemble sued and was awarded £750—appealed for increase to £1000.</w:t>
      </w:r>
    </w:p>
    <w:p w:rsidR="00D31C34" w:rsidRPr="009629B5" w:rsidRDefault="00D31C34" w:rsidP="00D31C34">
      <w:pPr>
        <w:ind w:left="720"/>
        <w:rPr>
          <w:sz w:val="20"/>
        </w:rPr>
      </w:pPr>
      <w:r w:rsidRPr="009629B5">
        <w:rPr>
          <w:b/>
          <w:sz w:val="20"/>
        </w:rPr>
        <w:t>Holding</w:t>
      </w:r>
      <w:r w:rsidRPr="009629B5">
        <w:rPr>
          <w:sz w:val="20"/>
        </w:rPr>
        <w:t xml:space="preserve">: £1000 was arbitrary and supposed to act as damages NOT penalty, the court found it illogical to award as “damages” something that was not, in fact, the damage as they assessed it.  </w:t>
      </w:r>
      <w:r w:rsidRPr="009629B5">
        <w:rPr>
          <w:sz w:val="20"/>
        </w:rPr>
        <w:sym w:font="Wingdings" w:char="F0E0"/>
      </w:r>
      <w:r w:rsidRPr="009629B5">
        <w:rPr>
          <w:sz w:val="20"/>
        </w:rPr>
        <w:t xml:space="preserve"> judgment for £750 affirmed.</w:t>
      </w:r>
    </w:p>
    <w:p w:rsidR="00D31C34" w:rsidRPr="009629B5" w:rsidRDefault="00D31C34" w:rsidP="00D31C34">
      <w:pPr>
        <w:ind w:left="720"/>
        <w:rPr>
          <w:i/>
          <w:sz w:val="20"/>
        </w:rPr>
      </w:pPr>
      <w:r w:rsidRPr="009629B5">
        <w:rPr>
          <w:i/>
          <w:sz w:val="20"/>
        </w:rPr>
        <w:t xml:space="preserve">Kemble is a “big breach” BUT court won’t award damages because then it would have to in a small breach, too.  </w:t>
      </w:r>
    </w:p>
    <w:p w:rsidR="00D31C34" w:rsidRPr="009629B5" w:rsidRDefault="00D31C34" w:rsidP="00D31C34">
      <w:pPr>
        <w:ind w:left="720"/>
        <w:rPr>
          <w:b/>
          <w:i/>
          <w:sz w:val="20"/>
        </w:rPr>
      </w:pPr>
      <w:r w:rsidRPr="009629B5">
        <w:rPr>
          <w:b/>
          <w:i/>
          <w:sz w:val="20"/>
        </w:rPr>
        <w:t>COMPARE TO UCC § 356</w:t>
      </w:r>
      <w:r w:rsidR="000D3E77" w:rsidRPr="009629B5">
        <w:rPr>
          <w:b/>
          <w:i/>
          <w:sz w:val="20"/>
        </w:rPr>
        <w:t>—enforces stipulated damages even if the amount would be disproportionately large</w:t>
      </w:r>
    </w:p>
    <w:p w:rsidR="00D31C34" w:rsidRPr="009629B5" w:rsidRDefault="00D31C34" w:rsidP="00D31C34">
      <w:pPr>
        <w:pStyle w:val="Heading6"/>
        <w:rPr>
          <w:sz w:val="20"/>
        </w:rPr>
      </w:pPr>
      <w:r w:rsidRPr="009629B5">
        <w:rPr>
          <w:sz w:val="20"/>
        </w:rPr>
        <w:t>Wassenaar v Towne Hotel—1983</w:t>
      </w:r>
    </w:p>
    <w:p w:rsidR="00DD192E" w:rsidRPr="009629B5" w:rsidRDefault="00DD192E" w:rsidP="00DD192E">
      <w:pPr>
        <w:pStyle w:val="NoSpacing"/>
        <w:spacing w:after="120"/>
        <w:ind w:left="720"/>
        <w:rPr>
          <w:i/>
          <w:sz w:val="20"/>
        </w:rPr>
      </w:pPr>
      <w:r w:rsidRPr="009629B5">
        <w:rPr>
          <w:i/>
          <w:sz w:val="20"/>
        </w:rPr>
        <w:t>Failed to mitigate damages after employment terminated—paid the same to not work as he would be to do work</w:t>
      </w:r>
    </w:p>
    <w:p w:rsidR="00DD192E" w:rsidRPr="009629B5" w:rsidRDefault="00DD192E" w:rsidP="00DD192E">
      <w:pPr>
        <w:ind w:left="720"/>
        <w:rPr>
          <w:b/>
          <w:sz w:val="20"/>
        </w:rPr>
      </w:pPr>
      <w:r w:rsidRPr="009629B5">
        <w:rPr>
          <w:b/>
          <w:sz w:val="20"/>
        </w:rPr>
        <w:t>Reasonableness test for contractually stipulated damages:</w:t>
      </w:r>
    </w:p>
    <w:p w:rsidR="00DD192E" w:rsidRPr="009629B5" w:rsidRDefault="00DD192E" w:rsidP="000C5F32">
      <w:pPr>
        <w:pStyle w:val="NoSpacing"/>
        <w:numPr>
          <w:ilvl w:val="0"/>
          <w:numId w:val="24"/>
        </w:numPr>
        <w:rPr>
          <w:sz w:val="20"/>
        </w:rPr>
      </w:pPr>
      <w:r w:rsidRPr="009629B5">
        <w:rPr>
          <w:sz w:val="20"/>
        </w:rPr>
        <w:t>Did the parties intend to provide for damages or for penalty? (looks like unconsionability—indicated by uneven bargaining power)</w:t>
      </w:r>
    </w:p>
    <w:p w:rsidR="00DD192E" w:rsidRPr="009629B5" w:rsidRDefault="00DD192E" w:rsidP="000C5F32">
      <w:pPr>
        <w:pStyle w:val="NoSpacing"/>
        <w:numPr>
          <w:ilvl w:val="0"/>
          <w:numId w:val="24"/>
        </w:numPr>
        <w:rPr>
          <w:i/>
          <w:sz w:val="20"/>
        </w:rPr>
      </w:pPr>
      <w:r w:rsidRPr="009629B5">
        <w:rPr>
          <w:i/>
          <w:sz w:val="20"/>
        </w:rPr>
        <w:t>Is the injury caused by the breach one that is difficult or incapable of accurate estimation at the time of contract?—sometimes eliminating uncertainty at the time of contract has a material value—this was new</w:t>
      </w:r>
    </w:p>
    <w:p w:rsidR="00DD192E" w:rsidRPr="009629B5" w:rsidRDefault="00DD192E" w:rsidP="000C5F32">
      <w:pPr>
        <w:numPr>
          <w:ilvl w:val="0"/>
          <w:numId w:val="24"/>
        </w:numPr>
        <w:rPr>
          <w:sz w:val="20"/>
        </w:rPr>
      </w:pPr>
      <w:r w:rsidRPr="009629B5">
        <w:rPr>
          <w:sz w:val="20"/>
        </w:rPr>
        <w:t>Are the stipulated damages a reasonable forecast of the harm caused by the breach? Within “the range”?</w:t>
      </w:r>
    </w:p>
    <w:p w:rsidR="00DD192E" w:rsidRPr="009629B5" w:rsidRDefault="00DD192E" w:rsidP="00DD192E">
      <w:pPr>
        <w:ind w:left="720"/>
        <w:rPr>
          <w:sz w:val="20"/>
        </w:rPr>
      </w:pPr>
      <w:r w:rsidRPr="009629B5">
        <w:rPr>
          <w:b/>
          <w:sz w:val="20"/>
        </w:rPr>
        <w:t xml:space="preserve">Holding: </w:t>
      </w:r>
      <w:r w:rsidRPr="009629B5">
        <w:rPr>
          <w:sz w:val="20"/>
        </w:rPr>
        <w:t xml:space="preserve">“Stipulated damages clause is a </w:t>
      </w:r>
      <w:r w:rsidRPr="009629B5">
        <w:rPr>
          <w:b/>
          <w:sz w:val="20"/>
        </w:rPr>
        <w:t>valid provision for liquidated damages, not a penalty</w:t>
      </w:r>
      <w:r w:rsidRPr="009629B5">
        <w:rPr>
          <w:sz w:val="20"/>
        </w:rPr>
        <w:t xml:space="preserve">” </w:t>
      </w:r>
      <w:r w:rsidRPr="009629B5">
        <w:rPr>
          <w:sz w:val="20"/>
        </w:rPr>
        <w:sym w:font="Wingdings" w:char="F0E0"/>
      </w:r>
      <w:r w:rsidRPr="009629B5">
        <w:rPr>
          <w:sz w:val="20"/>
        </w:rPr>
        <w:t xml:space="preserve"> enforceable as a part of the bargain and found for Wassenaar</w:t>
      </w:r>
    </w:p>
    <w:p w:rsidR="00D31C34" w:rsidRPr="009629B5" w:rsidRDefault="00DD192E" w:rsidP="00440B19">
      <w:pPr>
        <w:pStyle w:val="Heading6"/>
        <w:rPr>
          <w:sz w:val="20"/>
        </w:rPr>
      </w:pPr>
      <w:r w:rsidRPr="009629B5">
        <w:rPr>
          <w:sz w:val="20"/>
        </w:rPr>
        <w:t>Lake River v Carborundum—1985—Posner</w:t>
      </w:r>
    </w:p>
    <w:p w:rsidR="00DD192E" w:rsidRPr="009629B5" w:rsidRDefault="00DD192E" w:rsidP="00DD192E">
      <w:pPr>
        <w:autoSpaceDE w:val="0"/>
        <w:autoSpaceDN w:val="0"/>
        <w:adjustRightInd w:val="0"/>
        <w:spacing w:after="0"/>
        <w:rPr>
          <w:rFonts w:cs="Tahoma"/>
          <w:i/>
          <w:sz w:val="20"/>
          <w:szCs w:val="18"/>
        </w:rPr>
      </w:pPr>
      <w:r w:rsidRPr="009629B5">
        <w:rPr>
          <w:rFonts w:cs="Tahoma"/>
          <w:sz w:val="20"/>
          <w:szCs w:val="18"/>
        </w:rPr>
        <w:t>Liquidated damages “</w:t>
      </w:r>
      <w:r w:rsidRPr="009629B5">
        <w:rPr>
          <w:rFonts w:cs="Tahoma"/>
          <w:i/>
          <w:sz w:val="20"/>
          <w:szCs w:val="18"/>
        </w:rPr>
        <w:t xml:space="preserve">must be a </w:t>
      </w:r>
      <w:r w:rsidRPr="009629B5">
        <w:rPr>
          <w:rFonts w:cs="Tahoma"/>
          <w:b/>
          <w:sz w:val="20"/>
          <w:szCs w:val="18"/>
        </w:rPr>
        <w:t>reasonable estimate</w:t>
      </w:r>
      <w:r w:rsidRPr="009629B5">
        <w:rPr>
          <w:rFonts w:cs="Tahoma"/>
          <w:i/>
          <w:sz w:val="20"/>
          <w:szCs w:val="18"/>
        </w:rPr>
        <w:t xml:space="preserve"> at the time of contracting of the likely damages from breach, </w:t>
      </w:r>
      <w:r w:rsidRPr="009629B5">
        <w:rPr>
          <w:rFonts w:cs="Tahoma"/>
          <w:i/>
          <w:sz w:val="20"/>
          <w:szCs w:val="20"/>
        </w:rPr>
        <w:t xml:space="preserve">and </w:t>
      </w:r>
      <w:r w:rsidRPr="009629B5">
        <w:rPr>
          <w:rFonts w:cs="Tahoma"/>
          <w:i/>
          <w:sz w:val="20"/>
          <w:szCs w:val="18"/>
        </w:rPr>
        <w:t xml:space="preserve">the need for estimation at that time must be shown by reference to the likely </w:t>
      </w:r>
      <w:r w:rsidRPr="009629B5">
        <w:rPr>
          <w:rFonts w:cs="Tahoma"/>
          <w:b/>
          <w:sz w:val="20"/>
          <w:szCs w:val="18"/>
        </w:rPr>
        <w:t>difficulty of measuring the actual damages</w:t>
      </w:r>
      <w:r w:rsidRPr="009629B5">
        <w:rPr>
          <w:rFonts w:cs="Tahoma"/>
          <w:i/>
          <w:sz w:val="20"/>
          <w:szCs w:val="18"/>
        </w:rPr>
        <w:t xml:space="preserve"> from a breach of contract after the breach occurs.”</w:t>
      </w:r>
    </w:p>
    <w:p w:rsidR="000D3E77" w:rsidRPr="009629B5" w:rsidRDefault="000D3E77" w:rsidP="000D3E77">
      <w:pPr>
        <w:autoSpaceDE w:val="0"/>
        <w:autoSpaceDN w:val="0"/>
        <w:adjustRightInd w:val="0"/>
        <w:spacing w:after="0"/>
        <w:ind w:left="720"/>
        <w:rPr>
          <w:rFonts w:cs="Tahoma"/>
          <w:b/>
          <w:sz w:val="20"/>
          <w:szCs w:val="18"/>
        </w:rPr>
      </w:pPr>
      <w:r w:rsidRPr="009629B5">
        <w:rPr>
          <w:rFonts w:cs="Tahoma"/>
          <w:b/>
          <w:sz w:val="20"/>
          <w:szCs w:val="18"/>
        </w:rPr>
        <w:t>Reasonableness Test—two prong sliding scale—lots of one diminishes the need for the other:</w:t>
      </w:r>
    </w:p>
    <w:p w:rsidR="000D3E77" w:rsidRPr="009629B5" w:rsidRDefault="000D3E77" w:rsidP="000C5F32">
      <w:pPr>
        <w:pStyle w:val="ListParagraph"/>
        <w:numPr>
          <w:ilvl w:val="0"/>
          <w:numId w:val="26"/>
        </w:numPr>
        <w:autoSpaceDE w:val="0"/>
        <w:autoSpaceDN w:val="0"/>
        <w:adjustRightInd w:val="0"/>
        <w:spacing w:after="0"/>
        <w:ind w:left="1440"/>
        <w:rPr>
          <w:rFonts w:cs="Tahoma"/>
          <w:b/>
          <w:sz w:val="20"/>
          <w:szCs w:val="18"/>
        </w:rPr>
      </w:pPr>
      <w:r w:rsidRPr="009629B5">
        <w:rPr>
          <w:rFonts w:cs="Tahoma"/>
          <w:sz w:val="20"/>
          <w:szCs w:val="18"/>
        </w:rPr>
        <w:t xml:space="preserve">If damages would be easy to determine </w:t>
      </w:r>
      <w:commentRangeStart w:id="16"/>
      <w:r w:rsidRPr="009629B5">
        <w:rPr>
          <w:rFonts w:cs="Tahoma"/>
          <w:sz w:val="20"/>
          <w:szCs w:val="18"/>
        </w:rPr>
        <w:t xml:space="preserve">then </w:t>
      </w:r>
      <w:commentRangeEnd w:id="16"/>
      <w:r w:rsidRPr="009629B5">
        <w:rPr>
          <w:rStyle w:val="CommentReference"/>
          <w:sz w:val="20"/>
        </w:rPr>
        <w:commentReference w:id="16"/>
      </w:r>
      <w:r w:rsidRPr="009629B5">
        <w:rPr>
          <w:rFonts w:cs="Tahoma"/>
          <w:sz w:val="20"/>
          <w:szCs w:val="18"/>
        </w:rPr>
        <w:t>(less need for stipulation) OR</w:t>
      </w:r>
    </w:p>
    <w:p w:rsidR="000D3E77" w:rsidRPr="009629B5" w:rsidRDefault="000D3E77" w:rsidP="000C5F32">
      <w:pPr>
        <w:pStyle w:val="ListParagraph"/>
        <w:numPr>
          <w:ilvl w:val="0"/>
          <w:numId w:val="26"/>
        </w:numPr>
        <w:autoSpaceDE w:val="0"/>
        <w:autoSpaceDN w:val="0"/>
        <w:adjustRightInd w:val="0"/>
        <w:spacing w:after="0"/>
        <w:ind w:left="1440"/>
        <w:rPr>
          <w:rFonts w:cs="Tahoma"/>
          <w:b/>
          <w:sz w:val="20"/>
          <w:szCs w:val="18"/>
        </w:rPr>
      </w:pPr>
      <w:r w:rsidRPr="009629B5">
        <w:rPr>
          <w:rFonts w:cs="Tahoma"/>
          <w:sz w:val="20"/>
          <w:szCs w:val="18"/>
        </w:rPr>
        <w:t xml:space="preserve">If the estimate greatly exceeds actual damages </w:t>
      </w:r>
      <w:r w:rsidRPr="009629B5">
        <w:rPr>
          <w:rFonts w:cs="Tahoma"/>
          <w:sz w:val="20"/>
          <w:szCs w:val="18"/>
        </w:rPr>
        <w:sym w:font="Wingdings" w:char="F0E0"/>
      </w:r>
      <w:r w:rsidRPr="009629B5">
        <w:rPr>
          <w:rFonts w:cs="Tahoma"/>
          <w:sz w:val="20"/>
          <w:szCs w:val="18"/>
        </w:rPr>
        <w:t xml:space="preserve"> penalty and unenforceable</w:t>
      </w:r>
    </w:p>
    <w:p w:rsidR="00DD192E" w:rsidRPr="009629B5" w:rsidRDefault="00DD192E" w:rsidP="00DD192E">
      <w:pPr>
        <w:pStyle w:val="Heading3"/>
        <w:rPr>
          <w:sz w:val="20"/>
        </w:rPr>
      </w:pPr>
      <w:bookmarkStart w:id="17" w:name="_Toc122512870"/>
      <w:r w:rsidRPr="009629B5">
        <w:rPr>
          <w:sz w:val="20"/>
        </w:rPr>
        <w:t>Fairground Hypothetical</w:t>
      </w:r>
      <w:bookmarkEnd w:id="17"/>
    </w:p>
    <w:p w:rsidR="00DD192E" w:rsidRPr="009629B5" w:rsidRDefault="00DD192E" w:rsidP="00DD192E">
      <w:pPr>
        <w:ind w:left="720"/>
        <w:rPr>
          <w:sz w:val="20"/>
        </w:rPr>
      </w:pPr>
      <w:r w:rsidRPr="009629B5">
        <w:rPr>
          <w:sz w:val="20"/>
        </w:rPr>
        <w:t>If the contractor and the fairground are contractually related—inefficient overinvestment by both (if assuming expectation damages)</w:t>
      </w:r>
    </w:p>
    <w:p w:rsidR="000D3E77" w:rsidRPr="009629B5" w:rsidRDefault="000D3E77" w:rsidP="000C5F32">
      <w:pPr>
        <w:pStyle w:val="ListParagraph"/>
        <w:numPr>
          <w:ilvl w:val="0"/>
          <w:numId w:val="27"/>
        </w:numPr>
        <w:ind w:left="1800"/>
        <w:rPr>
          <w:sz w:val="20"/>
        </w:rPr>
      </w:pPr>
      <w:r w:rsidRPr="009629B5">
        <w:rPr>
          <w:sz w:val="20"/>
        </w:rPr>
        <w:t>Fairground would overinvest in advertising to get expectation damages high (or revenues high)</w:t>
      </w:r>
    </w:p>
    <w:p w:rsidR="000D3E77" w:rsidRPr="009629B5" w:rsidRDefault="000D3E77" w:rsidP="000C5F32">
      <w:pPr>
        <w:pStyle w:val="ListParagraph"/>
        <w:numPr>
          <w:ilvl w:val="0"/>
          <w:numId w:val="27"/>
        </w:numPr>
        <w:ind w:left="1800"/>
        <w:rPr>
          <w:sz w:val="20"/>
        </w:rPr>
      </w:pPr>
      <w:r w:rsidRPr="009629B5">
        <w:rPr>
          <w:sz w:val="20"/>
        </w:rPr>
        <w:t xml:space="preserve">Contractor would overinvest in construction to get </w:t>
      </w:r>
      <w:r w:rsidR="00A22B2F" w:rsidRPr="009629B5">
        <w:rPr>
          <w:sz w:val="20"/>
        </w:rPr>
        <w:t>rollercoaster built and avoid high damages</w:t>
      </w:r>
    </w:p>
    <w:p w:rsidR="00DD192E" w:rsidRPr="009629B5" w:rsidRDefault="00DD192E" w:rsidP="00DD192E">
      <w:pPr>
        <w:ind w:left="720"/>
        <w:rPr>
          <w:sz w:val="20"/>
        </w:rPr>
      </w:pPr>
      <w:r w:rsidRPr="009629B5">
        <w:rPr>
          <w:sz w:val="20"/>
        </w:rPr>
        <w:t>How could this be fixed?</w:t>
      </w:r>
    </w:p>
    <w:p w:rsidR="00DD192E" w:rsidRPr="009629B5" w:rsidRDefault="00DD192E" w:rsidP="000C5F32">
      <w:pPr>
        <w:numPr>
          <w:ilvl w:val="0"/>
          <w:numId w:val="25"/>
        </w:numPr>
        <w:ind w:left="1800"/>
        <w:rPr>
          <w:sz w:val="20"/>
        </w:rPr>
      </w:pPr>
      <w:r w:rsidRPr="009629B5">
        <w:rPr>
          <w:sz w:val="20"/>
        </w:rPr>
        <w:t xml:space="preserve"> Insurance—insurance company would probably dictate terms using a “forcing contract” to prevent moral hazard—fairground probably wouldn’t know the appropriate terms of a forcing contract </w:t>
      </w:r>
      <w:r w:rsidRPr="009629B5">
        <w:rPr>
          <w:sz w:val="20"/>
        </w:rPr>
        <w:sym w:font="Wingdings" w:char="F0E0"/>
      </w:r>
      <w:r w:rsidRPr="009629B5">
        <w:rPr>
          <w:sz w:val="20"/>
        </w:rPr>
        <w:t xml:space="preserve"> wouldn’t be able to use independently </w:t>
      </w:r>
    </w:p>
    <w:p w:rsidR="00DD192E" w:rsidRPr="009629B5" w:rsidRDefault="00DD192E" w:rsidP="000C5F32">
      <w:pPr>
        <w:numPr>
          <w:ilvl w:val="0"/>
          <w:numId w:val="25"/>
        </w:numPr>
        <w:ind w:left="1800"/>
        <w:rPr>
          <w:sz w:val="20"/>
        </w:rPr>
      </w:pPr>
      <w:r w:rsidRPr="009629B5">
        <w:rPr>
          <w:sz w:val="20"/>
        </w:rPr>
        <w:t>Could include liquidated damages clause reflecting their personal value of the roller coaster</w:t>
      </w:r>
    </w:p>
    <w:p w:rsidR="00DD192E" w:rsidRPr="009629B5" w:rsidRDefault="00DD192E" w:rsidP="000C5F32">
      <w:pPr>
        <w:numPr>
          <w:ilvl w:val="0"/>
          <w:numId w:val="25"/>
        </w:numPr>
        <w:ind w:left="1800"/>
        <w:rPr>
          <w:sz w:val="20"/>
        </w:rPr>
      </w:pPr>
      <w:r w:rsidRPr="009629B5">
        <w:rPr>
          <w:sz w:val="20"/>
        </w:rPr>
        <w:t>Could agree to rely upon expectation damages and allow the price to reflect</w:t>
      </w:r>
    </w:p>
    <w:p w:rsidR="00DD192E" w:rsidRPr="009629B5" w:rsidRDefault="00DD192E" w:rsidP="0052773F">
      <w:pPr>
        <w:ind w:left="720"/>
        <w:rPr>
          <w:sz w:val="20"/>
        </w:rPr>
      </w:pPr>
      <w:r w:rsidRPr="009629B5">
        <w:rPr>
          <w:sz w:val="20"/>
        </w:rPr>
        <w:t>If the contractor and the fairground are the same entity—much more efficient</w:t>
      </w:r>
    </w:p>
    <w:p w:rsidR="00675C74" w:rsidRPr="009629B5" w:rsidRDefault="00675C74" w:rsidP="00675C74">
      <w:pPr>
        <w:pStyle w:val="Heading1"/>
        <w:rPr>
          <w:sz w:val="24"/>
        </w:rPr>
      </w:pPr>
      <w:bookmarkStart w:id="18" w:name="_Toc122512871"/>
      <w:r w:rsidRPr="009629B5">
        <w:rPr>
          <w:sz w:val="24"/>
        </w:rPr>
        <w:t>SPECIFIC PERFORMANCE—Loveless—Cumbest—Scholl—Sedmark—Mary Clark</w:t>
      </w:r>
      <w:bookmarkEnd w:id="18"/>
    </w:p>
    <w:p w:rsidR="0052773F" w:rsidRPr="009629B5" w:rsidRDefault="0052773F" w:rsidP="0052773F">
      <w:pPr>
        <w:rPr>
          <w:sz w:val="20"/>
        </w:rPr>
      </w:pPr>
      <w:r w:rsidRPr="009629B5">
        <w:rPr>
          <w:b/>
          <w:sz w:val="20"/>
        </w:rPr>
        <w:t xml:space="preserve">General rule: </w:t>
      </w:r>
      <w:r w:rsidRPr="009629B5">
        <w:rPr>
          <w:sz w:val="20"/>
        </w:rPr>
        <w:t>specific performance is NOT an available remedy</w:t>
      </w:r>
    </w:p>
    <w:p w:rsidR="0052773F" w:rsidRPr="009629B5" w:rsidRDefault="0052773F" w:rsidP="0052773F">
      <w:pPr>
        <w:rPr>
          <w:rFonts w:cs="Courier New"/>
          <w:sz w:val="20"/>
        </w:rPr>
      </w:pPr>
      <w:r w:rsidRPr="009629B5">
        <w:rPr>
          <w:b/>
          <w:sz w:val="20"/>
        </w:rPr>
        <w:t>Exception</w:t>
      </w:r>
      <w:r w:rsidRPr="009629B5">
        <w:rPr>
          <w:sz w:val="20"/>
        </w:rPr>
        <w:t xml:space="preserve">: expectation damages are inadequate (Restatement </w:t>
      </w:r>
      <w:r w:rsidRPr="009629B5">
        <w:rPr>
          <w:rFonts w:eastAsia="Calibri"/>
          <w:sz w:val="20"/>
        </w:rPr>
        <w:t>§</w:t>
      </w:r>
      <w:r w:rsidRPr="009629B5">
        <w:rPr>
          <w:rFonts w:cs="Courier New"/>
          <w:sz w:val="20"/>
        </w:rPr>
        <w:t xml:space="preserve"> 359)</w:t>
      </w:r>
    </w:p>
    <w:p w:rsidR="0052773F" w:rsidRPr="009629B5" w:rsidRDefault="0052773F" w:rsidP="0052773F">
      <w:pPr>
        <w:rPr>
          <w:sz w:val="20"/>
        </w:rPr>
      </w:pPr>
      <w:r w:rsidRPr="009629B5">
        <w:rPr>
          <w:rFonts w:eastAsia="Calibri"/>
          <w:b/>
          <w:sz w:val="20"/>
        </w:rPr>
        <w:t>UCC § 2-716</w:t>
      </w:r>
      <w:r w:rsidRPr="009629B5">
        <w:rPr>
          <w:b/>
          <w:sz w:val="20"/>
        </w:rPr>
        <w:t>:</w:t>
      </w:r>
      <w:r w:rsidRPr="009629B5">
        <w:rPr>
          <w:sz w:val="20"/>
        </w:rPr>
        <w:t xml:space="preserve"> specific performance “may be ordered where goods are unique” (as well as in other “proper circumstances” an implicit reference, at least in part, to more general common law principles) –Adler</w:t>
      </w:r>
    </w:p>
    <w:p w:rsidR="0052773F" w:rsidRPr="009629B5" w:rsidRDefault="0052773F" w:rsidP="0052773F">
      <w:pPr>
        <w:pStyle w:val="Heading6"/>
        <w:rPr>
          <w:sz w:val="20"/>
        </w:rPr>
      </w:pPr>
      <w:r w:rsidRPr="009629B5">
        <w:rPr>
          <w:sz w:val="20"/>
        </w:rPr>
        <w:t>Loveless v. Diehl—REAL ESTATE</w:t>
      </w:r>
      <w:r w:rsidRPr="009629B5">
        <w:rPr>
          <w:rFonts w:eastAsia="Calibri"/>
          <w:color w:val="auto"/>
          <w:sz w:val="20"/>
        </w:rPr>
        <w:t>—</w:t>
      </w:r>
      <w:r w:rsidRPr="009629B5">
        <w:rPr>
          <w:sz w:val="20"/>
        </w:rPr>
        <w:t>1963</w:t>
      </w:r>
    </w:p>
    <w:p w:rsidR="0052773F" w:rsidRPr="009629B5" w:rsidRDefault="0052773F" w:rsidP="0052773F">
      <w:pPr>
        <w:ind w:left="720"/>
        <w:rPr>
          <w:sz w:val="20"/>
        </w:rPr>
      </w:pPr>
      <w:r w:rsidRPr="009629B5">
        <w:rPr>
          <w:sz w:val="20"/>
        </w:rPr>
        <w:t>Loveless had a farm—rented to Diehl with an option to purchase at a fixed price of $21,000—Diehl made improvements and then decided he didn’t want to purchase—to re-coup loss he decided to exercise the option and located a buyer to net $1,000—Loveless repudiated K—Diehl sues for specific performance—Loveless countersues for $1,440.95 owed on a note</w:t>
      </w:r>
    </w:p>
    <w:p w:rsidR="00DC0E93" w:rsidRPr="009629B5" w:rsidRDefault="00DC0E93" w:rsidP="0052773F">
      <w:pPr>
        <w:ind w:left="720"/>
        <w:rPr>
          <w:sz w:val="20"/>
        </w:rPr>
      </w:pPr>
      <w:r w:rsidRPr="009629B5">
        <w:rPr>
          <w:sz w:val="20"/>
        </w:rPr>
        <w:t xml:space="preserve">Loveless best argument: easy to determine expectation damages </w:t>
      </w:r>
      <w:r w:rsidRPr="009629B5">
        <w:rPr>
          <w:sz w:val="20"/>
        </w:rPr>
        <w:sym w:font="Wingdings" w:char="F0E0"/>
      </w:r>
      <w:r w:rsidRPr="009629B5">
        <w:rPr>
          <w:sz w:val="20"/>
        </w:rPr>
        <w:t xml:space="preserve"> specific performance inappropriate</w:t>
      </w:r>
    </w:p>
    <w:p w:rsidR="0052773F" w:rsidRPr="009629B5" w:rsidRDefault="00BA608C" w:rsidP="00BA608C">
      <w:pPr>
        <w:ind w:left="720"/>
        <w:rPr>
          <w:sz w:val="20"/>
        </w:rPr>
      </w:pPr>
      <w:r w:rsidRPr="009629B5">
        <w:rPr>
          <w:b/>
          <w:sz w:val="20"/>
        </w:rPr>
        <w:t>Holding</w:t>
      </w:r>
      <w:r w:rsidR="0052773F" w:rsidRPr="009629B5">
        <w:rPr>
          <w:b/>
          <w:sz w:val="20"/>
        </w:rPr>
        <w:t xml:space="preserve">: </w:t>
      </w:r>
      <w:r w:rsidRPr="009629B5">
        <w:rPr>
          <w:b/>
          <w:sz w:val="20"/>
        </w:rPr>
        <w:t xml:space="preserve">real estate </w:t>
      </w:r>
      <w:r w:rsidR="0052773F" w:rsidRPr="009629B5">
        <w:rPr>
          <w:b/>
          <w:sz w:val="20"/>
        </w:rPr>
        <w:t>UNIQUE</w:t>
      </w:r>
      <w:r w:rsidRPr="009629B5">
        <w:rPr>
          <w:sz w:val="20"/>
        </w:rPr>
        <w:sym w:font="Wingdings" w:char="F0E0"/>
      </w:r>
      <w:r w:rsidRPr="009629B5">
        <w:rPr>
          <w:sz w:val="20"/>
        </w:rPr>
        <w:t xml:space="preserve"> </w:t>
      </w:r>
      <w:r w:rsidR="0052773F" w:rsidRPr="009629B5">
        <w:rPr>
          <w:sz w:val="20"/>
        </w:rPr>
        <w:t>Specific performance awarded because otherwise Loveless would be “unjustly enriched for their culpable refusal to carry out their promise.”</w:t>
      </w:r>
    </w:p>
    <w:p w:rsidR="00BA608C" w:rsidRPr="009629B5" w:rsidRDefault="00BA608C" w:rsidP="00BA608C">
      <w:pPr>
        <w:pStyle w:val="Heading6"/>
        <w:rPr>
          <w:sz w:val="20"/>
        </w:rPr>
      </w:pPr>
      <w:r w:rsidRPr="009629B5">
        <w:rPr>
          <w:sz w:val="20"/>
        </w:rPr>
        <w:t>Cumbest v. Harris—GOODS—1978</w:t>
      </w:r>
    </w:p>
    <w:p w:rsidR="00BA608C" w:rsidRPr="009629B5" w:rsidRDefault="00BA608C" w:rsidP="00BA608C">
      <w:pPr>
        <w:ind w:left="720"/>
        <w:rPr>
          <w:sz w:val="20"/>
        </w:rPr>
      </w:pPr>
      <w:r w:rsidRPr="009629B5">
        <w:rPr>
          <w:sz w:val="20"/>
        </w:rPr>
        <w:t>Cumbest sold his unique and irreplaceable stereo system to Harris with a clause in the contract that he could re-buy it in before a certain day</w:t>
      </w:r>
    </w:p>
    <w:p w:rsidR="00BA608C" w:rsidRPr="009629B5" w:rsidRDefault="00BA608C" w:rsidP="00BA608C">
      <w:pPr>
        <w:ind w:left="720"/>
        <w:rPr>
          <w:sz w:val="20"/>
        </w:rPr>
      </w:pPr>
      <w:r w:rsidRPr="009629B5">
        <w:rPr>
          <w:b/>
          <w:sz w:val="20"/>
        </w:rPr>
        <w:t>Rule:</w:t>
      </w:r>
      <w:r w:rsidRPr="009629B5">
        <w:rPr>
          <w:sz w:val="20"/>
        </w:rPr>
        <w:t xml:space="preserve"> “Ordinarily, specific performance will not be decreed if the subject matter of the contract sought to be enforced is personalty.  However, this general principle is subject to several well recognized exceptions, such as:</w:t>
      </w:r>
    </w:p>
    <w:p w:rsidR="00BA608C" w:rsidRPr="009629B5" w:rsidRDefault="00BA608C" w:rsidP="000C5F32">
      <w:pPr>
        <w:pStyle w:val="ListParagraph"/>
        <w:numPr>
          <w:ilvl w:val="0"/>
          <w:numId w:val="28"/>
        </w:numPr>
        <w:rPr>
          <w:sz w:val="20"/>
        </w:rPr>
      </w:pPr>
      <w:r w:rsidRPr="009629B5">
        <w:rPr>
          <w:sz w:val="20"/>
        </w:rPr>
        <w:t>Where there is no adequate remedy at law; (illiquid; no market)</w:t>
      </w:r>
    </w:p>
    <w:p w:rsidR="00BA608C" w:rsidRPr="009629B5" w:rsidRDefault="00BA608C" w:rsidP="000C5F32">
      <w:pPr>
        <w:pStyle w:val="ListParagraph"/>
        <w:numPr>
          <w:ilvl w:val="0"/>
          <w:numId w:val="28"/>
        </w:numPr>
        <w:rPr>
          <w:sz w:val="20"/>
        </w:rPr>
      </w:pPr>
      <w:r w:rsidRPr="009629B5">
        <w:rPr>
          <w:sz w:val="20"/>
        </w:rPr>
        <w:t xml:space="preserve">Where the specific articles or property are of peculiar, </w:t>
      </w:r>
      <w:r w:rsidRPr="009629B5">
        <w:rPr>
          <w:i/>
          <w:sz w:val="20"/>
        </w:rPr>
        <w:t>sentimental or unique value</w:t>
      </w:r>
      <w:r w:rsidRPr="009629B5">
        <w:rPr>
          <w:sz w:val="20"/>
        </w:rPr>
        <w:t>; and</w:t>
      </w:r>
    </w:p>
    <w:p w:rsidR="00BA608C" w:rsidRPr="009629B5" w:rsidRDefault="00BA608C" w:rsidP="000C5F32">
      <w:pPr>
        <w:pStyle w:val="ListParagraph"/>
        <w:numPr>
          <w:ilvl w:val="0"/>
          <w:numId w:val="28"/>
        </w:numPr>
        <w:rPr>
          <w:sz w:val="20"/>
        </w:rPr>
      </w:pPr>
      <w:r w:rsidRPr="009629B5">
        <w:rPr>
          <w:sz w:val="20"/>
        </w:rPr>
        <w:t>Where due to scarcity the chattel is not readily obtainable.”(not fungible)</w:t>
      </w:r>
    </w:p>
    <w:p w:rsidR="00BA608C" w:rsidRPr="009629B5" w:rsidRDefault="00BA608C" w:rsidP="00BA608C">
      <w:pPr>
        <w:ind w:left="720"/>
        <w:rPr>
          <w:sz w:val="20"/>
        </w:rPr>
      </w:pPr>
      <w:r w:rsidRPr="009629B5">
        <w:rPr>
          <w:b/>
          <w:sz w:val="20"/>
        </w:rPr>
        <w:t>Decision: UNIQUE</w:t>
      </w:r>
      <w:r w:rsidRPr="009629B5">
        <w:rPr>
          <w:sz w:val="20"/>
        </w:rPr>
        <w:t xml:space="preserve"> </w:t>
      </w:r>
      <w:r w:rsidRPr="009629B5">
        <w:rPr>
          <w:sz w:val="20"/>
        </w:rPr>
        <w:sym w:font="Wingdings" w:char="F0E0"/>
      </w:r>
      <w:r w:rsidRPr="009629B5">
        <w:rPr>
          <w:sz w:val="20"/>
        </w:rPr>
        <w:t xml:space="preserve"> ordered specific performance</w:t>
      </w:r>
    </w:p>
    <w:p w:rsidR="00BA608C" w:rsidRPr="009629B5" w:rsidRDefault="00BA608C" w:rsidP="00BA608C">
      <w:pPr>
        <w:pStyle w:val="Heading6"/>
        <w:rPr>
          <w:sz w:val="20"/>
        </w:rPr>
      </w:pPr>
      <w:r w:rsidRPr="009629B5">
        <w:rPr>
          <w:sz w:val="20"/>
        </w:rPr>
        <w:t>Scholl v. Hartzell—1981—Corvette (NOT dealer)</w:t>
      </w:r>
    </w:p>
    <w:p w:rsidR="00BA608C" w:rsidRPr="009629B5" w:rsidRDefault="00BA608C" w:rsidP="00BA608C">
      <w:pPr>
        <w:ind w:left="720"/>
        <w:rPr>
          <w:sz w:val="20"/>
        </w:rPr>
      </w:pPr>
      <w:r w:rsidRPr="009629B5">
        <w:rPr>
          <w:sz w:val="20"/>
        </w:rPr>
        <w:t>Hartzell advertised a Corvette—Scholl agreed to purchase and made a deposit—Hartzell changed his mind and returned deposit—Scholl sued for specific performance</w:t>
      </w:r>
    </w:p>
    <w:p w:rsidR="00BA608C" w:rsidRPr="009629B5" w:rsidRDefault="00BA608C" w:rsidP="00BA608C">
      <w:pPr>
        <w:ind w:left="720"/>
        <w:rPr>
          <w:sz w:val="20"/>
        </w:rPr>
      </w:pPr>
      <w:r w:rsidRPr="009629B5">
        <w:rPr>
          <w:b/>
          <w:sz w:val="20"/>
        </w:rPr>
        <w:t>Holding: NOT UNIQUE</w:t>
      </w:r>
      <w:r w:rsidRPr="009629B5">
        <w:rPr>
          <w:sz w:val="20"/>
        </w:rPr>
        <w:t>—Scholl had a mitigation opportunity—Corvette not “unique”—action should lie in contract breach NOT replevin</w:t>
      </w:r>
    </w:p>
    <w:p w:rsidR="00BA608C" w:rsidRPr="009629B5" w:rsidRDefault="00BA608C" w:rsidP="00BA608C">
      <w:pPr>
        <w:pStyle w:val="Heading6"/>
        <w:rPr>
          <w:sz w:val="20"/>
        </w:rPr>
      </w:pPr>
      <w:r w:rsidRPr="009629B5">
        <w:rPr>
          <w:sz w:val="20"/>
        </w:rPr>
        <w:t>Sedmak v. Charlie’s Chevrolet—1981</w:t>
      </w:r>
    </w:p>
    <w:p w:rsidR="00BA608C" w:rsidRPr="009629B5" w:rsidRDefault="00BA608C" w:rsidP="00BA608C">
      <w:pPr>
        <w:ind w:left="720"/>
        <w:rPr>
          <w:sz w:val="20"/>
        </w:rPr>
      </w:pPr>
      <w:r w:rsidRPr="009629B5">
        <w:rPr>
          <w:sz w:val="20"/>
        </w:rPr>
        <w:t>Sedmaks made a down payment on an oral agreement to purchase a unique, limited edition Corvette—Charlie’s Chevrolet repudiated and claimed that the Sedmaks could bid on the car—Sedmaks sue for specific performance</w:t>
      </w:r>
    </w:p>
    <w:p w:rsidR="00BA608C" w:rsidRPr="009629B5" w:rsidRDefault="00BA608C" w:rsidP="00BA608C">
      <w:pPr>
        <w:ind w:left="720"/>
        <w:rPr>
          <w:b/>
          <w:sz w:val="20"/>
        </w:rPr>
      </w:pPr>
      <w:r w:rsidRPr="009629B5">
        <w:rPr>
          <w:b/>
          <w:sz w:val="20"/>
        </w:rPr>
        <w:t>Holding: UNIQUE</w:t>
      </w:r>
    </w:p>
    <w:p w:rsidR="00BA608C" w:rsidRPr="009629B5" w:rsidRDefault="005468F6" w:rsidP="00AD1ECC">
      <w:pPr>
        <w:pStyle w:val="Heading6"/>
        <w:rPr>
          <w:sz w:val="20"/>
        </w:rPr>
      </w:pPr>
      <w:r w:rsidRPr="009629B5">
        <w:rPr>
          <w:sz w:val="20"/>
        </w:rPr>
        <w:t>The Case of Mary Clark</w:t>
      </w:r>
      <w:r w:rsidR="00900B2F" w:rsidRPr="009629B5">
        <w:rPr>
          <w:sz w:val="20"/>
        </w:rPr>
        <w:t>—</w:t>
      </w:r>
      <w:r w:rsidRPr="009629B5">
        <w:rPr>
          <w:sz w:val="20"/>
        </w:rPr>
        <w:t>1821</w:t>
      </w:r>
    </w:p>
    <w:p w:rsidR="005468F6" w:rsidRPr="009629B5" w:rsidRDefault="005468F6" w:rsidP="005468F6">
      <w:pPr>
        <w:ind w:left="720"/>
        <w:rPr>
          <w:sz w:val="20"/>
        </w:rPr>
      </w:pPr>
      <w:r w:rsidRPr="009629B5">
        <w:rPr>
          <w:sz w:val="20"/>
        </w:rPr>
        <w:t xml:space="preserve">Forcing Mary Clark into indentured servitude would be more “degrading and demoralizing in its consequences…than slavery itself.” </w:t>
      </w:r>
      <w:r w:rsidRPr="009629B5">
        <w:rPr>
          <w:sz w:val="20"/>
        </w:rPr>
        <w:sym w:font="Wingdings" w:char="F0E0"/>
      </w:r>
      <w:r w:rsidRPr="009629B5">
        <w:rPr>
          <w:sz w:val="20"/>
        </w:rPr>
        <w:t xml:space="preserve"> Discharged from duty</w:t>
      </w:r>
    </w:p>
    <w:p w:rsidR="0052773F" w:rsidRPr="009629B5" w:rsidRDefault="005468F6" w:rsidP="005468F6">
      <w:pPr>
        <w:ind w:left="720"/>
        <w:rPr>
          <w:b/>
          <w:sz w:val="20"/>
        </w:rPr>
      </w:pPr>
      <w:r w:rsidRPr="009629B5">
        <w:rPr>
          <w:b/>
          <w:sz w:val="20"/>
        </w:rPr>
        <w:t>Holding: NO SPECIFIC PERFORMANCE</w:t>
      </w:r>
    </w:p>
    <w:p w:rsidR="0052773F" w:rsidRPr="009629B5" w:rsidRDefault="005468F6" w:rsidP="005468F6">
      <w:pPr>
        <w:ind w:left="720"/>
        <w:rPr>
          <w:sz w:val="20"/>
        </w:rPr>
      </w:pPr>
      <w:r w:rsidRPr="009629B5">
        <w:rPr>
          <w:b/>
          <w:sz w:val="20"/>
        </w:rPr>
        <w:t xml:space="preserve">Negative covenants (e.g. </w:t>
      </w:r>
      <w:r w:rsidRPr="009629B5">
        <w:rPr>
          <w:b/>
          <w:i/>
          <w:sz w:val="20"/>
        </w:rPr>
        <w:t>Dempsey</w:t>
      </w:r>
      <w:r w:rsidRPr="009629B5">
        <w:rPr>
          <w:b/>
          <w:sz w:val="20"/>
        </w:rPr>
        <w:t>)—</w:t>
      </w:r>
      <w:r w:rsidRPr="009629B5">
        <w:rPr>
          <w:sz w:val="20"/>
        </w:rPr>
        <w:t>where the courts draw the line with the provision “you can’t work for anyone else” and “you must work for me” is subjective</w:t>
      </w:r>
      <w:r w:rsidRPr="009629B5">
        <w:rPr>
          <w:sz w:val="20"/>
        </w:rPr>
        <w:sym w:font="Wingdings" w:char="F0E0"/>
      </w:r>
      <w:r w:rsidRPr="009629B5">
        <w:rPr>
          <w:sz w:val="20"/>
        </w:rPr>
        <w:t xml:space="preserve"> look to length of time, injury, extent of the limitation, etc.</w:t>
      </w:r>
    </w:p>
    <w:p w:rsidR="00950DAD" w:rsidRPr="009629B5" w:rsidRDefault="001E225E" w:rsidP="001E225E">
      <w:pPr>
        <w:pStyle w:val="Heading1"/>
        <w:rPr>
          <w:sz w:val="24"/>
        </w:rPr>
      </w:pPr>
      <w:bookmarkStart w:id="19" w:name="_Toc122512872"/>
      <w:r w:rsidRPr="009629B5">
        <w:rPr>
          <w:sz w:val="24"/>
        </w:rPr>
        <w:t>RESTITUTION—Bush—Britton—Vines—Cotnam</w:t>
      </w:r>
      <w:bookmarkEnd w:id="19"/>
    </w:p>
    <w:p w:rsidR="00950DAD" w:rsidRPr="009629B5" w:rsidRDefault="00950DAD" w:rsidP="00950DAD">
      <w:pPr>
        <w:jc w:val="center"/>
        <w:rPr>
          <w:sz w:val="20"/>
        </w:rPr>
      </w:pPr>
      <w:r w:rsidRPr="009629B5">
        <w:rPr>
          <w:sz w:val="20"/>
        </w:rPr>
        <w:t>Disgorgement of the unjust enrichment received by the bad actor</w:t>
      </w:r>
    </w:p>
    <w:p w:rsidR="00950DAD" w:rsidRPr="009629B5" w:rsidRDefault="00950DAD" w:rsidP="00AD1ECC">
      <w:pPr>
        <w:pStyle w:val="Heading6"/>
        <w:rPr>
          <w:sz w:val="20"/>
        </w:rPr>
      </w:pPr>
      <w:r w:rsidRPr="009629B5">
        <w:rPr>
          <w:sz w:val="20"/>
        </w:rPr>
        <w:t>Bush v Canfield—1818</w:t>
      </w:r>
    </w:p>
    <w:p w:rsidR="00950DAD" w:rsidRPr="009629B5" w:rsidRDefault="00950DAD" w:rsidP="00950DAD">
      <w:pPr>
        <w:ind w:left="810"/>
        <w:rPr>
          <w:sz w:val="20"/>
        </w:rPr>
      </w:pPr>
      <w:r w:rsidRPr="009629B5">
        <w:rPr>
          <w:sz w:val="20"/>
        </w:rPr>
        <w:t>Wheat was worth $14,000—Bush made a $5,000 deposit—Canfield repudiated when wheat was worth $11,000—tried to return only $2,000 (benefit of the bargain)</w:t>
      </w:r>
    </w:p>
    <w:p w:rsidR="00900B2F" w:rsidRPr="009629B5" w:rsidRDefault="00950DAD" w:rsidP="00950DAD">
      <w:pPr>
        <w:ind w:left="810"/>
        <w:rPr>
          <w:sz w:val="20"/>
        </w:rPr>
      </w:pPr>
      <w:r w:rsidRPr="009629B5">
        <w:rPr>
          <w:b/>
          <w:sz w:val="20"/>
        </w:rPr>
        <w:t>Breaching party shouldn’t recover savings</w:t>
      </w:r>
      <w:r w:rsidRPr="009629B5">
        <w:rPr>
          <w:sz w:val="20"/>
        </w:rPr>
        <w:sym w:font="Wingdings" w:char="F0E0"/>
      </w:r>
      <w:r w:rsidRPr="009629B5">
        <w:rPr>
          <w:sz w:val="20"/>
        </w:rPr>
        <w:t xml:space="preserve"> Bush gets $5,000 + interest</w:t>
      </w:r>
    </w:p>
    <w:p w:rsidR="00900B2F" w:rsidRPr="009629B5" w:rsidRDefault="00900B2F" w:rsidP="00AD1ECC">
      <w:pPr>
        <w:pStyle w:val="Heading6"/>
        <w:rPr>
          <w:sz w:val="20"/>
        </w:rPr>
      </w:pPr>
      <w:r w:rsidRPr="009629B5">
        <w:rPr>
          <w:sz w:val="20"/>
        </w:rPr>
        <w:t>Britton v Turner—1834</w:t>
      </w:r>
    </w:p>
    <w:p w:rsidR="00F84761" w:rsidRPr="009629B5" w:rsidRDefault="00F84761" w:rsidP="00F84761">
      <w:pPr>
        <w:ind w:left="720"/>
        <w:rPr>
          <w:sz w:val="20"/>
        </w:rPr>
      </w:pPr>
      <w:r w:rsidRPr="009629B5">
        <w:rPr>
          <w:sz w:val="20"/>
        </w:rPr>
        <w:t xml:space="preserve">Britton agreed to work for Turner for a year in exchange for $120—after 9 ½ months, he left—sued Turner for his unpaid wages—court decided: </w:t>
      </w:r>
      <w:r w:rsidRPr="009629B5">
        <w:rPr>
          <w:b/>
          <w:sz w:val="20"/>
        </w:rPr>
        <w:t>Turner had agreed on a day-to-day basis to receive Britton’s labor</w:t>
      </w:r>
      <w:r w:rsidRPr="009629B5">
        <w:rPr>
          <w:sz w:val="20"/>
        </w:rPr>
        <w:t xml:space="preserve"> </w:t>
      </w:r>
      <w:r w:rsidRPr="009629B5">
        <w:rPr>
          <w:sz w:val="20"/>
        </w:rPr>
        <w:sym w:font="Wingdings" w:char="F0E0"/>
      </w:r>
      <w:r w:rsidRPr="009629B5">
        <w:rPr>
          <w:sz w:val="20"/>
        </w:rPr>
        <w:t xml:space="preserve"> owes him for it.  </w:t>
      </w:r>
    </w:p>
    <w:p w:rsidR="00F84761" w:rsidRPr="009629B5" w:rsidRDefault="00F84761" w:rsidP="00F84761">
      <w:pPr>
        <w:rPr>
          <w:b/>
          <w:sz w:val="20"/>
        </w:rPr>
      </w:pPr>
      <w:r w:rsidRPr="009629B5">
        <w:rPr>
          <w:b/>
          <w:sz w:val="20"/>
        </w:rPr>
        <w:t>What if we knew the cost of substitute labor?</w:t>
      </w:r>
    </w:p>
    <w:p w:rsidR="00F84761" w:rsidRPr="009629B5" w:rsidRDefault="00F84761" w:rsidP="00F84761">
      <w:pPr>
        <w:ind w:left="720"/>
        <w:rPr>
          <w:sz w:val="20"/>
        </w:rPr>
      </w:pPr>
      <w:r w:rsidRPr="009629B5">
        <w:rPr>
          <w:sz w:val="20"/>
        </w:rPr>
        <w:t xml:space="preserve">$30/quarter for Britton; $50/quarter for the next guy; Britton would sue for his three quarters of service—get $90 and then subtract the marginal increase for Turner to get a replacement -$20 </w:t>
      </w:r>
      <w:r w:rsidRPr="009629B5">
        <w:rPr>
          <w:sz w:val="20"/>
        </w:rPr>
        <w:sym w:font="Wingdings" w:char="F0E0"/>
      </w:r>
      <w:r w:rsidRPr="009629B5">
        <w:rPr>
          <w:sz w:val="20"/>
        </w:rPr>
        <w:t xml:space="preserve"> $70 in expectation damages owed to Britton</w:t>
      </w:r>
    </w:p>
    <w:p w:rsidR="00F84761" w:rsidRPr="009629B5" w:rsidRDefault="00F84761" w:rsidP="00AD1ECC">
      <w:pPr>
        <w:pStyle w:val="Heading6"/>
        <w:rPr>
          <w:sz w:val="20"/>
        </w:rPr>
      </w:pPr>
      <w:r w:rsidRPr="009629B5">
        <w:rPr>
          <w:sz w:val="20"/>
        </w:rPr>
        <w:t>Vines v Orchard Hills—1980</w:t>
      </w:r>
    </w:p>
    <w:p w:rsidR="003D42DD" w:rsidRPr="009629B5" w:rsidRDefault="003D42DD" w:rsidP="00F84761">
      <w:pPr>
        <w:ind w:left="720"/>
        <w:rPr>
          <w:sz w:val="20"/>
        </w:rPr>
      </w:pPr>
      <w:r w:rsidRPr="009629B5">
        <w:rPr>
          <w:sz w:val="20"/>
        </w:rPr>
        <w:t>Deposit on a condo retained after (potential) buyer repudiates</w:t>
      </w:r>
    </w:p>
    <w:p w:rsidR="00F84761" w:rsidRPr="009629B5" w:rsidRDefault="00F84761" w:rsidP="00F84761">
      <w:pPr>
        <w:ind w:left="720"/>
        <w:rPr>
          <w:sz w:val="20"/>
        </w:rPr>
      </w:pPr>
      <w:r w:rsidRPr="009629B5">
        <w:rPr>
          <w:sz w:val="20"/>
        </w:rPr>
        <w:t xml:space="preserve">“deposits are both a standard source of liquidated damages and a standard basis for a restitution claim” –Adler </w:t>
      </w:r>
    </w:p>
    <w:p w:rsidR="003D42DD" w:rsidRPr="009629B5" w:rsidRDefault="00CD1C4B" w:rsidP="00950DAD">
      <w:pPr>
        <w:ind w:left="810"/>
        <w:rPr>
          <w:sz w:val="20"/>
        </w:rPr>
      </w:pPr>
      <w:r>
        <w:rPr>
          <w:b/>
          <w:sz w:val="20"/>
        </w:rPr>
        <w:t>Holding</w:t>
      </w:r>
      <w:r w:rsidR="003D42DD" w:rsidRPr="009629B5">
        <w:rPr>
          <w:sz w:val="20"/>
        </w:rPr>
        <w:t xml:space="preserve">: generally—sellers can use liquidated damages clauses to retain deposits BUT Vines has a chance to challenge this particular clause’s validity </w:t>
      </w:r>
    </w:p>
    <w:p w:rsidR="003D42DD" w:rsidRPr="009629B5" w:rsidRDefault="003D42DD" w:rsidP="00AD1ECC">
      <w:pPr>
        <w:pStyle w:val="Heading6"/>
        <w:rPr>
          <w:sz w:val="20"/>
        </w:rPr>
      </w:pPr>
      <w:r w:rsidRPr="009629B5">
        <w:rPr>
          <w:sz w:val="20"/>
        </w:rPr>
        <w:t>Cotnam v Wisdom—1907</w:t>
      </w:r>
    </w:p>
    <w:p w:rsidR="00AD1ECC" w:rsidRPr="009629B5" w:rsidRDefault="003D42DD" w:rsidP="003D42DD">
      <w:pPr>
        <w:ind w:left="810"/>
        <w:rPr>
          <w:b/>
          <w:sz w:val="20"/>
        </w:rPr>
      </w:pPr>
      <w:r w:rsidRPr="009629B5">
        <w:rPr>
          <w:sz w:val="20"/>
        </w:rPr>
        <w:t xml:space="preserve">Wisdom was a doctor who administered emergency services to an unconscious man—claimed (and won) restitution for “time, service, and skill” under </w:t>
      </w:r>
      <w:r w:rsidRPr="009629B5">
        <w:rPr>
          <w:b/>
          <w:sz w:val="20"/>
        </w:rPr>
        <w:t>quasi-contract</w:t>
      </w:r>
      <w:r w:rsidR="00AD1ECC" w:rsidRPr="009629B5">
        <w:rPr>
          <w:b/>
          <w:sz w:val="20"/>
        </w:rPr>
        <w:t xml:space="preserve"> </w:t>
      </w:r>
      <w:r w:rsidR="00AD1ECC" w:rsidRPr="009629B5">
        <w:rPr>
          <w:b/>
          <w:sz w:val="20"/>
        </w:rPr>
        <w:sym w:font="Wingdings" w:char="F0E0"/>
      </w:r>
      <w:r w:rsidR="00AD1ECC" w:rsidRPr="009629B5">
        <w:rPr>
          <w:b/>
          <w:sz w:val="20"/>
        </w:rPr>
        <w:t xml:space="preserve"> entirely outside of contract</w:t>
      </w:r>
    </w:p>
    <w:p w:rsidR="00AD1ECC" w:rsidRPr="009629B5" w:rsidRDefault="00AD1ECC" w:rsidP="003D42DD">
      <w:pPr>
        <w:ind w:left="810"/>
        <w:rPr>
          <w:b/>
          <w:sz w:val="20"/>
        </w:rPr>
      </w:pPr>
      <w:r w:rsidRPr="009629B5">
        <w:rPr>
          <w:sz w:val="20"/>
        </w:rPr>
        <w:t>**had to be planning to re-coup expenses the entire time—cannot gift services and then sue later</w:t>
      </w:r>
    </w:p>
    <w:p w:rsidR="00AD1ECC" w:rsidRPr="009629B5" w:rsidRDefault="00AD1ECC" w:rsidP="00AD1ECC">
      <w:pPr>
        <w:pStyle w:val="Heading3"/>
        <w:rPr>
          <w:sz w:val="20"/>
        </w:rPr>
      </w:pPr>
      <w:bookmarkStart w:id="20" w:name="_Toc122512873"/>
      <w:r w:rsidRPr="009629B5">
        <w:rPr>
          <w:sz w:val="20"/>
        </w:rPr>
        <w:t>Quasi Contract</w:t>
      </w:r>
      <w:bookmarkEnd w:id="20"/>
    </w:p>
    <w:p w:rsidR="00675C74" w:rsidRPr="009629B5" w:rsidRDefault="00AD1ECC" w:rsidP="00AD1ECC">
      <w:pPr>
        <w:rPr>
          <w:sz w:val="20"/>
        </w:rPr>
      </w:pPr>
      <w:r w:rsidRPr="009629B5">
        <w:rPr>
          <w:sz w:val="20"/>
        </w:rPr>
        <w:t>NO PROMISE but still enforceable as legal fiction—inverted tort law—requires a beneficiary to pay his benefactor</w:t>
      </w:r>
    </w:p>
    <w:p w:rsidR="001E225E" w:rsidRPr="009629B5" w:rsidRDefault="001E225E" w:rsidP="001E225E">
      <w:pPr>
        <w:pStyle w:val="Heading1"/>
        <w:rPr>
          <w:sz w:val="24"/>
        </w:rPr>
      </w:pPr>
      <w:bookmarkStart w:id="21" w:name="_Toc122512874"/>
      <w:r w:rsidRPr="009629B5">
        <w:rPr>
          <w:sz w:val="24"/>
        </w:rPr>
        <w:t>MUTUAL ASSENT</w:t>
      </w:r>
      <w:bookmarkEnd w:id="21"/>
    </w:p>
    <w:p w:rsidR="00AD1ECC" w:rsidRPr="009629B5" w:rsidRDefault="001E225E" w:rsidP="00722EE6">
      <w:pPr>
        <w:pStyle w:val="Heading2"/>
        <w:rPr>
          <w:sz w:val="24"/>
        </w:rPr>
      </w:pPr>
      <w:bookmarkStart w:id="22" w:name="_Toc122512875"/>
      <w:r w:rsidRPr="009629B5">
        <w:rPr>
          <w:sz w:val="24"/>
        </w:rPr>
        <w:t>OBJECTIVE THEORY OF ASSENT—Embry—Lucy</w:t>
      </w:r>
      <w:bookmarkEnd w:id="22"/>
    </w:p>
    <w:p w:rsidR="00AD1ECC" w:rsidRPr="009629B5" w:rsidRDefault="00AD1ECC" w:rsidP="00AD1ECC">
      <w:pPr>
        <w:jc w:val="center"/>
        <w:rPr>
          <w:sz w:val="20"/>
        </w:rPr>
      </w:pPr>
      <w:r w:rsidRPr="009629B5">
        <w:rPr>
          <w:sz w:val="20"/>
        </w:rPr>
        <w:t>“A meeting of the minds is not required for an enforceable contract. What is required is that each party behave in a way that gives the other party or parties reason to believe that there is a bargain between or among them; subjective intent rarely matters at all and is not a prerequisite to enforcement of a contract.” –Adler</w:t>
      </w:r>
    </w:p>
    <w:p w:rsidR="00AD1ECC" w:rsidRPr="009629B5" w:rsidRDefault="00AD1ECC" w:rsidP="00AD1ECC">
      <w:pPr>
        <w:pStyle w:val="Heading6"/>
        <w:rPr>
          <w:sz w:val="20"/>
        </w:rPr>
      </w:pPr>
      <w:r w:rsidRPr="009629B5">
        <w:rPr>
          <w:sz w:val="20"/>
        </w:rPr>
        <w:t>Embry v Hargadine, McKittrick Dry Goods—1907</w:t>
      </w:r>
    </w:p>
    <w:p w:rsidR="00F846F5" w:rsidRPr="009629B5" w:rsidRDefault="00F846F5" w:rsidP="00F846F5">
      <w:pPr>
        <w:ind w:left="720"/>
        <w:rPr>
          <w:sz w:val="20"/>
        </w:rPr>
      </w:pPr>
      <w:r w:rsidRPr="009629B5">
        <w:rPr>
          <w:sz w:val="20"/>
        </w:rPr>
        <w:t>Embry wanted to renew his contract—said if McKittrick wanted his services any longer he wanted a contract for a year—McKittrick either replied “Go ahead” (Embry) or “Go upstairs” (McKittrick)</w:t>
      </w:r>
    </w:p>
    <w:p w:rsidR="00F846F5" w:rsidRPr="009629B5" w:rsidRDefault="00F846F5" w:rsidP="00F846F5">
      <w:pPr>
        <w:ind w:left="720"/>
        <w:rPr>
          <w:sz w:val="20"/>
        </w:rPr>
      </w:pPr>
      <w:r w:rsidRPr="009629B5">
        <w:rPr>
          <w:b/>
          <w:sz w:val="20"/>
        </w:rPr>
        <w:t>“Go ahead” clearly manifests assent</w:t>
      </w:r>
      <w:r w:rsidRPr="009629B5">
        <w:rPr>
          <w:sz w:val="20"/>
        </w:rPr>
        <w:sym w:font="Wingdings" w:char="F0E0"/>
      </w:r>
      <w:r w:rsidRPr="009629B5">
        <w:rPr>
          <w:sz w:val="20"/>
        </w:rPr>
        <w:t xml:space="preserve"> if jury finds Embry’s story more likely than McKittrick’s the contract is ok</w:t>
      </w:r>
    </w:p>
    <w:p w:rsidR="00F846F5" w:rsidRPr="009629B5" w:rsidRDefault="00F846F5" w:rsidP="00F846F5">
      <w:pPr>
        <w:pStyle w:val="Heading6"/>
        <w:rPr>
          <w:sz w:val="20"/>
        </w:rPr>
      </w:pPr>
      <w:r w:rsidRPr="009629B5">
        <w:rPr>
          <w:sz w:val="20"/>
        </w:rPr>
        <w:t>Lucy v Zehmer—1954</w:t>
      </w:r>
    </w:p>
    <w:p w:rsidR="005577E9" w:rsidRPr="009629B5" w:rsidRDefault="00F846F5" w:rsidP="00F846F5">
      <w:pPr>
        <w:ind w:left="720"/>
        <w:rPr>
          <w:i/>
          <w:sz w:val="20"/>
        </w:rPr>
      </w:pPr>
      <w:r w:rsidRPr="009629B5">
        <w:rPr>
          <w:i/>
          <w:sz w:val="20"/>
        </w:rPr>
        <w:t>Farm sold on a napkin</w:t>
      </w:r>
    </w:p>
    <w:p w:rsidR="001E225E" w:rsidRPr="009629B5" w:rsidRDefault="005577E9" w:rsidP="00F846F5">
      <w:pPr>
        <w:ind w:left="720"/>
        <w:rPr>
          <w:sz w:val="20"/>
        </w:rPr>
      </w:pPr>
      <w:r w:rsidRPr="009629B5">
        <w:rPr>
          <w:sz w:val="20"/>
        </w:rPr>
        <w:t xml:space="preserve">Though Zehmer considered the whole contract a joke, he </w:t>
      </w:r>
      <w:r w:rsidRPr="009629B5">
        <w:rPr>
          <w:b/>
          <w:sz w:val="20"/>
        </w:rPr>
        <w:t>manifested assent</w:t>
      </w:r>
      <w:r w:rsidRPr="009629B5">
        <w:rPr>
          <w:sz w:val="20"/>
        </w:rPr>
        <w:t xml:space="preserve"> (despite claims of vesting reservations)</w:t>
      </w:r>
      <w:r w:rsidRPr="009629B5">
        <w:rPr>
          <w:sz w:val="20"/>
        </w:rPr>
        <w:sym w:font="Wingdings" w:char="F0E0"/>
      </w:r>
      <w:r w:rsidRPr="009629B5">
        <w:rPr>
          <w:sz w:val="20"/>
        </w:rPr>
        <w:t xml:space="preserve"> court ordered specific performance</w:t>
      </w:r>
    </w:p>
    <w:p w:rsidR="0093066E" w:rsidRPr="009629B5" w:rsidRDefault="001E225E" w:rsidP="00722EE6">
      <w:pPr>
        <w:pStyle w:val="Heading2"/>
        <w:rPr>
          <w:sz w:val="24"/>
        </w:rPr>
      </w:pPr>
      <w:bookmarkStart w:id="23" w:name="_Toc122512876"/>
      <w:r w:rsidRPr="009629B5">
        <w:rPr>
          <w:sz w:val="24"/>
        </w:rPr>
        <w:t>OFFER—Nebraska Seed—Leonard—Empro—Texaco—Dickinson</w:t>
      </w:r>
      <w:bookmarkEnd w:id="23"/>
    </w:p>
    <w:p w:rsidR="0093066E" w:rsidRPr="009629B5" w:rsidRDefault="0093066E" w:rsidP="0093066E">
      <w:pPr>
        <w:pStyle w:val="Heading6"/>
        <w:rPr>
          <w:sz w:val="20"/>
        </w:rPr>
      </w:pPr>
      <w:r w:rsidRPr="009629B5">
        <w:rPr>
          <w:sz w:val="20"/>
        </w:rPr>
        <w:t>Nebraska Seed v Harsh—1915</w:t>
      </w:r>
    </w:p>
    <w:p w:rsidR="0093066E" w:rsidRPr="009629B5" w:rsidRDefault="0093066E" w:rsidP="0093066E">
      <w:pPr>
        <w:ind w:left="720"/>
        <w:rPr>
          <w:sz w:val="20"/>
        </w:rPr>
      </w:pPr>
      <w:r w:rsidRPr="009629B5">
        <w:rPr>
          <w:sz w:val="20"/>
        </w:rPr>
        <w:t>Harsh sent a circular to Nebraska Seed—included price—NS replied with money</w:t>
      </w:r>
    </w:p>
    <w:p w:rsidR="0093066E" w:rsidRPr="009629B5" w:rsidRDefault="0093066E" w:rsidP="0093066E">
      <w:pPr>
        <w:ind w:left="720"/>
        <w:rPr>
          <w:b/>
          <w:sz w:val="20"/>
        </w:rPr>
      </w:pPr>
      <w:r w:rsidRPr="009629B5">
        <w:rPr>
          <w:b/>
          <w:sz w:val="20"/>
        </w:rPr>
        <w:t>Advertisement is NOT an offer</w:t>
      </w:r>
    </w:p>
    <w:p w:rsidR="001E225E" w:rsidRPr="009629B5" w:rsidRDefault="0093066E" w:rsidP="00441CB2">
      <w:pPr>
        <w:pStyle w:val="Heading6"/>
        <w:rPr>
          <w:sz w:val="20"/>
        </w:rPr>
      </w:pPr>
      <w:r w:rsidRPr="009629B5">
        <w:rPr>
          <w:sz w:val="20"/>
        </w:rPr>
        <w:t>Leonard v Pepsico—1999</w:t>
      </w:r>
    </w:p>
    <w:p w:rsidR="00441CB2" w:rsidRPr="009629B5" w:rsidRDefault="00441CB2" w:rsidP="00441CB2">
      <w:pPr>
        <w:pStyle w:val="Heading6"/>
        <w:rPr>
          <w:sz w:val="20"/>
        </w:rPr>
      </w:pPr>
      <w:r w:rsidRPr="009629B5">
        <w:rPr>
          <w:sz w:val="20"/>
        </w:rPr>
        <w:t>Empro Manufacturing v Ball-Co Manufacturing—1989</w:t>
      </w:r>
      <w:r w:rsidR="00F9709E" w:rsidRPr="009629B5">
        <w:rPr>
          <w:sz w:val="20"/>
        </w:rPr>
        <w:t>—Easterbrook</w:t>
      </w:r>
    </w:p>
    <w:p w:rsidR="00441CB2" w:rsidRPr="009629B5" w:rsidRDefault="00441CB2" w:rsidP="00441CB2">
      <w:pPr>
        <w:ind w:left="720"/>
        <w:rPr>
          <w:sz w:val="20"/>
        </w:rPr>
      </w:pPr>
      <w:r w:rsidRPr="009629B5">
        <w:rPr>
          <w:sz w:val="20"/>
        </w:rPr>
        <w:t>Ballco was going to sell its assets to Empro—they signed a letter of intent, including clauses that each could negotiate the deal and that the sale would be “subject to” a definitive asset purchase agreement—they reached a stalemate over a purchase stipulation and Ballco began negotiating with another company</w:t>
      </w:r>
    </w:p>
    <w:p w:rsidR="00441CB2" w:rsidRPr="00CD1C4B" w:rsidRDefault="00CD1C4B" w:rsidP="00CD1C4B">
      <w:pPr>
        <w:ind w:left="720"/>
        <w:rPr>
          <w:b/>
          <w:sz w:val="20"/>
        </w:rPr>
      </w:pPr>
      <w:r>
        <w:rPr>
          <w:b/>
          <w:sz w:val="20"/>
        </w:rPr>
        <w:t>Holding</w:t>
      </w:r>
      <w:r w:rsidR="00441CB2" w:rsidRPr="009629B5">
        <w:rPr>
          <w:b/>
          <w:sz w:val="20"/>
        </w:rPr>
        <w:t>:</w:t>
      </w:r>
      <w:r>
        <w:rPr>
          <w:b/>
          <w:sz w:val="20"/>
        </w:rPr>
        <w:t xml:space="preserve"> </w:t>
      </w:r>
      <w:r w:rsidR="00441CB2" w:rsidRPr="009629B5">
        <w:rPr>
          <w:sz w:val="20"/>
        </w:rPr>
        <w:t xml:space="preserve">parties did not intend to be bound—implications of binding parties to preliminary agreements would be “a devastating blow to business”—seek to preserve parties’ rights to negotiate </w:t>
      </w:r>
    </w:p>
    <w:p w:rsidR="00600FB7" w:rsidRPr="009629B5" w:rsidRDefault="00E63F09" w:rsidP="00600FB7">
      <w:pPr>
        <w:pStyle w:val="Heading6"/>
        <w:rPr>
          <w:sz w:val="20"/>
        </w:rPr>
      </w:pPr>
      <w:r w:rsidRPr="009629B5">
        <w:rPr>
          <w:sz w:val="20"/>
        </w:rPr>
        <w:t>Texaco v Pennzoil—1987</w:t>
      </w:r>
    </w:p>
    <w:p w:rsidR="00E63F09" w:rsidRPr="009629B5" w:rsidRDefault="00600FB7" w:rsidP="00600FB7">
      <w:pPr>
        <w:ind w:left="720"/>
        <w:rPr>
          <w:i/>
          <w:sz w:val="20"/>
        </w:rPr>
      </w:pPr>
      <w:r w:rsidRPr="009629B5">
        <w:rPr>
          <w:i/>
          <w:sz w:val="20"/>
        </w:rPr>
        <w:t>Parties signed an letter of intent + issued a press release</w:t>
      </w:r>
    </w:p>
    <w:p w:rsidR="00600FB7" w:rsidRPr="009629B5" w:rsidRDefault="00600FB7" w:rsidP="00600FB7">
      <w:pPr>
        <w:ind w:left="720"/>
        <w:rPr>
          <w:b/>
          <w:sz w:val="20"/>
        </w:rPr>
      </w:pPr>
      <w:r w:rsidRPr="009629B5">
        <w:rPr>
          <w:b/>
          <w:sz w:val="20"/>
        </w:rPr>
        <w:t>Did parties intend to be bound by only a formal, signed writing?</w:t>
      </w:r>
    </w:p>
    <w:p w:rsidR="00600FB7" w:rsidRPr="009629B5" w:rsidRDefault="00600FB7" w:rsidP="00600FB7">
      <w:pPr>
        <w:numPr>
          <w:ilvl w:val="0"/>
          <w:numId w:val="29"/>
        </w:numPr>
        <w:spacing w:after="0"/>
        <w:rPr>
          <w:sz w:val="20"/>
        </w:rPr>
      </w:pPr>
      <w:r w:rsidRPr="009629B5">
        <w:rPr>
          <w:sz w:val="20"/>
        </w:rPr>
        <w:t>Did a party expressly reserved the right to be bound only when a written agreement is signed;</w:t>
      </w:r>
    </w:p>
    <w:p w:rsidR="00600FB7" w:rsidRPr="009629B5" w:rsidRDefault="00600FB7" w:rsidP="00600FB7">
      <w:pPr>
        <w:numPr>
          <w:ilvl w:val="0"/>
          <w:numId w:val="29"/>
        </w:numPr>
        <w:spacing w:after="0"/>
        <w:rPr>
          <w:sz w:val="20"/>
        </w:rPr>
      </w:pPr>
      <w:r w:rsidRPr="009629B5">
        <w:rPr>
          <w:sz w:val="20"/>
        </w:rPr>
        <w:t>Was there any partial performance by one party that the party disclaiming the contract accepted;</w:t>
      </w:r>
    </w:p>
    <w:p w:rsidR="00600FB7" w:rsidRPr="009629B5" w:rsidRDefault="00600FB7" w:rsidP="00600FB7">
      <w:pPr>
        <w:numPr>
          <w:ilvl w:val="0"/>
          <w:numId w:val="29"/>
        </w:numPr>
        <w:spacing w:after="0"/>
        <w:rPr>
          <w:sz w:val="20"/>
        </w:rPr>
      </w:pPr>
      <w:r w:rsidRPr="009629B5">
        <w:rPr>
          <w:sz w:val="20"/>
        </w:rPr>
        <w:t xml:space="preserve">Were all essential terms of the alleged contract had been agree upon; and </w:t>
      </w:r>
    </w:p>
    <w:p w:rsidR="00600FB7" w:rsidRPr="009629B5" w:rsidRDefault="00600FB7" w:rsidP="00600FB7">
      <w:pPr>
        <w:numPr>
          <w:ilvl w:val="0"/>
          <w:numId w:val="29"/>
        </w:numPr>
        <w:rPr>
          <w:sz w:val="20"/>
        </w:rPr>
      </w:pPr>
      <w:r w:rsidRPr="009629B5">
        <w:rPr>
          <w:sz w:val="20"/>
        </w:rPr>
        <w:t>Was the complexity or magnitude of the transaction was such that a formal, executed writing would normally be expected…</w:t>
      </w:r>
    </w:p>
    <w:p w:rsidR="00F9709E" w:rsidRPr="009629B5" w:rsidRDefault="00CD1C4B" w:rsidP="00600FB7">
      <w:pPr>
        <w:ind w:left="720"/>
        <w:rPr>
          <w:sz w:val="20"/>
        </w:rPr>
      </w:pPr>
      <w:r>
        <w:rPr>
          <w:b/>
          <w:sz w:val="20"/>
        </w:rPr>
        <w:t>Holding</w:t>
      </w:r>
      <w:r w:rsidR="00600FB7" w:rsidRPr="009629B5">
        <w:rPr>
          <w:sz w:val="20"/>
        </w:rPr>
        <w:t>: parties intended to be bound</w:t>
      </w:r>
    </w:p>
    <w:p w:rsidR="00F9709E" w:rsidRPr="009629B5" w:rsidRDefault="00F9709E" w:rsidP="00F9709E">
      <w:pPr>
        <w:pStyle w:val="Heading6"/>
        <w:rPr>
          <w:sz w:val="20"/>
        </w:rPr>
      </w:pPr>
      <w:r w:rsidRPr="009629B5">
        <w:rPr>
          <w:sz w:val="20"/>
        </w:rPr>
        <w:t>Dickinson v Dodds—1876</w:t>
      </w:r>
    </w:p>
    <w:p w:rsidR="00F9709E" w:rsidRPr="009629B5" w:rsidRDefault="00F9709E" w:rsidP="00F9709E">
      <w:pPr>
        <w:ind w:left="720"/>
        <w:rPr>
          <w:sz w:val="20"/>
        </w:rPr>
      </w:pPr>
      <w:r w:rsidRPr="009629B5">
        <w:rPr>
          <w:sz w:val="20"/>
        </w:rPr>
        <w:t>Dodds offered to sell Dickinson his land for £800—offer expired on Friday at 9 AM—on Thursday, Dickinson heard that Dodds was negotiating with Allen—delivered to Dodds’ home a formal letter of acceptance</w:t>
      </w:r>
    </w:p>
    <w:p w:rsidR="00350B81" w:rsidRPr="009629B5" w:rsidRDefault="00CD1C4B" w:rsidP="00F9709E">
      <w:pPr>
        <w:ind w:left="720"/>
        <w:rPr>
          <w:sz w:val="20"/>
        </w:rPr>
      </w:pPr>
      <w:r>
        <w:rPr>
          <w:b/>
          <w:sz w:val="20"/>
        </w:rPr>
        <w:t>Holding</w:t>
      </w:r>
      <w:r w:rsidR="00F9709E" w:rsidRPr="009629B5">
        <w:rPr>
          <w:b/>
          <w:caps/>
          <w:sz w:val="20"/>
        </w:rPr>
        <w:t>: an offer can be revoked until it is accepted</w:t>
      </w:r>
      <w:r w:rsidR="00F9709E" w:rsidRPr="009629B5">
        <w:rPr>
          <w:sz w:val="20"/>
        </w:rPr>
        <w:t xml:space="preserve"> </w:t>
      </w:r>
      <w:r w:rsidR="00F9709E" w:rsidRPr="009629B5">
        <w:rPr>
          <w:sz w:val="20"/>
        </w:rPr>
        <w:sym w:font="Wingdings" w:char="F0E0"/>
      </w:r>
      <w:r w:rsidR="00F9709E" w:rsidRPr="009629B5">
        <w:rPr>
          <w:sz w:val="20"/>
        </w:rPr>
        <w:t xml:space="preserve"> court decided for Dodds, sale to Allen stands</w:t>
      </w:r>
    </w:p>
    <w:p w:rsidR="00350B81" w:rsidRPr="009629B5" w:rsidRDefault="00350B81" w:rsidP="00350B81">
      <w:pPr>
        <w:pStyle w:val="Heading3"/>
        <w:rPr>
          <w:sz w:val="20"/>
        </w:rPr>
      </w:pPr>
      <w:bookmarkStart w:id="24" w:name="_Toc122512877"/>
      <w:r w:rsidRPr="009629B5">
        <w:rPr>
          <w:sz w:val="20"/>
        </w:rPr>
        <w:t>Option Contracts</w:t>
      </w:r>
      <w:bookmarkEnd w:id="24"/>
    </w:p>
    <w:p w:rsidR="00350B81" w:rsidRPr="009629B5" w:rsidRDefault="00350B81" w:rsidP="00350B8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cs="Times New Roman"/>
          <w:color w:val="000000"/>
          <w:sz w:val="20"/>
          <w:szCs w:val="24"/>
        </w:rPr>
      </w:pPr>
      <w:r w:rsidRPr="009629B5">
        <w:rPr>
          <w:rFonts w:cs="Times New Roman"/>
          <w:i/>
          <w:iCs/>
          <w:color w:val="000000"/>
          <w:sz w:val="20"/>
          <w:szCs w:val="24"/>
        </w:rPr>
        <w:t xml:space="preserve">Two </w:t>
      </w:r>
      <w:r w:rsidRPr="009629B5">
        <w:rPr>
          <w:rFonts w:cs="Times New Roman"/>
          <w:color w:val="000000"/>
          <w:sz w:val="20"/>
          <w:szCs w:val="24"/>
        </w:rPr>
        <w:t xml:space="preserve">contracts, or potential contracts, to consider. </w:t>
      </w:r>
    </w:p>
    <w:p w:rsidR="00350B81" w:rsidRPr="009629B5" w:rsidRDefault="00350B81" w:rsidP="00350B81">
      <w:pPr>
        <w:pStyle w:val="ListParagraph"/>
        <w:widowControl w:val="0"/>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sz w:val="20"/>
          <w:szCs w:val="24"/>
        </w:rPr>
      </w:pPr>
      <w:r w:rsidRPr="009629B5">
        <w:rPr>
          <w:rFonts w:cs="Times New Roman"/>
          <w:color w:val="000000"/>
          <w:sz w:val="20"/>
          <w:szCs w:val="24"/>
        </w:rPr>
        <w:t xml:space="preserve">The option contract is the completed contract and </w:t>
      </w:r>
    </w:p>
    <w:p w:rsidR="00350B81" w:rsidRPr="009629B5" w:rsidRDefault="00350B81" w:rsidP="00350B81">
      <w:pPr>
        <w:pStyle w:val="ListParagraph"/>
        <w:widowControl w:val="0"/>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4"/>
        </w:rPr>
      </w:pPr>
      <w:r w:rsidRPr="009629B5">
        <w:rPr>
          <w:rFonts w:cs="Times New Roman"/>
          <w:color w:val="000000"/>
          <w:sz w:val="20"/>
          <w:szCs w:val="24"/>
        </w:rPr>
        <w:t xml:space="preserve">the offer on which the option operates is the potential contract. </w:t>
      </w:r>
    </w:p>
    <w:p w:rsidR="00350B81" w:rsidRPr="009629B5" w:rsidRDefault="00350B81" w:rsidP="00350B8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b/>
          <w:color w:val="000000"/>
          <w:sz w:val="20"/>
          <w:szCs w:val="24"/>
        </w:rPr>
        <w:t>Illustration</w:t>
      </w:r>
      <w:r w:rsidRPr="009629B5">
        <w:rPr>
          <w:rFonts w:cs="Times New Roman"/>
          <w:color w:val="000000"/>
          <w:sz w:val="20"/>
          <w:szCs w:val="24"/>
        </w:rPr>
        <w:t xml:space="preserve">: Abel agrees to pay Baker $1,000 for the </w:t>
      </w:r>
      <w:r w:rsidRPr="009629B5">
        <w:rPr>
          <w:rFonts w:cs="Times New Roman"/>
          <w:b/>
          <w:color w:val="000000"/>
          <w:sz w:val="20"/>
          <w:szCs w:val="24"/>
        </w:rPr>
        <w:t>option to purchase</w:t>
      </w:r>
      <w:r w:rsidRPr="009629B5">
        <w:rPr>
          <w:rFonts w:cs="Times New Roman"/>
          <w:color w:val="000000"/>
          <w:sz w:val="20"/>
          <w:szCs w:val="24"/>
        </w:rPr>
        <w:t>, at any time within a year, Baker’s house for $100,000 and Baker agrees to accept $1,000 in exchange for that option. Baker has made an offer to sell his house to Abel for $100,000, an offer that is irrevocable for one year as a result of the enforceable option contract.</w:t>
      </w:r>
    </w:p>
    <w:p w:rsidR="00350B81" w:rsidRPr="009629B5" w:rsidRDefault="00350B81" w:rsidP="00350B81">
      <w:pPr>
        <w:ind w:left="720"/>
        <w:rPr>
          <w:rFonts w:cs="Times New Roman"/>
          <w:color w:val="000000"/>
          <w:sz w:val="20"/>
          <w:szCs w:val="24"/>
        </w:rPr>
      </w:pPr>
      <w:r w:rsidRPr="009629B5">
        <w:rPr>
          <w:rFonts w:cs="Times New Roman"/>
          <w:color w:val="000000"/>
          <w:sz w:val="20"/>
          <w:szCs w:val="24"/>
        </w:rPr>
        <w:t>Baker could NOT revoke this offer for one year—counteroffer for less would not negate Abel’s option to purchase for $100,000—if Baker sold to someone else, he would owe damages to Abel</w:t>
      </w:r>
    </w:p>
    <w:p w:rsidR="00600FB7" w:rsidRPr="009629B5" w:rsidRDefault="001E225E" w:rsidP="00722EE6">
      <w:pPr>
        <w:pStyle w:val="Heading2"/>
        <w:rPr>
          <w:sz w:val="24"/>
        </w:rPr>
      </w:pPr>
      <w:bookmarkStart w:id="25" w:name="_Toc122512878"/>
      <w:r w:rsidRPr="009629B5">
        <w:rPr>
          <w:sz w:val="24"/>
        </w:rPr>
        <w:t>ACCEPTANCE</w:t>
      </w:r>
      <w:r w:rsidR="00722EE6" w:rsidRPr="009629B5">
        <w:rPr>
          <w:sz w:val="24"/>
        </w:rPr>
        <w:t>—</w:t>
      </w:r>
      <w:r w:rsidRPr="009629B5">
        <w:rPr>
          <w:sz w:val="24"/>
        </w:rPr>
        <w:t>Ardente</w:t>
      </w:r>
      <w:r w:rsidR="00722EE6" w:rsidRPr="009629B5">
        <w:rPr>
          <w:sz w:val="24"/>
        </w:rPr>
        <w:t>—Carhill—Leonard—White—Petterson—Hobbs</w:t>
      </w:r>
      <w:bookmarkEnd w:id="25"/>
    </w:p>
    <w:p w:rsidR="00350B81" w:rsidRPr="009629B5" w:rsidRDefault="00600FB7" w:rsidP="00350B81">
      <w:pPr>
        <w:rPr>
          <w:rFonts w:cs="Times New Roman"/>
          <w:color w:val="000000"/>
          <w:sz w:val="20"/>
          <w:szCs w:val="24"/>
        </w:rPr>
      </w:pPr>
      <w:r w:rsidRPr="00737111">
        <w:rPr>
          <w:rStyle w:val="Heading3Char"/>
        </w:rPr>
        <w:t>“Mailbox rule”</w:t>
      </w:r>
      <w:r w:rsidRPr="009629B5">
        <w:rPr>
          <w:rFonts w:cs="Times New Roman"/>
          <w:color w:val="000000"/>
          <w:sz w:val="20"/>
          <w:szCs w:val="24"/>
        </w:rPr>
        <w:t>—</w:t>
      </w:r>
      <w:r w:rsidR="00CD1C4B">
        <w:rPr>
          <w:rFonts w:cs="Times New Roman"/>
          <w:color w:val="000000"/>
          <w:sz w:val="20"/>
          <w:szCs w:val="24"/>
        </w:rPr>
        <w:t>acceptance is effective once it’s out of the offeree’s control and “reasonably” on its way to the offeror—exception: option contracts (acceptance not effective until received by offeror)</w:t>
      </w:r>
    </w:p>
    <w:p w:rsidR="00F9709E" w:rsidRPr="009629B5" w:rsidRDefault="00F9709E" w:rsidP="00F9709E">
      <w:pPr>
        <w:pStyle w:val="Heading6"/>
        <w:rPr>
          <w:sz w:val="20"/>
        </w:rPr>
      </w:pPr>
      <w:r w:rsidRPr="009629B5">
        <w:rPr>
          <w:sz w:val="20"/>
        </w:rPr>
        <w:t>Ardente v Horan—1976</w:t>
      </w:r>
    </w:p>
    <w:p w:rsidR="00847CB8" w:rsidRPr="009629B5" w:rsidRDefault="00847CB8" w:rsidP="00847CB8">
      <w:pPr>
        <w:ind w:left="720"/>
        <w:rPr>
          <w:sz w:val="20"/>
        </w:rPr>
      </w:pPr>
      <w:r w:rsidRPr="009629B5">
        <w:rPr>
          <w:sz w:val="20"/>
        </w:rPr>
        <w:t xml:space="preserve">Horan offered to sell land to Ardente—sent a letter expressing “concern” that remain with the land… “I would appreciate your </w:t>
      </w:r>
      <w:r w:rsidRPr="009629B5">
        <w:rPr>
          <w:b/>
          <w:sz w:val="20"/>
        </w:rPr>
        <w:t>confirming</w:t>
      </w:r>
      <w:r w:rsidRPr="009629B5">
        <w:rPr>
          <w:sz w:val="20"/>
        </w:rPr>
        <w:t xml:space="preserve"> that these items are a part of the transaction, as they would be difficult to replace.”</w:t>
      </w:r>
    </w:p>
    <w:p w:rsidR="00847CB8" w:rsidRPr="009629B5" w:rsidRDefault="00847CB8" w:rsidP="00847CB8">
      <w:pPr>
        <w:ind w:left="720"/>
        <w:rPr>
          <w:sz w:val="20"/>
        </w:rPr>
      </w:pPr>
      <w:r w:rsidRPr="009629B5">
        <w:rPr>
          <w:sz w:val="20"/>
        </w:rPr>
        <w:sym w:font="Wingdings" w:char="F0E0"/>
      </w:r>
      <w:r w:rsidRPr="009629B5">
        <w:rPr>
          <w:sz w:val="20"/>
        </w:rPr>
        <w:t xml:space="preserve"> Did letter constitute </w:t>
      </w:r>
      <w:r w:rsidRPr="009629B5">
        <w:rPr>
          <w:b/>
          <w:sz w:val="20"/>
        </w:rPr>
        <w:t>qualified acceptance (a counter-offer</w:t>
      </w:r>
      <w:r w:rsidR="004D35A1" w:rsidRPr="009629B5">
        <w:rPr>
          <w:b/>
          <w:sz w:val="20"/>
        </w:rPr>
        <w:t>, equivalent to rejection</w:t>
      </w:r>
      <w:r w:rsidRPr="009629B5">
        <w:rPr>
          <w:b/>
          <w:sz w:val="20"/>
        </w:rPr>
        <w:t>)</w:t>
      </w:r>
      <w:r w:rsidRPr="009629B5">
        <w:rPr>
          <w:sz w:val="20"/>
        </w:rPr>
        <w:t xml:space="preserve"> </w:t>
      </w:r>
      <w:r w:rsidRPr="009629B5">
        <w:rPr>
          <w:b/>
          <w:sz w:val="20"/>
        </w:rPr>
        <w:t>or absolute acceptance</w:t>
      </w:r>
      <w:r w:rsidRPr="009629B5">
        <w:rPr>
          <w:sz w:val="20"/>
        </w:rPr>
        <w:t xml:space="preserve"> together with a mere inquiry concerning a collateral matter?</w:t>
      </w:r>
    </w:p>
    <w:p w:rsidR="00847CB8" w:rsidRPr="009629B5" w:rsidRDefault="00847CB8" w:rsidP="00847CB8">
      <w:pPr>
        <w:ind w:left="720"/>
        <w:rPr>
          <w:sz w:val="20"/>
        </w:rPr>
      </w:pPr>
      <w:r w:rsidRPr="009629B5">
        <w:rPr>
          <w:b/>
          <w:sz w:val="20"/>
        </w:rPr>
        <w:t>Decision</w:t>
      </w:r>
      <w:r w:rsidRPr="009629B5">
        <w:rPr>
          <w:sz w:val="20"/>
        </w:rPr>
        <w:t xml:space="preserve">: letter considered items “part of the transaction” </w:t>
      </w:r>
      <w:r w:rsidRPr="009629B5">
        <w:rPr>
          <w:sz w:val="20"/>
        </w:rPr>
        <w:sym w:font="Wingdings" w:char="F0E0"/>
      </w:r>
      <w:r w:rsidRPr="009629B5">
        <w:rPr>
          <w:sz w:val="20"/>
        </w:rPr>
        <w:t xml:space="preserve"> counter-offer (never accepted--</w:t>
      </w:r>
      <w:r w:rsidRPr="009629B5">
        <w:rPr>
          <w:b/>
          <w:sz w:val="20"/>
        </w:rPr>
        <w:t>No valid contract</w:t>
      </w:r>
      <w:r w:rsidRPr="009629B5">
        <w:rPr>
          <w:sz w:val="20"/>
        </w:rPr>
        <w:t>.)</w:t>
      </w:r>
    </w:p>
    <w:p w:rsidR="00847CB8" w:rsidRPr="009629B5" w:rsidRDefault="00847CB8" w:rsidP="00847CB8">
      <w:pPr>
        <w:pStyle w:val="Heading3"/>
        <w:rPr>
          <w:sz w:val="20"/>
        </w:rPr>
      </w:pPr>
      <w:bookmarkStart w:id="26" w:name="_Toc122512879"/>
      <w:r w:rsidRPr="009629B5">
        <w:rPr>
          <w:sz w:val="20"/>
        </w:rPr>
        <w:t>Mirror Image Rule:</w:t>
      </w:r>
      <w:bookmarkEnd w:id="26"/>
    </w:p>
    <w:p w:rsidR="00847CB8" w:rsidRPr="009629B5" w:rsidRDefault="00847CB8" w:rsidP="00847CB8">
      <w:pPr>
        <w:ind w:left="720"/>
        <w:rPr>
          <w:sz w:val="20"/>
        </w:rPr>
      </w:pPr>
      <w:r w:rsidRPr="009629B5">
        <w:rPr>
          <w:sz w:val="20"/>
        </w:rPr>
        <w:t xml:space="preserve">Effective acceptance must be </w:t>
      </w:r>
      <w:r w:rsidRPr="009629B5">
        <w:rPr>
          <w:b/>
          <w:sz w:val="20"/>
        </w:rPr>
        <w:t>unequivocal assent</w:t>
      </w:r>
      <w:r w:rsidRPr="009629B5">
        <w:rPr>
          <w:sz w:val="20"/>
        </w:rPr>
        <w:t xml:space="preserve">—offer expires upon counteroffer—can accept offer and propose a new offer BUT must be able to bargain the new offer and it should have its own consideration </w:t>
      </w:r>
    </w:p>
    <w:p w:rsidR="00D35507" w:rsidRPr="009629B5" w:rsidRDefault="00847CB8" w:rsidP="00847CB8">
      <w:pPr>
        <w:ind w:left="720"/>
        <w:rPr>
          <w:sz w:val="20"/>
        </w:rPr>
      </w:pPr>
      <w:r w:rsidRPr="009629B5">
        <w:rPr>
          <w:sz w:val="20"/>
        </w:rPr>
        <w:sym w:font="Wingdings" w:char="F0E0"/>
      </w:r>
      <w:r w:rsidRPr="009629B5">
        <w:rPr>
          <w:sz w:val="20"/>
        </w:rPr>
        <w:t xml:space="preserve"> “Yes BUT will you throw in the furniture for $X” would be unequivocal acceptance BUT “confirm the inclusion of the furniture” is NOT</w:t>
      </w:r>
    </w:p>
    <w:p w:rsidR="00D35507" w:rsidRPr="009629B5" w:rsidRDefault="00D35507" w:rsidP="00B610EB">
      <w:pPr>
        <w:pStyle w:val="Heading6"/>
      </w:pPr>
      <w:r w:rsidRPr="009629B5">
        <w:t>Carhill v Carbonic Smoke Ball Company—1893</w:t>
      </w:r>
    </w:p>
    <w:p w:rsidR="00D35507" w:rsidRPr="009629B5" w:rsidRDefault="00D35507" w:rsidP="00D35507">
      <w:pPr>
        <w:ind w:left="720"/>
        <w:rPr>
          <w:sz w:val="20"/>
        </w:rPr>
      </w:pPr>
      <w:r w:rsidRPr="009629B5">
        <w:rPr>
          <w:sz w:val="20"/>
        </w:rPr>
        <w:t>£100 will be paid to anyone who gets the flu after using Smoke Ball—has £1000 in a bank account—Carhill tries to recover her £100 and CSBC says she can’t</w:t>
      </w:r>
    </w:p>
    <w:p w:rsidR="00D35507" w:rsidRPr="009629B5" w:rsidRDefault="00D35507" w:rsidP="00D35507">
      <w:pPr>
        <w:ind w:left="720"/>
        <w:rPr>
          <w:sz w:val="20"/>
        </w:rPr>
      </w:pPr>
      <w:r w:rsidRPr="009629B5">
        <w:rPr>
          <w:b/>
          <w:sz w:val="20"/>
        </w:rPr>
        <w:t>Decision</w:t>
      </w:r>
      <w:r w:rsidRPr="009629B5">
        <w:rPr>
          <w:sz w:val="20"/>
        </w:rPr>
        <w:t xml:space="preserve">: Unilateral contract </w:t>
      </w:r>
      <w:r w:rsidRPr="009629B5">
        <w:rPr>
          <w:sz w:val="20"/>
        </w:rPr>
        <w:sym w:font="Wingdings" w:char="F0E0"/>
      </w:r>
      <w:r w:rsidRPr="009629B5">
        <w:rPr>
          <w:sz w:val="20"/>
        </w:rPr>
        <w:t xml:space="preserve"> became on contract on performance</w:t>
      </w:r>
    </w:p>
    <w:p w:rsidR="00D35507" w:rsidRPr="009629B5" w:rsidRDefault="00D35507" w:rsidP="00D35507">
      <w:pPr>
        <w:ind w:left="720"/>
        <w:rPr>
          <w:b/>
          <w:sz w:val="20"/>
        </w:rPr>
      </w:pPr>
      <w:r w:rsidRPr="009629B5">
        <w:rPr>
          <w:b/>
          <w:sz w:val="20"/>
        </w:rPr>
        <w:t xml:space="preserve">ADLER: COURT GOT IT WRONG—NOT A UNILATERAL CONTRACT, ACTUALLY A WARRANTY—NOT AN OFFER </w:t>
      </w:r>
      <w:r w:rsidRPr="009629B5">
        <w:rPr>
          <w:b/>
          <w:sz w:val="20"/>
        </w:rPr>
        <w:sym w:font="Wingdings" w:char="F0E0"/>
      </w:r>
      <w:r w:rsidRPr="009629B5">
        <w:rPr>
          <w:b/>
          <w:sz w:val="20"/>
        </w:rPr>
        <w:t xml:space="preserve"> CANNOT ACCEPT—DOES NOT REQUIRE CONSIDERATION</w:t>
      </w:r>
    </w:p>
    <w:p w:rsidR="00D35507" w:rsidRPr="009629B5" w:rsidRDefault="00D35507" w:rsidP="00D35507">
      <w:pPr>
        <w:ind w:left="720"/>
        <w:rPr>
          <w:sz w:val="20"/>
        </w:rPr>
      </w:pPr>
      <w:r w:rsidRPr="009629B5">
        <w:rPr>
          <w:sz w:val="20"/>
        </w:rPr>
        <w:t>When you bargain it’s because you WANT something—it’s an enforceable promise—just an additional term in a sales contract, bargain is for smoke ball and warranty in exchange for cash (not flu)</w:t>
      </w:r>
    </w:p>
    <w:p w:rsidR="00D35507" w:rsidRPr="009629B5" w:rsidRDefault="00D35507" w:rsidP="00D35507">
      <w:pPr>
        <w:ind w:left="720"/>
        <w:rPr>
          <w:sz w:val="20"/>
        </w:rPr>
      </w:pPr>
      <w:r w:rsidRPr="009629B5">
        <w:rPr>
          <w:sz w:val="20"/>
        </w:rPr>
        <w:sym w:font="Wingdings" w:char="F0E0"/>
      </w:r>
      <w:r w:rsidRPr="009629B5">
        <w:rPr>
          <w:sz w:val="20"/>
        </w:rPr>
        <w:t>acceptance by performance is the wrong way to think about “prove me wrong” cases</w:t>
      </w:r>
    </w:p>
    <w:p w:rsidR="00D35507" w:rsidRPr="009629B5" w:rsidRDefault="00D35507" w:rsidP="00D35507">
      <w:pPr>
        <w:pStyle w:val="Heading6"/>
        <w:rPr>
          <w:sz w:val="20"/>
        </w:rPr>
      </w:pPr>
      <w:r w:rsidRPr="009629B5">
        <w:rPr>
          <w:sz w:val="20"/>
        </w:rPr>
        <w:t>White v Corlies &amp; Tifft—1871</w:t>
      </w:r>
    </w:p>
    <w:p w:rsidR="00E17297" w:rsidRPr="009629B5" w:rsidRDefault="00D35507" w:rsidP="00847CB8">
      <w:pPr>
        <w:ind w:left="720"/>
        <w:rPr>
          <w:i/>
          <w:sz w:val="20"/>
        </w:rPr>
      </w:pPr>
      <w:r w:rsidRPr="009629B5">
        <w:rPr>
          <w:i/>
          <w:sz w:val="20"/>
        </w:rPr>
        <w:t>Contractor makes generic wood purchase—insufficient to prove beginning performance</w:t>
      </w:r>
      <w:r w:rsidR="00E17297" w:rsidRPr="009629B5">
        <w:rPr>
          <w:i/>
          <w:sz w:val="20"/>
        </w:rPr>
        <w:t>/manifestation of assent</w:t>
      </w:r>
    </w:p>
    <w:p w:rsidR="00847CB8" w:rsidRPr="009629B5" w:rsidRDefault="00E17297" w:rsidP="00E17297">
      <w:pPr>
        <w:pStyle w:val="Heading6"/>
        <w:rPr>
          <w:sz w:val="20"/>
        </w:rPr>
      </w:pPr>
      <w:r w:rsidRPr="009629B5">
        <w:rPr>
          <w:sz w:val="20"/>
        </w:rPr>
        <w:t xml:space="preserve">Petterson v Pattberg—1928 </w:t>
      </w:r>
    </w:p>
    <w:p w:rsidR="001E691A" w:rsidRPr="009629B5" w:rsidRDefault="00E17297" w:rsidP="00E17297">
      <w:pPr>
        <w:ind w:left="720"/>
        <w:rPr>
          <w:sz w:val="20"/>
        </w:rPr>
      </w:pPr>
      <w:r w:rsidRPr="009629B5">
        <w:rPr>
          <w:sz w:val="20"/>
        </w:rPr>
        <w:t>Pattberg held a mortgage on Petterson’s home—said he could pre-pay by May 31, 1924—Petterson brought the money to Pattberg who withdrew his offer</w:t>
      </w:r>
    </w:p>
    <w:p w:rsidR="00E17297" w:rsidRPr="009629B5" w:rsidRDefault="001E691A" w:rsidP="001E691A">
      <w:pPr>
        <w:ind w:left="720"/>
        <w:rPr>
          <w:sz w:val="20"/>
        </w:rPr>
      </w:pPr>
      <w:r w:rsidRPr="009629B5">
        <w:rPr>
          <w:sz w:val="20"/>
        </w:rPr>
        <w:t>Race to acceptance/repudiation—Petterson SAYS I’ll pay, Pattberg repudiates and it sticks</w:t>
      </w:r>
    </w:p>
    <w:p w:rsidR="00E17297" w:rsidRPr="009629B5" w:rsidRDefault="00E17297" w:rsidP="00E17297">
      <w:pPr>
        <w:ind w:left="720"/>
        <w:rPr>
          <w:sz w:val="20"/>
        </w:rPr>
      </w:pPr>
      <w:r w:rsidRPr="009629B5">
        <w:rPr>
          <w:b/>
          <w:sz w:val="20"/>
        </w:rPr>
        <w:t>Decision</w:t>
      </w:r>
      <w:r w:rsidRPr="009629B5">
        <w:rPr>
          <w:sz w:val="20"/>
        </w:rPr>
        <w:t xml:space="preserve">: “it clearly appears hat the defendant’s offer was withdrawn before its acceptance had been tendered” </w:t>
      </w:r>
      <w:r w:rsidRPr="009629B5">
        <w:rPr>
          <w:sz w:val="20"/>
        </w:rPr>
        <w:sym w:font="Wingdings" w:char="F0E0"/>
      </w:r>
      <w:r w:rsidRPr="009629B5">
        <w:rPr>
          <w:sz w:val="20"/>
        </w:rPr>
        <w:t xml:space="preserve"> found for Pattberg</w:t>
      </w:r>
    </w:p>
    <w:p w:rsidR="00E17297" w:rsidRPr="009629B5" w:rsidRDefault="00E17297" w:rsidP="00E17297">
      <w:pPr>
        <w:pStyle w:val="Heading6"/>
        <w:rPr>
          <w:sz w:val="20"/>
        </w:rPr>
      </w:pPr>
      <w:r w:rsidRPr="009629B5">
        <w:rPr>
          <w:sz w:val="20"/>
        </w:rPr>
        <w:t>Hobbs v. Massasoit Whip Co—1893</w:t>
      </w:r>
    </w:p>
    <w:p w:rsidR="00E17297" w:rsidRPr="009629B5" w:rsidRDefault="00E17297" w:rsidP="00B610EB">
      <w:pPr>
        <w:ind w:left="720"/>
        <w:rPr>
          <w:sz w:val="20"/>
        </w:rPr>
      </w:pPr>
      <w:r w:rsidRPr="009629B5">
        <w:rPr>
          <w:sz w:val="20"/>
        </w:rPr>
        <w:t>Hobbs sent Massasoit eel skins—M. in no way indicated that they planned to reject the skins—kept them a few months—Hobbs sued to recover for the price—silence and retention of the skins “amounted to acceptance”</w:t>
      </w:r>
    </w:p>
    <w:p w:rsidR="00AD2799" w:rsidRPr="009629B5" w:rsidRDefault="00AD2799" w:rsidP="00AD2799">
      <w:pPr>
        <w:rPr>
          <w:sz w:val="20"/>
        </w:rPr>
      </w:pPr>
      <w:r w:rsidRPr="009629B5">
        <w:rPr>
          <w:rStyle w:val="Heading3Char"/>
          <w:sz w:val="20"/>
        </w:rPr>
        <w:t>Unilateral Contracts.</w:t>
      </w:r>
      <w:r w:rsidRPr="009629B5">
        <w:rPr>
          <w:sz w:val="20"/>
        </w:rPr>
        <w:t xml:space="preserve">  (Rewards) Offeree is not bound until performance is complete—that is when contract is formed—invited to begin work and then quit at anytime</w:t>
      </w:r>
    </w:p>
    <w:p w:rsidR="00AD2799" w:rsidRPr="009629B5" w:rsidRDefault="00AD2799" w:rsidP="00AD2799">
      <w:pPr>
        <w:rPr>
          <w:i/>
          <w:sz w:val="20"/>
        </w:rPr>
      </w:pPr>
      <w:r w:rsidRPr="009629B5">
        <w:rPr>
          <w:i/>
          <w:sz w:val="20"/>
        </w:rPr>
        <w:t>vs. in a bilateral contract—once offeree accepts by performance or begins work he is bound to complete performance</w:t>
      </w:r>
    </w:p>
    <w:p w:rsidR="00AD2799" w:rsidRPr="009629B5" w:rsidRDefault="00AD2799" w:rsidP="00AD2799">
      <w:pPr>
        <w:rPr>
          <w:sz w:val="20"/>
        </w:rPr>
      </w:pPr>
      <w:r w:rsidRPr="009629B5">
        <w:rPr>
          <w:rStyle w:val="Heading3Char"/>
          <w:sz w:val="20"/>
        </w:rPr>
        <w:t>Acceptance by performance.</w:t>
      </w:r>
      <w:r w:rsidRPr="009629B5">
        <w:rPr>
          <w:sz w:val="20"/>
        </w:rPr>
        <w:t xml:space="preserve">  Offeror must have reasonable notice of acceptance—usually can assume that he should see the work—partial performance constitutes acceptance unless it’s a unilateral contract (i.e. reward for finding a dog isn’t a contract until you complete performance)</w:t>
      </w:r>
    </w:p>
    <w:p w:rsidR="001E225E" w:rsidRPr="009629B5" w:rsidRDefault="00AD2799" w:rsidP="00AD2799">
      <w:pPr>
        <w:rPr>
          <w:sz w:val="20"/>
        </w:rPr>
      </w:pPr>
      <w:r w:rsidRPr="009629B5">
        <w:rPr>
          <w:rStyle w:val="Heading3Char"/>
          <w:sz w:val="20"/>
        </w:rPr>
        <w:t>Option Contracts.</w:t>
      </w:r>
      <w:r w:rsidRPr="009629B5">
        <w:rPr>
          <w:sz w:val="20"/>
        </w:rPr>
        <w:t xml:space="preserve">  Implicit subsidiary contract—unless dog owner specifies that he can revoke, once you start looking for the dog you can assume that you have the right to collect upon completing performance</w:t>
      </w:r>
    </w:p>
    <w:p w:rsidR="00A712AB" w:rsidRPr="009629B5" w:rsidRDefault="00722EE6" w:rsidP="00722EE6">
      <w:pPr>
        <w:pStyle w:val="Heading2"/>
        <w:rPr>
          <w:sz w:val="24"/>
        </w:rPr>
      </w:pPr>
      <w:bookmarkStart w:id="27" w:name="_Toc122512880"/>
      <w:r w:rsidRPr="009629B5">
        <w:rPr>
          <w:sz w:val="24"/>
        </w:rPr>
        <w:t>BATTLE OF THE FORMS—Step-Saver—Union Carbide—ProCD—Hill—Klocek—Specht—Register.com</w:t>
      </w:r>
      <w:bookmarkEnd w:id="27"/>
      <w:r w:rsidRPr="009629B5">
        <w:rPr>
          <w:sz w:val="24"/>
        </w:rPr>
        <w:t xml:space="preserve"> </w:t>
      </w:r>
    </w:p>
    <w:p w:rsidR="00427F2B" w:rsidRPr="009629B5" w:rsidRDefault="00427F2B" w:rsidP="00427F2B">
      <w:pPr>
        <w:pStyle w:val="NoSpacing"/>
        <w:rPr>
          <w:sz w:val="20"/>
        </w:rPr>
      </w:pPr>
      <w:r w:rsidRPr="009629B5">
        <w:rPr>
          <w:rStyle w:val="Heading5Char"/>
          <w:caps/>
        </w:rPr>
        <w:t>Shrink-wrap</w:t>
      </w:r>
      <w:r w:rsidRPr="009629B5">
        <w:rPr>
          <w:sz w:val="20"/>
        </w:rPr>
        <w:t>—included in box—if you object return within a specified amount of time</w:t>
      </w:r>
    </w:p>
    <w:p w:rsidR="00427F2B" w:rsidRPr="009629B5" w:rsidRDefault="00427F2B" w:rsidP="00427F2B">
      <w:pPr>
        <w:pStyle w:val="NoSpacing"/>
        <w:rPr>
          <w:sz w:val="20"/>
        </w:rPr>
      </w:pPr>
      <w:r w:rsidRPr="009629B5">
        <w:rPr>
          <w:rStyle w:val="Heading5Char"/>
          <w:caps/>
        </w:rPr>
        <w:t>Click-wrap</w:t>
      </w:r>
      <w:r w:rsidRPr="009629B5">
        <w:rPr>
          <w:sz w:val="20"/>
        </w:rPr>
        <w:t>—must assent to terms before you can download</w:t>
      </w:r>
    </w:p>
    <w:p w:rsidR="00427F2B" w:rsidRPr="009629B5" w:rsidRDefault="00427F2B" w:rsidP="00427F2B">
      <w:pPr>
        <w:rPr>
          <w:sz w:val="20"/>
        </w:rPr>
      </w:pPr>
      <w:r w:rsidRPr="009629B5">
        <w:rPr>
          <w:rStyle w:val="Heading5Char"/>
          <w:caps/>
        </w:rPr>
        <w:t>Browse-wrap</w:t>
      </w:r>
      <w:r w:rsidRPr="009629B5">
        <w:rPr>
          <w:sz w:val="20"/>
        </w:rPr>
        <w:t>—page links to license agreement—not compelled to read, but can</w:t>
      </w:r>
    </w:p>
    <w:p w:rsidR="004B585F" w:rsidRPr="009629B5" w:rsidRDefault="004B585F" w:rsidP="004B585F">
      <w:pPr>
        <w:pStyle w:val="Heading3"/>
        <w:rPr>
          <w:sz w:val="20"/>
        </w:rPr>
      </w:pPr>
      <w:bookmarkStart w:id="28" w:name="_Toc122512881"/>
      <w:r w:rsidRPr="009629B5">
        <w:rPr>
          <w:sz w:val="20"/>
        </w:rPr>
        <w:t>Exchanged Different (but-not-that-different) Forms Hypothetical</w:t>
      </w:r>
      <w:bookmarkEnd w:id="28"/>
    </w:p>
    <w:p w:rsidR="00970C5A" w:rsidRPr="009629B5" w:rsidRDefault="00970C5A" w:rsidP="004B585F">
      <w:pPr>
        <w:spacing w:after="0"/>
        <w:rPr>
          <w:sz w:val="20"/>
        </w:rPr>
      </w:pPr>
      <w:r w:rsidRPr="009629B5">
        <w:rPr>
          <w:sz w:val="20"/>
        </w:rPr>
        <w:t>Buyer sends purchase order including a term to dispute in state court.</w:t>
      </w:r>
    </w:p>
    <w:p w:rsidR="00970C5A" w:rsidRPr="009629B5" w:rsidRDefault="00970C5A" w:rsidP="00A712AB">
      <w:pPr>
        <w:rPr>
          <w:sz w:val="20"/>
        </w:rPr>
      </w:pPr>
      <w:r w:rsidRPr="009629B5">
        <w:rPr>
          <w:sz w:val="20"/>
        </w:rPr>
        <w:t>Seller sends an invoice including a binding arbitration term.</w:t>
      </w:r>
    </w:p>
    <w:p w:rsidR="00970C5A" w:rsidRPr="009629B5" w:rsidRDefault="00970C5A" w:rsidP="00970C5A">
      <w:pPr>
        <w:pStyle w:val="ListParagraph"/>
        <w:numPr>
          <w:ilvl w:val="0"/>
          <w:numId w:val="33"/>
        </w:numPr>
        <w:rPr>
          <w:sz w:val="20"/>
        </w:rPr>
      </w:pPr>
      <w:r w:rsidRPr="009629B5">
        <w:rPr>
          <w:b/>
          <w:sz w:val="20"/>
        </w:rPr>
        <w:t xml:space="preserve">Common law: </w:t>
      </w:r>
      <w:r w:rsidRPr="009629B5">
        <w:rPr>
          <w:sz w:val="20"/>
        </w:rPr>
        <w:t xml:space="preserve">mirror image + acceptance by performance = </w:t>
      </w:r>
      <w:r w:rsidRPr="009629B5">
        <w:rPr>
          <w:rStyle w:val="Heading5Char"/>
          <w:caps/>
        </w:rPr>
        <w:t>LAST SHOT DOCTRINE</w:t>
      </w:r>
      <w:r w:rsidRPr="009629B5">
        <w:rPr>
          <w:sz w:val="20"/>
        </w:rPr>
        <w:t>—seller’s invoice was a counter offer NOT an acceptance</w:t>
      </w:r>
    </w:p>
    <w:p w:rsidR="00AD2799" w:rsidRPr="009629B5" w:rsidRDefault="00970C5A" w:rsidP="00970C5A">
      <w:pPr>
        <w:pStyle w:val="ListParagraph"/>
        <w:numPr>
          <w:ilvl w:val="0"/>
          <w:numId w:val="33"/>
        </w:numPr>
        <w:rPr>
          <w:sz w:val="20"/>
        </w:rPr>
      </w:pPr>
      <w:r w:rsidRPr="009629B5">
        <w:rPr>
          <w:b/>
          <w:sz w:val="20"/>
        </w:rPr>
        <w:t>UCC § 2-207</w:t>
      </w:r>
    </w:p>
    <w:p w:rsidR="00AD2799" w:rsidRPr="009629B5" w:rsidRDefault="00AD2799" w:rsidP="00AD2799">
      <w:pPr>
        <w:numPr>
          <w:ilvl w:val="1"/>
          <w:numId w:val="33"/>
        </w:numPr>
        <w:rPr>
          <w:sz w:val="20"/>
        </w:rPr>
      </w:pPr>
      <w:r w:rsidRPr="009629B5">
        <w:rPr>
          <w:sz w:val="20"/>
        </w:rPr>
        <w:t>If the counteroffer/acceptance is “seasonable” then the terms of the ORIGINAL OFFER control on points of difference—“</w:t>
      </w:r>
      <w:r w:rsidRPr="009629B5">
        <w:rPr>
          <w:rStyle w:val="Heading5Char"/>
          <w:caps/>
        </w:rPr>
        <w:t>Dropout Rule</w:t>
      </w:r>
      <w:r w:rsidRPr="009629B5">
        <w:rPr>
          <w:sz w:val="20"/>
        </w:rPr>
        <w:t xml:space="preserve">” </w:t>
      </w:r>
    </w:p>
    <w:p w:rsidR="00AD2799" w:rsidRPr="009629B5" w:rsidRDefault="00AD2799" w:rsidP="00AD2799">
      <w:pPr>
        <w:numPr>
          <w:ilvl w:val="1"/>
          <w:numId w:val="33"/>
        </w:numPr>
        <w:rPr>
          <w:sz w:val="20"/>
        </w:rPr>
      </w:pPr>
      <w:r w:rsidRPr="009629B5">
        <w:rPr>
          <w:sz w:val="20"/>
        </w:rPr>
        <w:t xml:space="preserve">Any additional terms are considered PROPOSALS for change to contract (unless they’re both merchants and then the additional terms are part of the contract unless they materially change the contract </w:t>
      </w:r>
      <w:r w:rsidRPr="009629B5">
        <w:rPr>
          <w:sz w:val="20"/>
        </w:rPr>
        <w:sym w:font="Wingdings" w:char="F0E0"/>
      </w:r>
      <w:r w:rsidRPr="009629B5">
        <w:rPr>
          <w:sz w:val="20"/>
        </w:rPr>
        <w:t xml:space="preserve"> unless they would be an unreasonable surprise)</w:t>
      </w:r>
    </w:p>
    <w:p w:rsidR="00AD2799" w:rsidRPr="009629B5" w:rsidRDefault="00AD2799" w:rsidP="00AD2799">
      <w:pPr>
        <w:numPr>
          <w:ilvl w:val="1"/>
          <w:numId w:val="33"/>
        </w:numPr>
        <w:rPr>
          <w:sz w:val="20"/>
        </w:rPr>
      </w:pPr>
      <w:r w:rsidRPr="009629B5">
        <w:rPr>
          <w:sz w:val="20"/>
        </w:rPr>
        <w:t>When terms conflict—</w:t>
      </w:r>
      <w:r w:rsidRPr="009629B5">
        <w:rPr>
          <w:rStyle w:val="Heading5Char"/>
          <w:caps/>
        </w:rPr>
        <w:t>Knockout Rule</w:t>
      </w:r>
      <w:r w:rsidRPr="009629B5">
        <w:rPr>
          <w:sz w:val="20"/>
        </w:rPr>
        <w:t xml:space="preserve"> (ignore both conflicting rules and imply the background rule)</w:t>
      </w:r>
    </w:p>
    <w:p w:rsidR="00AD2799" w:rsidRPr="009629B5" w:rsidRDefault="00AD2799" w:rsidP="00AD2799">
      <w:pPr>
        <w:numPr>
          <w:ilvl w:val="0"/>
          <w:numId w:val="33"/>
        </w:numPr>
        <w:rPr>
          <w:sz w:val="20"/>
        </w:rPr>
      </w:pPr>
      <w:r w:rsidRPr="009629B5">
        <w:rPr>
          <w:b/>
          <w:sz w:val="20"/>
        </w:rPr>
        <w:t>Material term:</w:t>
      </w:r>
    </w:p>
    <w:p w:rsidR="00AD2799" w:rsidRPr="009629B5" w:rsidRDefault="00AD2799" w:rsidP="00AD2799">
      <w:pPr>
        <w:numPr>
          <w:ilvl w:val="1"/>
          <w:numId w:val="33"/>
        </w:numPr>
        <w:rPr>
          <w:sz w:val="20"/>
        </w:rPr>
      </w:pPr>
      <w:r w:rsidRPr="009629B5">
        <w:rPr>
          <w:b/>
          <w:sz w:val="20"/>
        </w:rPr>
        <w:t>UCC</w:t>
      </w:r>
      <w:r w:rsidRPr="009629B5">
        <w:rPr>
          <w:sz w:val="20"/>
        </w:rPr>
        <w:t xml:space="preserve">—additional term outside what a party would reasonably accept (even if not something </w:t>
      </w:r>
      <w:r w:rsidRPr="009629B5">
        <w:rPr>
          <w:i/>
          <w:sz w:val="20"/>
        </w:rPr>
        <w:t>traditionally</w:t>
      </w:r>
      <w:r w:rsidRPr="009629B5">
        <w:rPr>
          <w:sz w:val="20"/>
        </w:rPr>
        <w:t xml:space="preserve"> or </w:t>
      </w:r>
      <w:r w:rsidRPr="009629B5">
        <w:rPr>
          <w:i/>
          <w:sz w:val="20"/>
        </w:rPr>
        <w:t>customarily</w:t>
      </w:r>
      <w:r w:rsidRPr="009629B5">
        <w:rPr>
          <w:sz w:val="20"/>
        </w:rPr>
        <w:t xml:space="preserve"> used)</w:t>
      </w:r>
    </w:p>
    <w:p w:rsidR="004B585F" w:rsidRPr="009629B5" w:rsidRDefault="00AD2799" w:rsidP="00AD2799">
      <w:pPr>
        <w:numPr>
          <w:ilvl w:val="1"/>
          <w:numId w:val="33"/>
        </w:numPr>
        <w:rPr>
          <w:sz w:val="20"/>
        </w:rPr>
      </w:pPr>
      <w:r w:rsidRPr="009629B5">
        <w:rPr>
          <w:b/>
          <w:sz w:val="20"/>
        </w:rPr>
        <w:t>Union Carbide</w:t>
      </w:r>
      <w:r w:rsidRPr="009629B5">
        <w:rPr>
          <w:sz w:val="20"/>
        </w:rPr>
        <w:t>—any adverse term—why would anyone agree to an additional adverse term for nothing in exchange if bargaining were truly still open?</w:t>
      </w:r>
    </w:p>
    <w:p w:rsidR="00AD2799" w:rsidRPr="009629B5" w:rsidRDefault="004B585F" w:rsidP="004B585F">
      <w:pPr>
        <w:ind w:left="720"/>
        <w:rPr>
          <w:b/>
          <w:sz w:val="20"/>
        </w:rPr>
      </w:pPr>
      <w:r w:rsidRPr="009629B5">
        <w:rPr>
          <w:b/>
          <w:sz w:val="20"/>
        </w:rPr>
        <w:t>**if the exchanged forms differ BUT the parties exchange the goods anyway—a contract can be inferred</w:t>
      </w:r>
    </w:p>
    <w:p w:rsidR="00AD2799" w:rsidRPr="009629B5" w:rsidRDefault="00AD2799" w:rsidP="00AD2799">
      <w:pPr>
        <w:pStyle w:val="Heading6"/>
        <w:rPr>
          <w:sz w:val="20"/>
        </w:rPr>
      </w:pPr>
      <w:r w:rsidRPr="009629B5">
        <w:rPr>
          <w:sz w:val="20"/>
        </w:rPr>
        <w:t>Step-Saver Data Systems v Wyse—1991</w:t>
      </w:r>
    </w:p>
    <w:p w:rsidR="00AD2799" w:rsidRPr="009629B5" w:rsidRDefault="00AD2799" w:rsidP="00AD2799">
      <w:pPr>
        <w:ind w:left="720"/>
        <w:rPr>
          <w:sz w:val="20"/>
        </w:rPr>
      </w:pPr>
      <w:r w:rsidRPr="009629B5">
        <w:rPr>
          <w:sz w:val="20"/>
        </w:rPr>
        <w:t>TSL’s product included a box-top warranty—Step-Saver said the warranty was an additional offer to negotiate—TSL said the warranty was a conditional acceptance of the terms previously agreed upon</w:t>
      </w:r>
    </w:p>
    <w:p w:rsidR="00AD2799" w:rsidRPr="009629B5" w:rsidRDefault="00AD2799" w:rsidP="00AD2799">
      <w:pPr>
        <w:ind w:left="1440"/>
        <w:rPr>
          <w:sz w:val="20"/>
        </w:rPr>
      </w:pPr>
      <w:r w:rsidRPr="009629B5">
        <w:rPr>
          <w:b/>
          <w:sz w:val="20"/>
        </w:rPr>
        <w:t xml:space="preserve">TSL: </w:t>
      </w:r>
      <w:r w:rsidRPr="009629B5">
        <w:rPr>
          <w:sz w:val="20"/>
        </w:rPr>
        <w:t xml:space="preserve">Once box was opened </w:t>
      </w:r>
      <w:r w:rsidRPr="009629B5">
        <w:rPr>
          <w:sz w:val="20"/>
        </w:rPr>
        <w:sym w:font="Wingdings" w:char="F0E0"/>
      </w:r>
      <w:r w:rsidRPr="009629B5">
        <w:rPr>
          <w:sz w:val="20"/>
        </w:rPr>
        <w:t xml:space="preserve"> assent—conditional acceptance of contract—should have reasonably expected additional terms with a product like software</w:t>
      </w:r>
    </w:p>
    <w:p w:rsidR="00AD2799" w:rsidRPr="009629B5" w:rsidRDefault="00AD2799" w:rsidP="00AD2799">
      <w:pPr>
        <w:ind w:left="1440"/>
        <w:rPr>
          <w:sz w:val="20"/>
        </w:rPr>
      </w:pPr>
      <w:r w:rsidRPr="009629B5">
        <w:rPr>
          <w:b/>
          <w:sz w:val="20"/>
        </w:rPr>
        <w:t xml:space="preserve">Step-Saver: </w:t>
      </w:r>
      <w:r w:rsidRPr="009629B5">
        <w:rPr>
          <w:sz w:val="20"/>
        </w:rPr>
        <w:t>phone conversation constituted agreement—box top license was meaningless—we opened our box to get our software and agreed to NOTHING</w:t>
      </w:r>
    </w:p>
    <w:p w:rsidR="00AD2799" w:rsidRPr="009629B5" w:rsidRDefault="00AD2799" w:rsidP="00AD2799">
      <w:pPr>
        <w:ind w:left="720"/>
        <w:rPr>
          <w:sz w:val="20"/>
        </w:rPr>
      </w:pPr>
      <w:r w:rsidRPr="009629B5">
        <w:rPr>
          <w:b/>
          <w:sz w:val="20"/>
        </w:rPr>
        <w:t>Decision</w:t>
      </w:r>
      <w:r w:rsidRPr="009629B5">
        <w:rPr>
          <w:sz w:val="20"/>
        </w:rPr>
        <w:t>: No—</w:t>
      </w:r>
      <w:r w:rsidRPr="009629B5">
        <w:rPr>
          <w:b/>
          <w:sz w:val="20"/>
        </w:rPr>
        <w:t>box top license was NOT a conditional acceptance</w:t>
      </w:r>
      <w:r w:rsidRPr="009629B5">
        <w:rPr>
          <w:sz w:val="20"/>
        </w:rPr>
        <w:t xml:space="preserve"> </w:t>
      </w:r>
      <w:r w:rsidRPr="009629B5">
        <w:rPr>
          <w:sz w:val="20"/>
        </w:rPr>
        <w:sym w:font="Wingdings" w:char="F0E0"/>
      </w:r>
      <w:r w:rsidRPr="009629B5">
        <w:rPr>
          <w:sz w:val="20"/>
        </w:rPr>
        <w:t xml:space="preserve"> remand for further consideration of express and implied warranty claims</w:t>
      </w:r>
    </w:p>
    <w:p w:rsidR="00AD2799" w:rsidRPr="009629B5" w:rsidRDefault="00AD2799" w:rsidP="00AD2799">
      <w:pPr>
        <w:pStyle w:val="Heading6"/>
        <w:rPr>
          <w:sz w:val="20"/>
        </w:rPr>
      </w:pPr>
      <w:r w:rsidRPr="009629B5">
        <w:rPr>
          <w:sz w:val="20"/>
        </w:rPr>
        <w:t>Union Carbide v Oscar Meyer Foods—1991</w:t>
      </w:r>
    </w:p>
    <w:p w:rsidR="00AD2799" w:rsidRPr="009629B5" w:rsidRDefault="00AD2799" w:rsidP="00AD2799">
      <w:pPr>
        <w:ind w:left="720"/>
        <w:rPr>
          <w:sz w:val="20"/>
        </w:rPr>
      </w:pPr>
      <w:r w:rsidRPr="009629B5">
        <w:rPr>
          <w:sz w:val="20"/>
        </w:rPr>
        <w:t>Union Carbide owed back taxes and interest ($88 and $55 for a total of $143) on sales to Oscar Mayer—language of contract: Buyer shall pay Seller the amount of all governmental taxes…that Seller may be required to pay”</w:t>
      </w:r>
    </w:p>
    <w:p w:rsidR="00AD2799" w:rsidRPr="009629B5" w:rsidRDefault="00AD2799" w:rsidP="004B585F">
      <w:pPr>
        <w:spacing w:after="0"/>
        <w:ind w:left="720"/>
        <w:rPr>
          <w:b/>
          <w:sz w:val="20"/>
        </w:rPr>
      </w:pPr>
      <w:r w:rsidRPr="009629B5">
        <w:rPr>
          <w:b/>
          <w:sz w:val="20"/>
        </w:rPr>
        <w:t xml:space="preserve">UCC 2-207: “A term inserted by the offeree is ineffectual </w:t>
      </w:r>
    </w:p>
    <w:p w:rsidR="00AD2799" w:rsidRPr="009629B5" w:rsidRDefault="00AD2799" w:rsidP="004B585F">
      <w:pPr>
        <w:numPr>
          <w:ilvl w:val="0"/>
          <w:numId w:val="35"/>
        </w:numPr>
        <w:spacing w:after="0"/>
        <w:rPr>
          <w:sz w:val="20"/>
        </w:rPr>
      </w:pPr>
      <w:r w:rsidRPr="009629B5">
        <w:rPr>
          <w:sz w:val="20"/>
        </w:rPr>
        <w:t xml:space="preserve"> If the offer expressly limits acceptance to the terms of the offer, OR</w:t>
      </w:r>
    </w:p>
    <w:p w:rsidR="00AD2799" w:rsidRPr="009629B5" w:rsidRDefault="00AD2799" w:rsidP="004B585F">
      <w:pPr>
        <w:numPr>
          <w:ilvl w:val="0"/>
          <w:numId w:val="35"/>
        </w:numPr>
        <w:spacing w:after="0"/>
        <w:rPr>
          <w:sz w:val="20"/>
        </w:rPr>
      </w:pPr>
      <w:r w:rsidRPr="009629B5">
        <w:rPr>
          <w:sz w:val="20"/>
        </w:rPr>
        <w:t>If the new term</w:t>
      </w:r>
    </w:p>
    <w:p w:rsidR="00AD2799" w:rsidRPr="009629B5" w:rsidRDefault="00AD2799" w:rsidP="004B585F">
      <w:pPr>
        <w:numPr>
          <w:ilvl w:val="1"/>
          <w:numId w:val="35"/>
        </w:numPr>
        <w:spacing w:after="0"/>
        <w:rPr>
          <w:sz w:val="20"/>
        </w:rPr>
      </w:pPr>
      <w:r w:rsidRPr="009629B5">
        <w:rPr>
          <w:b/>
          <w:i/>
          <w:caps/>
          <w:sz w:val="20"/>
        </w:rPr>
        <w:t>Makes a material alteration</w:t>
      </w:r>
      <w:r w:rsidRPr="009629B5">
        <w:rPr>
          <w:sz w:val="20"/>
        </w:rPr>
        <w:t>, in the sense that consent to it cannot be presumed, AND</w:t>
      </w:r>
    </w:p>
    <w:p w:rsidR="00AD2799" w:rsidRPr="009629B5" w:rsidRDefault="00AD2799" w:rsidP="00AD2799">
      <w:pPr>
        <w:numPr>
          <w:ilvl w:val="1"/>
          <w:numId w:val="35"/>
        </w:numPr>
        <w:rPr>
          <w:sz w:val="20"/>
        </w:rPr>
      </w:pPr>
      <w:r w:rsidRPr="009629B5">
        <w:rPr>
          <w:sz w:val="20"/>
        </w:rPr>
        <w:t>There is no showing that the offeror in fact consented to the ateration—whether expressly (i) or by silence against the background of a course of dealings (ii).”</w:t>
      </w:r>
    </w:p>
    <w:p w:rsidR="00AD2799" w:rsidRPr="009629B5" w:rsidRDefault="00AD2799" w:rsidP="00AD2799">
      <w:pPr>
        <w:ind w:left="720"/>
        <w:rPr>
          <w:sz w:val="20"/>
        </w:rPr>
      </w:pPr>
      <w:r w:rsidRPr="009629B5">
        <w:rPr>
          <w:b/>
          <w:sz w:val="20"/>
        </w:rPr>
        <w:t>Decision</w:t>
      </w:r>
      <w:r w:rsidRPr="009629B5">
        <w:rPr>
          <w:sz w:val="20"/>
        </w:rPr>
        <w:t xml:space="preserve">: had the sales tax appeared Oscar Mayer would have paid it or shopped around for a better price—consent cannot be realistically inferred </w:t>
      </w:r>
    </w:p>
    <w:p w:rsidR="00E0681C" w:rsidRPr="009629B5" w:rsidRDefault="00E0681C" w:rsidP="00E0681C">
      <w:pPr>
        <w:pStyle w:val="Heading6"/>
        <w:rPr>
          <w:sz w:val="20"/>
        </w:rPr>
      </w:pPr>
      <w:r w:rsidRPr="009629B5">
        <w:rPr>
          <w:sz w:val="20"/>
        </w:rPr>
        <w:t>ProCD v Zeidenberg—1996—Easterbrook</w:t>
      </w:r>
    </w:p>
    <w:p w:rsidR="00E0681C" w:rsidRPr="009629B5" w:rsidRDefault="00E0681C" w:rsidP="00E0681C">
      <w:pPr>
        <w:ind w:left="720"/>
        <w:rPr>
          <w:sz w:val="20"/>
        </w:rPr>
      </w:pPr>
      <w:r w:rsidRPr="009629B5">
        <w:rPr>
          <w:sz w:val="20"/>
        </w:rPr>
        <w:t xml:space="preserve">Zeidenberg purchased and (violating the license) resold information from a ProCD product—did “shrinkwrap license” included inside the packaging constitute a </w:t>
      </w:r>
      <w:r w:rsidRPr="009629B5">
        <w:rPr>
          <w:b/>
          <w:sz w:val="20"/>
        </w:rPr>
        <w:t>material change</w:t>
      </w:r>
      <w:r w:rsidRPr="009629B5">
        <w:rPr>
          <w:sz w:val="20"/>
        </w:rPr>
        <w:t xml:space="preserve"> to the contract executed by offer (placing product on shelf) and acceptance (payment)?</w:t>
      </w:r>
    </w:p>
    <w:p w:rsidR="00E0681C" w:rsidRPr="009629B5" w:rsidRDefault="00E0681C" w:rsidP="00E0681C">
      <w:pPr>
        <w:ind w:left="720"/>
        <w:rPr>
          <w:b/>
          <w:sz w:val="20"/>
        </w:rPr>
      </w:pPr>
      <w:r w:rsidRPr="009629B5">
        <w:rPr>
          <w:b/>
          <w:sz w:val="20"/>
        </w:rPr>
        <w:t>Decision:</w:t>
      </w:r>
    </w:p>
    <w:p w:rsidR="00E0681C" w:rsidRPr="009629B5" w:rsidRDefault="00E0681C" w:rsidP="00E0681C">
      <w:pPr>
        <w:pStyle w:val="ListParagraph"/>
        <w:numPr>
          <w:ilvl w:val="0"/>
          <w:numId w:val="36"/>
        </w:numPr>
        <w:rPr>
          <w:sz w:val="20"/>
        </w:rPr>
      </w:pPr>
      <w:r w:rsidRPr="009629B5">
        <w:rPr>
          <w:sz w:val="20"/>
        </w:rPr>
        <w:t xml:space="preserve">2-206—This was a second contract (after purchase)—ProCD extended an </w:t>
      </w:r>
      <w:r w:rsidRPr="009629B5">
        <w:rPr>
          <w:b/>
          <w:sz w:val="20"/>
        </w:rPr>
        <w:t>opportunity to reject</w:t>
      </w:r>
      <w:r w:rsidRPr="009629B5">
        <w:rPr>
          <w:sz w:val="20"/>
        </w:rPr>
        <w:t xml:space="preserve"> if a buyer should find the license terms unsatisfactory </w:t>
      </w:r>
      <w:r w:rsidRPr="009629B5">
        <w:rPr>
          <w:sz w:val="20"/>
        </w:rPr>
        <w:sym w:font="Wingdings" w:char="F0E0"/>
      </w:r>
      <w:r w:rsidRPr="009629B5">
        <w:rPr>
          <w:sz w:val="20"/>
        </w:rPr>
        <w:t xml:space="preserve"> bound by terms after they had the opportunity to read them</w:t>
      </w:r>
    </w:p>
    <w:p w:rsidR="00E0681C" w:rsidRPr="009629B5" w:rsidRDefault="00E0681C" w:rsidP="00E0681C">
      <w:pPr>
        <w:pStyle w:val="ListParagraph"/>
        <w:numPr>
          <w:ilvl w:val="0"/>
          <w:numId w:val="36"/>
        </w:numPr>
        <w:rPr>
          <w:sz w:val="20"/>
        </w:rPr>
      </w:pPr>
      <w:r w:rsidRPr="009629B5">
        <w:rPr>
          <w:sz w:val="20"/>
        </w:rPr>
        <w:t>2-207 doesn’t apply—no conflict of forms</w:t>
      </w:r>
    </w:p>
    <w:p w:rsidR="00E0681C" w:rsidRPr="009629B5" w:rsidRDefault="00E0681C" w:rsidP="00E0681C">
      <w:pPr>
        <w:pStyle w:val="Heading6"/>
        <w:rPr>
          <w:sz w:val="20"/>
        </w:rPr>
      </w:pPr>
      <w:r w:rsidRPr="009629B5">
        <w:rPr>
          <w:sz w:val="20"/>
        </w:rPr>
        <w:t>Hill v Gateway—1997—Easterbrook</w:t>
      </w:r>
    </w:p>
    <w:p w:rsidR="00E0681C" w:rsidRPr="009629B5" w:rsidRDefault="00E0681C" w:rsidP="00A77DCC">
      <w:pPr>
        <w:ind w:left="720"/>
        <w:rPr>
          <w:sz w:val="20"/>
        </w:rPr>
      </w:pPr>
      <w:r w:rsidRPr="009629B5">
        <w:rPr>
          <w:sz w:val="20"/>
        </w:rPr>
        <w:t>Computer came with terms that bound purch</w:t>
      </w:r>
      <w:r w:rsidR="00A77DCC" w:rsidRPr="009629B5">
        <w:rPr>
          <w:sz w:val="20"/>
        </w:rPr>
        <w:t>asers after a 30 return period—</w:t>
      </w:r>
      <w:r w:rsidRPr="009629B5">
        <w:rPr>
          <w:sz w:val="20"/>
        </w:rPr>
        <w:t>“people who accept take the risk that the unread terms may in retrospect prove unwelcoming”</w:t>
      </w:r>
    </w:p>
    <w:p w:rsidR="00512904" w:rsidRPr="009629B5" w:rsidRDefault="00A77DCC" w:rsidP="00A77DCC">
      <w:pPr>
        <w:ind w:left="720"/>
        <w:rPr>
          <w:sz w:val="20"/>
        </w:rPr>
      </w:pPr>
      <w:r w:rsidRPr="009629B5">
        <w:rPr>
          <w:b/>
          <w:sz w:val="20"/>
        </w:rPr>
        <w:t>Decision</w:t>
      </w:r>
      <w:r w:rsidRPr="009629B5">
        <w:rPr>
          <w:sz w:val="20"/>
        </w:rPr>
        <w:t xml:space="preserve">: </w:t>
      </w:r>
      <w:r w:rsidR="00E0681C" w:rsidRPr="009629B5">
        <w:rPr>
          <w:sz w:val="20"/>
        </w:rPr>
        <w:t>“By keeping the computer beyond 30 days, the Hills accepted Gateway’s offer, including the arbitration clause.”</w:t>
      </w:r>
      <w:r w:rsidRPr="009629B5">
        <w:rPr>
          <w:sz w:val="20"/>
        </w:rPr>
        <w:t>—</w:t>
      </w:r>
      <w:r w:rsidR="00E0681C" w:rsidRPr="009629B5">
        <w:rPr>
          <w:sz w:val="20"/>
        </w:rPr>
        <w:t xml:space="preserve">Parties KNOW that computers come with terms/licenses/etc.  </w:t>
      </w:r>
    </w:p>
    <w:p w:rsidR="00E0681C" w:rsidRPr="009629B5" w:rsidRDefault="00512904" w:rsidP="00A77DCC">
      <w:pPr>
        <w:ind w:left="720"/>
        <w:rPr>
          <w:b/>
          <w:caps/>
          <w:sz w:val="20"/>
        </w:rPr>
      </w:pPr>
      <w:r w:rsidRPr="009629B5">
        <w:rPr>
          <w:b/>
          <w:caps/>
          <w:sz w:val="20"/>
        </w:rPr>
        <w:t>Policy Argument: Purchaser implicitly agreed to be bound by included terms</w:t>
      </w:r>
    </w:p>
    <w:p w:rsidR="00512904" w:rsidRPr="009629B5" w:rsidRDefault="00512904" w:rsidP="00512904">
      <w:pPr>
        <w:pStyle w:val="Heading6"/>
        <w:rPr>
          <w:sz w:val="20"/>
        </w:rPr>
      </w:pPr>
      <w:r w:rsidRPr="009629B5">
        <w:rPr>
          <w:sz w:val="20"/>
        </w:rPr>
        <w:t>Klocek v Gateway—2000—Vratil</w:t>
      </w:r>
    </w:p>
    <w:p w:rsidR="00512904" w:rsidRPr="009629B5" w:rsidRDefault="00512904" w:rsidP="00512904">
      <w:pPr>
        <w:ind w:left="720"/>
        <w:rPr>
          <w:sz w:val="20"/>
        </w:rPr>
      </w:pPr>
      <w:r w:rsidRPr="009629B5">
        <w:rPr>
          <w:b/>
          <w:caps/>
          <w:sz w:val="20"/>
        </w:rPr>
        <w:t>Traditional Contractual Roles: Offer</w:t>
      </w:r>
      <w:r w:rsidRPr="009629B5">
        <w:rPr>
          <w:sz w:val="20"/>
        </w:rPr>
        <w:t xml:space="preserve"> (oral order)—</w:t>
      </w:r>
      <w:r w:rsidRPr="009629B5">
        <w:rPr>
          <w:b/>
          <w:caps/>
          <w:sz w:val="20"/>
        </w:rPr>
        <w:t>unconditional acceptance</w:t>
      </w:r>
      <w:r w:rsidRPr="009629B5">
        <w:rPr>
          <w:sz w:val="20"/>
        </w:rPr>
        <w:t xml:space="preserve"> (promise to deliver/delivery)—</w:t>
      </w:r>
      <w:r w:rsidRPr="009629B5">
        <w:rPr>
          <w:b/>
          <w:caps/>
          <w:sz w:val="20"/>
        </w:rPr>
        <w:t>proposal for additional terms</w:t>
      </w:r>
      <w:r w:rsidRPr="009629B5">
        <w:rPr>
          <w:sz w:val="20"/>
        </w:rPr>
        <w:t xml:space="preserve"> (box-top license)</w:t>
      </w:r>
    </w:p>
    <w:p w:rsidR="00512904" w:rsidRPr="009629B5" w:rsidRDefault="00512904" w:rsidP="00512904">
      <w:pPr>
        <w:ind w:left="720"/>
        <w:rPr>
          <w:sz w:val="20"/>
        </w:rPr>
      </w:pPr>
      <w:r w:rsidRPr="009629B5">
        <w:rPr>
          <w:sz w:val="20"/>
        </w:rPr>
        <w:t>If Gateway wanted the terms to be binding—warn on the phone &amp; give customer a change to object</w:t>
      </w:r>
    </w:p>
    <w:p w:rsidR="00512904" w:rsidRPr="009629B5" w:rsidRDefault="00512904" w:rsidP="00512904">
      <w:pPr>
        <w:pStyle w:val="Heading6"/>
        <w:rPr>
          <w:sz w:val="20"/>
        </w:rPr>
      </w:pPr>
      <w:r w:rsidRPr="009629B5">
        <w:rPr>
          <w:sz w:val="20"/>
        </w:rPr>
        <w:t>Specht v Netscape Communications—2001</w:t>
      </w:r>
    </w:p>
    <w:p w:rsidR="00C457D5" w:rsidRPr="009629B5" w:rsidRDefault="00C457D5" w:rsidP="00C457D5">
      <w:pPr>
        <w:ind w:left="720"/>
        <w:rPr>
          <w:sz w:val="20"/>
        </w:rPr>
      </w:pPr>
      <w:r w:rsidRPr="009629B5">
        <w:rPr>
          <w:sz w:val="20"/>
        </w:rPr>
        <w:t>When downloading software—</w:t>
      </w:r>
      <w:r w:rsidRPr="009629B5">
        <w:rPr>
          <w:b/>
          <w:caps/>
          <w:sz w:val="20"/>
        </w:rPr>
        <w:t>what constitutes agreement</w:t>
      </w:r>
      <w:r w:rsidRPr="009629B5">
        <w:rPr>
          <w:caps/>
          <w:sz w:val="20"/>
        </w:rPr>
        <w:t>?</w:t>
      </w:r>
      <w:r w:rsidRPr="009629B5">
        <w:rPr>
          <w:b/>
          <w:sz w:val="20"/>
        </w:rPr>
        <w:t>—when is notice sufficient to bind?</w:t>
      </w:r>
      <w:r w:rsidRPr="009629B5">
        <w:rPr>
          <w:sz w:val="20"/>
        </w:rPr>
        <w:t xml:space="preserve">—If software is </w:t>
      </w:r>
      <w:r w:rsidRPr="009629B5">
        <w:rPr>
          <w:b/>
          <w:sz w:val="20"/>
        </w:rPr>
        <w:t>freely offered and downloaded</w:t>
      </w:r>
      <w:r w:rsidRPr="009629B5">
        <w:rPr>
          <w:sz w:val="20"/>
        </w:rPr>
        <w:t>, what is the role of license agreement if not expressly accepted? Binding?  License agreement doesn’t require acceptance or force the downloader to read</w:t>
      </w:r>
    </w:p>
    <w:p w:rsidR="00C457D5" w:rsidRPr="009629B5" w:rsidRDefault="00C457D5" w:rsidP="00C457D5">
      <w:pPr>
        <w:ind w:left="720"/>
        <w:rPr>
          <w:b/>
          <w:sz w:val="20"/>
        </w:rPr>
      </w:pPr>
      <w:r w:rsidRPr="009629B5">
        <w:rPr>
          <w:b/>
          <w:sz w:val="20"/>
        </w:rPr>
        <w:t>Decision: “Downloading is hardly unambiguous indication of assent.  The primary purpose of downloading is to obtain a product, not to assent to an agreement.”</w:t>
      </w:r>
    </w:p>
    <w:p w:rsidR="00A3301F" w:rsidRPr="009629B5" w:rsidRDefault="00A3301F" w:rsidP="00A3301F">
      <w:pPr>
        <w:pStyle w:val="Heading6"/>
        <w:rPr>
          <w:sz w:val="20"/>
        </w:rPr>
      </w:pPr>
      <w:r w:rsidRPr="009629B5">
        <w:rPr>
          <w:sz w:val="20"/>
        </w:rPr>
        <w:t>Register.com v Verio</w:t>
      </w:r>
    </w:p>
    <w:p w:rsidR="00A3301F" w:rsidRPr="009629B5" w:rsidRDefault="00A3301F" w:rsidP="00A3301F">
      <w:pPr>
        <w:spacing w:after="0"/>
        <w:ind w:left="720"/>
        <w:rPr>
          <w:sz w:val="20"/>
        </w:rPr>
      </w:pPr>
      <w:r w:rsidRPr="009629B5">
        <w:rPr>
          <w:b/>
          <w:sz w:val="20"/>
        </w:rPr>
        <w:t>Verio knew or should have known about Register’s policies</w:t>
      </w:r>
      <w:r w:rsidRPr="009629B5">
        <w:rPr>
          <w:b/>
          <w:sz w:val="20"/>
        </w:rPr>
        <w:sym w:font="Wingdings" w:char="F0E0"/>
      </w:r>
      <w:r w:rsidRPr="009629B5">
        <w:rPr>
          <w:b/>
          <w:sz w:val="20"/>
        </w:rPr>
        <w:t xml:space="preserve"> liable for breaching license </w:t>
      </w:r>
      <w:r w:rsidRPr="009629B5">
        <w:rPr>
          <w:sz w:val="20"/>
        </w:rPr>
        <w:t>(Apple Stand Story)</w:t>
      </w:r>
    </w:p>
    <w:p w:rsidR="00512904" w:rsidRPr="009629B5" w:rsidRDefault="00A3301F" w:rsidP="00427F2B">
      <w:pPr>
        <w:ind w:left="720"/>
        <w:rPr>
          <w:sz w:val="20"/>
        </w:rPr>
      </w:pPr>
      <w:r w:rsidRPr="009629B5">
        <w:rPr>
          <w:sz w:val="20"/>
        </w:rPr>
        <w:t xml:space="preserve">**Register did all they could to keep Verio out of their system—TSL didn’t </w:t>
      </w:r>
      <w:r w:rsidRPr="009629B5">
        <w:rPr>
          <w:i/>
          <w:sz w:val="20"/>
        </w:rPr>
        <w:t>have</w:t>
      </w:r>
      <w:r w:rsidRPr="009629B5">
        <w:rPr>
          <w:sz w:val="20"/>
        </w:rPr>
        <w:t xml:space="preserve"> to ship to Step-Saver</w:t>
      </w:r>
    </w:p>
    <w:p w:rsidR="00A3301F" w:rsidRPr="009629B5" w:rsidRDefault="002B6315" w:rsidP="002B6315">
      <w:pPr>
        <w:pStyle w:val="Heading1"/>
        <w:rPr>
          <w:sz w:val="24"/>
        </w:rPr>
      </w:pPr>
      <w:bookmarkStart w:id="29" w:name="_Toc122512882"/>
      <w:r w:rsidRPr="009629B5">
        <w:rPr>
          <w:sz w:val="24"/>
        </w:rPr>
        <w:t>GAP-FILLING—Raffles—Oswald—Sun Printing—Texaco—NY Central Iron—Wood</w:t>
      </w:r>
      <w:bookmarkEnd w:id="29"/>
    </w:p>
    <w:p w:rsidR="00E67CF4" w:rsidRPr="009629B5" w:rsidRDefault="00E67CF4" w:rsidP="00E67CF4">
      <w:pPr>
        <w:pStyle w:val="Heading3"/>
        <w:rPr>
          <w:sz w:val="20"/>
        </w:rPr>
      </w:pPr>
      <w:bookmarkStart w:id="30" w:name="_Toc122512883"/>
      <w:r w:rsidRPr="009629B5">
        <w:rPr>
          <w:sz w:val="20"/>
        </w:rPr>
        <w:t>Dairy “Mid-Week” Delivery Hypothetical</w:t>
      </w:r>
      <w:bookmarkEnd w:id="30"/>
    </w:p>
    <w:p w:rsidR="00E67CF4" w:rsidRPr="009629B5" w:rsidRDefault="00E67CF4" w:rsidP="00E67CF4">
      <w:pPr>
        <w:pStyle w:val="ListParagraph"/>
        <w:widowControl w:val="0"/>
        <w:numPr>
          <w:ilvl w:val="0"/>
          <w:numId w:val="38"/>
        </w:num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color w:val="000000"/>
          <w:sz w:val="20"/>
          <w:szCs w:val="24"/>
        </w:rPr>
        <w:t xml:space="preserve">Dairy agrees to make weekly delivery for one year of a specified quantity of butter at a specified price to a restaurant, each delivery to occur </w:t>
      </w:r>
      <w:r w:rsidRPr="009629B5">
        <w:rPr>
          <w:rFonts w:cs="Times New Roman"/>
          <w:b/>
          <w:color w:val="000000"/>
          <w:sz w:val="20"/>
          <w:szCs w:val="24"/>
        </w:rPr>
        <w:t>“no later than mid-week.”</w:t>
      </w:r>
      <w:r w:rsidRPr="009629B5">
        <w:rPr>
          <w:rFonts w:cs="Times New Roman"/>
          <w:color w:val="000000"/>
          <w:sz w:val="20"/>
          <w:szCs w:val="24"/>
        </w:rPr>
        <w:t xml:space="preserve"> </w:t>
      </w:r>
    </w:p>
    <w:p w:rsidR="00E67CF4" w:rsidRPr="009629B5" w:rsidRDefault="00E67CF4" w:rsidP="00E67CF4">
      <w:pPr>
        <w:pStyle w:val="ListParagraph"/>
        <w:widowControl w:val="0"/>
        <w:numPr>
          <w:ilvl w:val="0"/>
          <w:numId w:val="38"/>
        </w:num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color w:val="000000"/>
          <w:sz w:val="20"/>
          <w:szCs w:val="24"/>
        </w:rPr>
        <w:t xml:space="preserve">First six months: delivers the butter </w:t>
      </w:r>
      <w:r w:rsidRPr="009629B5">
        <w:rPr>
          <w:rFonts w:cs="Times New Roman"/>
          <w:b/>
          <w:color w:val="000000"/>
          <w:sz w:val="20"/>
          <w:szCs w:val="24"/>
        </w:rPr>
        <w:t>sometimes on Wednesdays, but more often on Thursdays</w:t>
      </w:r>
      <w:r w:rsidRPr="009629B5">
        <w:rPr>
          <w:rFonts w:cs="Times New Roman"/>
          <w:color w:val="000000"/>
          <w:sz w:val="20"/>
          <w:szCs w:val="24"/>
        </w:rPr>
        <w:t xml:space="preserve">. </w:t>
      </w:r>
    </w:p>
    <w:p w:rsidR="00E67CF4" w:rsidRPr="009629B5" w:rsidRDefault="00E67CF4" w:rsidP="00E67CF4">
      <w:pPr>
        <w:pStyle w:val="ListParagraph"/>
        <w:widowControl w:val="0"/>
        <w:numPr>
          <w:ilvl w:val="0"/>
          <w:numId w:val="37"/>
        </w:num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color w:val="000000"/>
          <w:sz w:val="20"/>
          <w:szCs w:val="24"/>
        </w:rPr>
        <w:t>Restaurant complains—</w:t>
      </w:r>
      <w:r w:rsidRPr="009629B5">
        <w:rPr>
          <w:rFonts w:cs="Times New Roman"/>
          <w:b/>
          <w:color w:val="000000"/>
          <w:sz w:val="20"/>
          <w:szCs w:val="24"/>
        </w:rPr>
        <w:t>accepts each one anyway</w:t>
      </w:r>
      <w:r w:rsidRPr="009629B5">
        <w:rPr>
          <w:rFonts w:cs="Times New Roman"/>
          <w:color w:val="000000"/>
          <w:sz w:val="20"/>
          <w:szCs w:val="24"/>
        </w:rPr>
        <w:t xml:space="preserve"> when the dairy apologizes</w:t>
      </w:r>
    </w:p>
    <w:p w:rsidR="00E67CF4" w:rsidRPr="009629B5" w:rsidRDefault="00E67CF4" w:rsidP="00E67CF4">
      <w:pPr>
        <w:pStyle w:val="ListParagraph"/>
        <w:widowControl w:val="0"/>
        <w:numPr>
          <w:ilvl w:val="0"/>
          <w:numId w:val="37"/>
        </w:num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color w:val="000000"/>
          <w:sz w:val="20"/>
          <w:szCs w:val="24"/>
        </w:rPr>
        <w:t>Seventh month—restaurant decides not to tolerate Thursday deliveries any longer—tells dairy contract is over</w:t>
      </w:r>
    </w:p>
    <w:p w:rsidR="00E67CF4" w:rsidRPr="009629B5" w:rsidRDefault="00E67CF4" w:rsidP="00E67CF4">
      <w:pPr>
        <w:pStyle w:val="ListParagraph"/>
        <w:widowControl w:val="0"/>
        <w:numPr>
          <w:ilvl w:val="0"/>
          <w:numId w:val="37"/>
        </w:num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color w:val="000000"/>
          <w:sz w:val="20"/>
          <w:szCs w:val="24"/>
        </w:rPr>
        <w:t xml:space="preserve">Dairy sues </w:t>
      </w:r>
      <w:r w:rsidR="0070583B">
        <w:rPr>
          <w:rFonts w:cs="Times New Roman"/>
          <w:color w:val="000000"/>
          <w:sz w:val="20"/>
          <w:szCs w:val="24"/>
        </w:rPr>
        <w:t xml:space="preserve">for </w:t>
      </w:r>
      <w:r w:rsidRPr="009629B5">
        <w:rPr>
          <w:rFonts w:cs="Times New Roman"/>
          <w:color w:val="000000"/>
          <w:sz w:val="20"/>
          <w:szCs w:val="24"/>
        </w:rPr>
        <w:t>breach—claims damages for the lost difference between the market price and contract price of butter over the remaining term of the agreement</w:t>
      </w:r>
    </w:p>
    <w:p w:rsidR="00E67CF4" w:rsidRPr="009629B5" w:rsidRDefault="00E67CF4" w:rsidP="00E67CF4">
      <w:pPr>
        <w:pStyle w:val="ListParagraph"/>
        <w:widowControl w:val="0"/>
        <w:numPr>
          <w:ilvl w:val="0"/>
          <w:numId w:val="37"/>
        </w:num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Times New Roman"/>
          <w:color w:val="000000"/>
          <w:sz w:val="20"/>
          <w:szCs w:val="24"/>
        </w:rPr>
      </w:pPr>
      <w:r w:rsidRPr="009629B5">
        <w:rPr>
          <w:rFonts w:cs="Times New Roman"/>
          <w:color w:val="000000"/>
          <w:sz w:val="20"/>
          <w:szCs w:val="24"/>
        </w:rPr>
        <w:t>Restaurant: dairy in breach—repeatedly late deliveries.</w:t>
      </w:r>
    </w:p>
    <w:p w:rsidR="009C08F9" w:rsidRPr="009629B5" w:rsidRDefault="00E67CF4" w:rsidP="009C08F9">
      <w:pPr>
        <w:ind w:left="360"/>
        <w:rPr>
          <w:rFonts w:cs="Times New Roman"/>
          <w:b/>
          <w:color w:val="000000"/>
          <w:sz w:val="20"/>
          <w:szCs w:val="24"/>
        </w:rPr>
      </w:pPr>
      <w:r w:rsidRPr="009629B5">
        <w:rPr>
          <w:rFonts w:cs="Times New Roman"/>
          <w:color w:val="000000"/>
          <w:sz w:val="20"/>
          <w:szCs w:val="24"/>
        </w:rPr>
        <w:t xml:space="preserve">Litigation turns on the interpretation of </w:t>
      </w:r>
      <w:r w:rsidRPr="009629B5">
        <w:rPr>
          <w:rFonts w:cs="Times New Roman"/>
          <w:b/>
          <w:color w:val="000000"/>
          <w:sz w:val="20"/>
          <w:szCs w:val="24"/>
        </w:rPr>
        <w:t>“mid-week.”</w:t>
      </w:r>
      <w:r w:rsidRPr="009629B5">
        <w:rPr>
          <w:rFonts w:cs="Times New Roman"/>
          <w:color w:val="000000"/>
          <w:sz w:val="20"/>
          <w:szCs w:val="24"/>
        </w:rPr>
        <w:t xml:space="preserve"> Restatement (2</w:t>
      </w:r>
      <w:r w:rsidRPr="009629B5">
        <w:rPr>
          <w:rFonts w:cs="Times New Roman"/>
          <w:color w:val="000000"/>
          <w:sz w:val="20"/>
          <w:szCs w:val="15"/>
        </w:rPr>
        <w:t>nd</w:t>
      </w:r>
      <w:r w:rsidRPr="009629B5">
        <w:rPr>
          <w:rFonts w:cs="Times New Roman"/>
          <w:color w:val="000000"/>
          <w:sz w:val="20"/>
          <w:szCs w:val="24"/>
        </w:rPr>
        <w:t xml:space="preserve">) Contracts </w:t>
      </w:r>
      <w:r w:rsidRPr="009629B5">
        <w:rPr>
          <w:rFonts w:cs="Times New Roman"/>
          <w:b/>
          <w:color w:val="000000"/>
          <w:sz w:val="20"/>
          <w:szCs w:val="24"/>
        </w:rPr>
        <w:t>§202</w:t>
      </w:r>
      <w:r w:rsidRPr="009629B5">
        <w:rPr>
          <w:rFonts w:cs="Times New Roman"/>
          <w:color w:val="000000"/>
          <w:sz w:val="20"/>
          <w:szCs w:val="24"/>
        </w:rPr>
        <w:t xml:space="preserve"> provides that in general </w:t>
      </w:r>
      <w:r w:rsidRPr="009629B5">
        <w:rPr>
          <w:rFonts w:cs="Times New Roman"/>
          <w:b/>
          <w:color w:val="000000"/>
          <w:sz w:val="20"/>
          <w:szCs w:val="24"/>
        </w:rPr>
        <w:t>“where language has a generally prevailing meaning, it is interpreted in accordance with that meaning”</w:t>
      </w:r>
      <w:r w:rsidRPr="009629B5">
        <w:rPr>
          <w:rFonts w:cs="Times New Roman"/>
          <w:color w:val="000000"/>
          <w:sz w:val="20"/>
          <w:szCs w:val="24"/>
        </w:rPr>
        <w:t xml:space="preserve"> but adds, among other things, that </w:t>
      </w:r>
      <w:r w:rsidRPr="009629B5">
        <w:rPr>
          <w:rFonts w:cs="Times New Roman"/>
          <w:b/>
          <w:color w:val="000000"/>
          <w:sz w:val="20"/>
          <w:szCs w:val="24"/>
        </w:rPr>
        <w:t>“technical terms and words of art are given their technical meaning when used in a transaction within their technical field.”</w:t>
      </w:r>
    </w:p>
    <w:p w:rsidR="00D35726" w:rsidRPr="009629B5" w:rsidRDefault="009C08F9" w:rsidP="009C08F9">
      <w:pPr>
        <w:rPr>
          <w:sz w:val="20"/>
        </w:rPr>
      </w:pPr>
      <w:r w:rsidRPr="009629B5">
        <w:rPr>
          <w:rFonts w:cs="Times New Roman"/>
          <w:b/>
          <w:color w:val="000000"/>
          <w:sz w:val="20"/>
          <w:szCs w:val="24"/>
        </w:rPr>
        <w:t xml:space="preserve">UCC § 2-208—where do we look for definitions of terms?  </w:t>
      </w:r>
      <w:r w:rsidRPr="009629B5">
        <w:rPr>
          <w:sz w:val="20"/>
        </w:rPr>
        <w:t>“express terms shall control course of performance and course of performance shall control both course of dealing and usage of trade”</w:t>
      </w:r>
    </w:p>
    <w:p w:rsidR="00D35726" w:rsidRPr="009629B5" w:rsidRDefault="00D35726" w:rsidP="00D35726">
      <w:pPr>
        <w:pStyle w:val="Heading6"/>
        <w:rPr>
          <w:sz w:val="20"/>
        </w:rPr>
      </w:pPr>
      <w:r w:rsidRPr="009629B5">
        <w:rPr>
          <w:sz w:val="20"/>
        </w:rPr>
        <w:t>Raffles v Wichelhaus—1864 (Britain)</w:t>
      </w:r>
    </w:p>
    <w:p w:rsidR="0020061E" w:rsidRPr="009629B5" w:rsidRDefault="00D35726" w:rsidP="0020061E">
      <w:pPr>
        <w:ind w:left="720"/>
        <w:rPr>
          <w:i/>
          <w:sz w:val="20"/>
        </w:rPr>
      </w:pPr>
      <w:r w:rsidRPr="009629B5">
        <w:rPr>
          <w:i/>
          <w:sz w:val="20"/>
        </w:rPr>
        <w:t>In ex Peerless</w:t>
      </w:r>
    </w:p>
    <w:p w:rsidR="0020061E" w:rsidRPr="009629B5" w:rsidRDefault="0020061E" w:rsidP="0020061E">
      <w:pPr>
        <w:ind w:left="720"/>
        <w:rPr>
          <w:sz w:val="20"/>
        </w:rPr>
      </w:pPr>
      <w:r w:rsidRPr="009629B5">
        <w:rPr>
          <w:b/>
          <w:sz w:val="20"/>
        </w:rPr>
        <w:t>Lord Gilmore</w:t>
      </w:r>
      <w:r w:rsidRPr="009629B5">
        <w:rPr>
          <w:sz w:val="20"/>
        </w:rPr>
        <w:t>: “to arrive ex Peerless” was used to indemnify the seller in case the ship sank</w:t>
      </w:r>
      <w:r w:rsidRPr="009629B5">
        <w:rPr>
          <w:sz w:val="20"/>
        </w:rPr>
        <w:sym w:font="Wingdings" w:char="F0E0"/>
      </w:r>
      <w:r w:rsidRPr="009629B5">
        <w:rPr>
          <w:sz w:val="20"/>
        </w:rPr>
        <w:t xml:space="preserve"> Seller can enforce the agreement in December</w:t>
      </w:r>
    </w:p>
    <w:p w:rsidR="0020061E" w:rsidRPr="009629B5" w:rsidRDefault="0020061E" w:rsidP="0020061E">
      <w:pPr>
        <w:ind w:left="720"/>
        <w:rPr>
          <w:sz w:val="20"/>
        </w:rPr>
      </w:pPr>
      <w:r w:rsidRPr="009629B5">
        <w:rPr>
          <w:b/>
          <w:sz w:val="20"/>
        </w:rPr>
        <w:t>Lord Simpson</w:t>
      </w:r>
      <w:r w:rsidRPr="009629B5">
        <w:rPr>
          <w:sz w:val="20"/>
        </w:rPr>
        <w:t xml:space="preserve">: Seller would have had a contract for more than price of goods on either shipment </w:t>
      </w:r>
      <w:r w:rsidRPr="009629B5">
        <w:rPr>
          <w:sz w:val="20"/>
        </w:rPr>
        <w:sym w:font="Wingdings" w:char="F0E0"/>
      </w:r>
      <w:r w:rsidRPr="009629B5">
        <w:rPr>
          <w:sz w:val="20"/>
        </w:rPr>
        <w:t xml:space="preserve"> should at least be able to recover on the contract more favorable to buyer (December)</w:t>
      </w:r>
    </w:p>
    <w:p w:rsidR="0020061E" w:rsidRPr="009629B5" w:rsidRDefault="0020061E" w:rsidP="0020061E">
      <w:pPr>
        <w:ind w:left="720"/>
        <w:rPr>
          <w:b/>
          <w:sz w:val="20"/>
        </w:rPr>
      </w:pPr>
      <w:r w:rsidRPr="009629B5">
        <w:rPr>
          <w:b/>
          <w:sz w:val="20"/>
        </w:rPr>
        <w:t>**Court does NOT try to imply a meaning to “arrive ex Peerless” to enforce the contract as it was written</w:t>
      </w:r>
    </w:p>
    <w:p w:rsidR="0020061E" w:rsidRPr="009629B5" w:rsidRDefault="0020061E" w:rsidP="0020061E">
      <w:pPr>
        <w:pStyle w:val="Heading6"/>
        <w:rPr>
          <w:sz w:val="20"/>
        </w:rPr>
      </w:pPr>
      <w:r w:rsidRPr="009629B5">
        <w:rPr>
          <w:sz w:val="20"/>
        </w:rPr>
        <w:t>Oswald v Allen—1969</w:t>
      </w:r>
    </w:p>
    <w:p w:rsidR="0020061E" w:rsidRPr="009629B5" w:rsidRDefault="000E65A8" w:rsidP="0020061E">
      <w:pPr>
        <w:ind w:left="720"/>
        <w:rPr>
          <w:i/>
          <w:sz w:val="20"/>
        </w:rPr>
      </w:pPr>
      <w:r w:rsidRPr="009629B5">
        <w:rPr>
          <w:i/>
          <w:sz w:val="20"/>
        </w:rPr>
        <w:t>Allen sold Oswald coins</w:t>
      </w:r>
      <w:r w:rsidR="0020061E" w:rsidRPr="009629B5">
        <w:rPr>
          <w:i/>
          <w:sz w:val="20"/>
        </w:rPr>
        <w:t xml:space="preserve"> in the back seat of a car</w:t>
      </w:r>
    </w:p>
    <w:p w:rsidR="000E65A8" w:rsidRPr="009629B5" w:rsidRDefault="000E65A8" w:rsidP="0020061E">
      <w:pPr>
        <w:ind w:left="720"/>
        <w:rPr>
          <w:sz w:val="20"/>
        </w:rPr>
      </w:pPr>
      <w:r w:rsidRPr="009629B5">
        <w:rPr>
          <w:sz w:val="20"/>
        </w:rPr>
        <w:t>“</w:t>
      </w:r>
      <w:r w:rsidR="0020061E" w:rsidRPr="009629B5">
        <w:rPr>
          <w:sz w:val="20"/>
        </w:rPr>
        <w:t>Swiss Coins</w:t>
      </w:r>
      <w:r w:rsidRPr="009629B5">
        <w:rPr>
          <w:sz w:val="20"/>
        </w:rPr>
        <w:t>”</w:t>
      </w:r>
      <w:r w:rsidR="0020061E" w:rsidRPr="009629B5">
        <w:rPr>
          <w:sz w:val="20"/>
        </w:rPr>
        <w:t xml:space="preserve"> meant either Swiss Coin Collection</w:t>
      </w:r>
      <w:r w:rsidRPr="009629B5">
        <w:rPr>
          <w:sz w:val="20"/>
        </w:rPr>
        <w:t xml:space="preserve"> (Allen)</w:t>
      </w:r>
      <w:r w:rsidR="0020061E" w:rsidRPr="009629B5">
        <w:rPr>
          <w:sz w:val="20"/>
        </w:rPr>
        <w:t xml:space="preserve"> OR Swiss Coin Collection and the Swiss coins from the Rarity Coin Collection</w:t>
      </w:r>
      <w:r w:rsidRPr="009629B5">
        <w:rPr>
          <w:sz w:val="20"/>
        </w:rPr>
        <w:t xml:space="preserve"> (Oswald)—court declines to find a contract absent “meeting of the minds”</w:t>
      </w:r>
    </w:p>
    <w:p w:rsidR="000E65A8" w:rsidRPr="009629B5" w:rsidRDefault="000E65A8" w:rsidP="000E65A8">
      <w:pPr>
        <w:spacing w:after="0"/>
        <w:rPr>
          <w:sz w:val="20"/>
        </w:rPr>
      </w:pPr>
      <w:r w:rsidRPr="009629B5">
        <w:rPr>
          <w:b/>
          <w:caps/>
          <w:sz w:val="20"/>
        </w:rPr>
        <w:t>Implied-in-fact:</w:t>
      </w:r>
      <w:r w:rsidRPr="009629B5">
        <w:rPr>
          <w:sz w:val="20"/>
        </w:rPr>
        <w:t xml:space="preserve"> terms on which the parties actually agree, though not expressly</w:t>
      </w:r>
    </w:p>
    <w:p w:rsidR="000E65A8" w:rsidRPr="009629B5" w:rsidRDefault="000E65A8" w:rsidP="000E65A8">
      <w:pPr>
        <w:rPr>
          <w:sz w:val="20"/>
        </w:rPr>
      </w:pPr>
      <w:r w:rsidRPr="009629B5">
        <w:rPr>
          <w:b/>
          <w:caps/>
          <w:sz w:val="20"/>
        </w:rPr>
        <w:t xml:space="preserve">Implied-in-law: </w:t>
      </w:r>
      <w:r w:rsidRPr="009629B5">
        <w:rPr>
          <w:sz w:val="20"/>
        </w:rPr>
        <w:t>terms that are filled in with background rules</w:t>
      </w:r>
    </w:p>
    <w:p w:rsidR="000E65A8" w:rsidRPr="009629B5" w:rsidRDefault="000E65A8" w:rsidP="000E65A8">
      <w:pPr>
        <w:pStyle w:val="Heading6"/>
        <w:rPr>
          <w:sz w:val="20"/>
        </w:rPr>
      </w:pPr>
      <w:r w:rsidRPr="009629B5">
        <w:rPr>
          <w:sz w:val="20"/>
        </w:rPr>
        <w:t>Sun Printing v Remington Paper—1923—Cardozo</w:t>
      </w:r>
    </w:p>
    <w:p w:rsidR="00511E15" w:rsidRPr="009629B5" w:rsidRDefault="00511E15" w:rsidP="00511E15">
      <w:pPr>
        <w:ind w:left="720"/>
        <w:rPr>
          <w:sz w:val="20"/>
        </w:rPr>
      </w:pPr>
      <w:r w:rsidRPr="009629B5">
        <w:rPr>
          <w:sz w:val="20"/>
        </w:rPr>
        <w:t xml:space="preserve">Contracted for a monthly sale of paper (sale from Remington to Sun) with </w:t>
      </w:r>
      <w:r w:rsidRPr="009629B5">
        <w:rPr>
          <w:b/>
          <w:sz w:val="20"/>
        </w:rPr>
        <w:t>price to be set by an extrinsic indicator for a fixed quantity of paper</w:t>
      </w:r>
      <w:r w:rsidRPr="009629B5">
        <w:rPr>
          <w:sz w:val="20"/>
        </w:rPr>
        <w:t xml:space="preserve">, 1000 lbs. per month—essentially a monthly renewable option contract—Remington repudiated saying that they had </w:t>
      </w:r>
      <w:r w:rsidRPr="009629B5">
        <w:rPr>
          <w:b/>
          <w:sz w:val="20"/>
        </w:rPr>
        <w:t>not agreed to a material term (time)</w:t>
      </w:r>
      <w:r w:rsidRPr="009629B5">
        <w:rPr>
          <w:sz w:val="20"/>
        </w:rPr>
        <w:t xml:space="preserve"> </w:t>
      </w:r>
      <w:r w:rsidRPr="009629B5">
        <w:rPr>
          <w:sz w:val="20"/>
        </w:rPr>
        <w:sym w:font="Wingdings" w:char="F0E0"/>
      </w:r>
      <w:r w:rsidRPr="009629B5">
        <w:rPr>
          <w:sz w:val="20"/>
        </w:rPr>
        <w:t xml:space="preserve"> weren’t bound</w:t>
      </w:r>
    </w:p>
    <w:p w:rsidR="00511E15" w:rsidRPr="009629B5" w:rsidRDefault="00511E15" w:rsidP="00511E15">
      <w:pPr>
        <w:ind w:left="720"/>
        <w:rPr>
          <w:sz w:val="20"/>
        </w:rPr>
      </w:pPr>
      <w:r w:rsidRPr="009629B5">
        <w:rPr>
          <w:b/>
          <w:sz w:val="20"/>
        </w:rPr>
        <w:t>Decision: no contract exists—</w:t>
      </w:r>
      <w:r w:rsidRPr="009629B5">
        <w:rPr>
          <w:sz w:val="20"/>
        </w:rPr>
        <w:t>Cardozo: “We are not at liberty to revise while professing to construe.”</w:t>
      </w:r>
    </w:p>
    <w:p w:rsidR="00511E15" w:rsidRPr="009629B5" w:rsidRDefault="00511E15" w:rsidP="00511E15">
      <w:pPr>
        <w:ind w:left="720"/>
        <w:rPr>
          <w:sz w:val="20"/>
        </w:rPr>
      </w:pPr>
      <w:r w:rsidRPr="009629B5">
        <w:rPr>
          <w:b/>
          <w:sz w:val="20"/>
        </w:rPr>
        <w:t>**</w:t>
      </w:r>
      <w:r w:rsidRPr="009629B5">
        <w:rPr>
          <w:sz w:val="20"/>
        </w:rPr>
        <w:t xml:space="preserve"> couldn’t determine reasonable damages—all Sun and Remington really agreed to was future negotitations—Remington declined to perpetuate—could remedy by definitively negotiating more terms in the agreement.</w:t>
      </w:r>
    </w:p>
    <w:p w:rsidR="00140A7B" w:rsidRPr="009629B5" w:rsidRDefault="00140A7B" w:rsidP="00140A7B">
      <w:pPr>
        <w:pStyle w:val="Heading6"/>
        <w:rPr>
          <w:sz w:val="20"/>
        </w:rPr>
      </w:pPr>
      <w:r w:rsidRPr="009629B5">
        <w:rPr>
          <w:sz w:val="20"/>
        </w:rPr>
        <w:t>Texaco v Pennzoil—1987</w:t>
      </w:r>
    </w:p>
    <w:p w:rsidR="00140A7B" w:rsidRPr="009629B5" w:rsidRDefault="00140A7B" w:rsidP="00140A7B">
      <w:pPr>
        <w:ind w:left="720"/>
        <w:rPr>
          <w:i/>
          <w:sz w:val="20"/>
        </w:rPr>
      </w:pPr>
      <w:r w:rsidRPr="009629B5">
        <w:rPr>
          <w:i/>
          <w:sz w:val="20"/>
        </w:rPr>
        <w:t>How specific does a contract have to be to be binding?</w:t>
      </w:r>
    </w:p>
    <w:p w:rsidR="00140A7B" w:rsidRPr="009629B5" w:rsidRDefault="00140A7B" w:rsidP="00140A7B">
      <w:pPr>
        <w:ind w:left="720"/>
        <w:rPr>
          <w:sz w:val="20"/>
        </w:rPr>
      </w:pPr>
      <w:r w:rsidRPr="009629B5">
        <w:rPr>
          <w:b/>
        </w:rPr>
        <w:t>Decision:</w:t>
      </w:r>
      <w:r w:rsidRPr="009629B5">
        <w:rPr>
          <w:sz w:val="20"/>
        </w:rPr>
        <w:t xml:space="preserve"> Promises of the parties are </w:t>
      </w:r>
      <w:r w:rsidRPr="009629B5">
        <w:rPr>
          <w:b/>
          <w:i/>
          <w:caps/>
          <w:sz w:val="20"/>
        </w:rPr>
        <w:t>clear enough</w:t>
      </w:r>
      <w:r w:rsidRPr="009629B5">
        <w:rPr>
          <w:sz w:val="20"/>
        </w:rPr>
        <w:t xml:space="preserve"> (usually: clear enough means that the court can determine </w:t>
      </w:r>
      <w:r w:rsidRPr="009629B5">
        <w:rPr>
          <w:b/>
          <w:sz w:val="20"/>
        </w:rPr>
        <w:t>reasonable damages</w:t>
      </w:r>
      <w:r w:rsidRPr="009629B5">
        <w:rPr>
          <w:sz w:val="20"/>
        </w:rPr>
        <w:t xml:space="preserve">) for a court to recognize a breach and to determine the damages resulting from that breach </w:t>
      </w:r>
      <w:r w:rsidRPr="009629B5">
        <w:rPr>
          <w:sz w:val="20"/>
        </w:rPr>
        <w:sym w:font="Wingdings" w:char="F0E0"/>
      </w:r>
      <w:r w:rsidRPr="009629B5">
        <w:rPr>
          <w:sz w:val="20"/>
        </w:rPr>
        <w:t xml:space="preserve"> </w:t>
      </w:r>
      <w:r w:rsidRPr="009629B5">
        <w:rPr>
          <w:b/>
          <w:sz w:val="20"/>
        </w:rPr>
        <w:t>contract sufficiently specific</w:t>
      </w:r>
      <w:r w:rsidRPr="009629B5">
        <w:rPr>
          <w:sz w:val="20"/>
        </w:rPr>
        <w:t xml:space="preserve">—found for Pennzoil </w:t>
      </w:r>
    </w:p>
    <w:p w:rsidR="00140A7B" w:rsidRPr="009629B5" w:rsidRDefault="00140A7B" w:rsidP="00140A7B">
      <w:pPr>
        <w:pStyle w:val="Heading6"/>
        <w:rPr>
          <w:sz w:val="20"/>
        </w:rPr>
      </w:pPr>
      <w:r w:rsidRPr="009629B5">
        <w:rPr>
          <w:sz w:val="20"/>
        </w:rPr>
        <w:t>New York Central Iron Works v US Radiator—1903</w:t>
      </w:r>
    </w:p>
    <w:p w:rsidR="00140A7B" w:rsidRPr="009629B5" w:rsidRDefault="00140A7B" w:rsidP="000E65A8">
      <w:pPr>
        <w:ind w:left="720"/>
        <w:rPr>
          <w:sz w:val="20"/>
        </w:rPr>
      </w:pPr>
      <w:r w:rsidRPr="009629B5">
        <w:rPr>
          <w:rStyle w:val="Heading5Char"/>
        </w:rPr>
        <w:t>REQUIREMENTS CONTRACT</w:t>
      </w:r>
      <w:r w:rsidRPr="009629B5">
        <w:rPr>
          <w:sz w:val="20"/>
        </w:rPr>
        <w:t>—USR agreed to furnish NYCIW with their “entire radiator needs for the year 1899”</w:t>
      </w:r>
      <w:r w:rsidR="008F3DC1" w:rsidRPr="009629B5">
        <w:rPr>
          <w:sz w:val="20"/>
        </w:rPr>
        <w:t>—order far exceeded expectations—USR took a risk and LOST</w:t>
      </w:r>
      <w:r w:rsidR="008F3DC1" w:rsidRPr="009629B5">
        <w:rPr>
          <w:sz w:val="20"/>
        </w:rPr>
        <w:sym w:font="Wingdings" w:char="F0E0"/>
      </w:r>
      <w:r w:rsidR="008F3DC1" w:rsidRPr="009629B5">
        <w:rPr>
          <w:sz w:val="20"/>
        </w:rPr>
        <w:t xml:space="preserve"> has to pay</w:t>
      </w:r>
    </w:p>
    <w:p w:rsidR="008F3DC1" w:rsidRPr="009629B5" w:rsidRDefault="008F3DC1" w:rsidP="00140A7B">
      <w:pPr>
        <w:ind w:left="720"/>
        <w:rPr>
          <w:sz w:val="20"/>
        </w:rPr>
      </w:pPr>
      <w:r w:rsidRPr="009629B5">
        <w:rPr>
          <w:b/>
          <w:sz w:val="20"/>
        </w:rPr>
        <w:t xml:space="preserve">Common Law </w:t>
      </w:r>
      <w:r w:rsidR="00140A7B" w:rsidRPr="009629B5">
        <w:rPr>
          <w:b/>
          <w:sz w:val="20"/>
        </w:rPr>
        <w:t xml:space="preserve">Rule: </w:t>
      </w:r>
      <w:r w:rsidR="00140A7B" w:rsidRPr="009629B5">
        <w:rPr>
          <w:sz w:val="20"/>
        </w:rPr>
        <w:t>Requirement contracts filled in good faith are enforceable</w:t>
      </w:r>
      <w:r w:rsidRPr="009629B5">
        <w:rPr>
          <w:sz w:val="20"/>
        </w:rPr>
        <w:t xml:space="preserve"> (fuzzy line between good faith ferreting out profits and bad faith abuse of the contract)</w:t>
      </w:r>
    </w:p>
    <w:p w:rsidR="008F3DC1" w:rsidRPr="009629B5" w:rsidRDefault="008F3DC1" w:rsidP="00140A7B">
      <w:pPr>
        <w:ind w:left="720"/>
        <w:rPr>
          <w:sz w:val="20"/>
        </w:rPr>
      </w:pPr>
      <w:r w:rsidRPr="009629B5">
        <w:rPr>
          <w:b/>
          <w:sz w:val="20"/>
        </w:rPr>
        <w:t>UCC § 2-306</w:t>
      </w:r>
      <w:r w:rsidRPr="009629B5">
        <w:rPr>
          <w:sz w:val="20"/>
        </w:rPr>
        <w:t xml:space="preserve">: </w:t>
      </w:r>
      <w:r w:rsidR="008C534D" w:rsidRPr="009629B5">
        <w:rPr>
          <w:sz w:val="20"/>
        </w:rPr>
        <w:t>cannot be unreasonably disproportionate—look like speculation or even just deviate largely</w:t>
      </w:r>
    </w:p>
    <w:p w:rsidR="008F3DC1" w:rsidRPr="009629B5" w:rsidRDefault="008F3DC1" w:rsidP="008F3DC1">
      <w:pPr>
        <w:pStyle w:val="Heading6"/>
        <w:rPr>
          <w:sz w:val="20"/>
        </w:rPr>
      </w:pPr>
      <w:r w:rsidRPr="009629B5">
        <w:rPr>
          <w:sz w:val="20"/>
        </w:rPr>
        <w:t>Wood v Lucy, Lady Duff Gordon—1917—Cardozo</w:t>
      </w:r>
    </w:p>
    <w:p w:rsidR="008F3DC1" w:rsidRPr="009629B5" w:rsidRDefault="008F3DC1" w:rsidP="008F3DC1">
      <w:pPr>
        <w:ind w:left="720"/>
        <w:rPr>
          <w:sz w:val="20"/>
        </w:rPr>
      </w:pPr>
      <w:r w:rsidRPr="009629B5">
        <w:rPr>
          <w:i/>
          <w:sz w:val="20"/>
        </w:rPr>
        <w:t>Wood is to be Lucy’s agent—she can’t market her stuff on her own</w:t>
      </w:r>
    </w:p>
    <w:p w:rsidR="002B6315" w:rsidRPr="009629B5" w:rsidRDefault="008F3DC1" w:rsidP="008F3DC1">
      <w:pPr>
        <w:ind w:left="720"/>
        <w:rPr>
          <w:b/>
          <w:sz w:val="20"/>
        </w:rPr>
      </w:pPr>
      <w:r w:rsidRPr="009629B5">
        <w:rPr>
          <w:sz w:val="20"/>
        </w:rPr>
        <w:t xml:space="preserve">Decision: he claims he’s not bound to anything by the contract—requirement contract </w:t>
      </w:r>
      <w:r w:rsidRPr="009629B5">
        <w:rPr>
          <w:b/>
          <w:sz w:val="20"/>
        </w:rPr>
        <w:t>implies</w:t>
      </w:r>
      <w:r w:rsidRPr="009629B5">
        <w:rPr>
          <w:sz w:val="20"/>
        </w:rPr>
        <w:t xml:space="preserve"> </w:t>
      </w:r>
      <w:r w:rsidRPr="009629B5">
        <w:rPr>
          <w:b/>
          <w:sz w:val="20"/>
        </w:rPr>
        <w:t>acceptance of the exclusive agency was an assumption of its duties</w:t>
      </w:r>
    </w:p>
    <w:p w:rsidR="00C71E68" w:rsidRPr="009629B5" w:rsidRDefault="002B6315" w:rsidP="002B6315">
      <w:pPr>
        <w:pStyle w:val="Heading1"/>
        <w:rPr>
          <w:sz w:val="24"/>
        </w:rPr>
      </w:pPr>
      <w:bookmarkStart w:id="31" w:name="_Toc122512884"/>
      <w:r w:rsidRPr="009629B5">
        <w:rPr>
          <w:sz w:val="24"/>
        </w:rPr>
        <w:t>EXTRINSIC EVIDENCE—Thompson—Brown—Pacific Gas—Trident Center</w:t>
      </w:r>
      <w:bookmarkEnd w:id="31"/>
    </w:p>
    <w:p w:rsidR="00C71E68" w:rsidRPr="009629B5" w:rsidRDefault="00C71E68" w:rsidP="002E28F0">
      <w:pPr>
        <w:ind w:left="720" w:hanging="720"/>
        <w:rPr>
          <w:sz w:val="20"/>
        </w:rPr>
      </w:pPr>
      <w:r w:rsidRPr="009629B5">
        <w:rPr>
          <w:rStyle w:val="Heading5Char"/>
          <w:caps/>
        </w:rPr>
        <w:t>Parol evidence rule</w:t>
      </w:r>
      <w:r w:rsidR="000D0042" w:rsidRPr="009629B5">
        <w:rPr>
          <w:rStyle w:val="Heading5Char"/>
          <w:caps/>
        </w:rPr>
        <w:t>—R2C § 213</w:t>
      </w:r>
      <w:r w:rsidR="00282201" w:rsidRPr="009629B5">
        <w:rPr>
          <w:rStyle w:val="Heading5Char"/>
          <w:caps/>
        </w:rPr>
        <w:t>—UCC § 2-202</w:t>
      </w:r>
      <w:r w:rsidRPr="009629B5">
        <w:rPr>
          <w:sz w:val="20"/>
        </w:rPr>
        <w:t>—a writing that is a final expression of an agreement discharges any prior agreement (or contemporaneous oral agreement) that conflicts with the writing or that adds a term within the scope of a comprehensive portion of the writing</w:t>
      </w:r>
    </w:p>
    <w:p w:rsidR="00C71E68" w:rsidRPr="009629B5" w:rsidRDefault="00C71E68" w:rsidP="002E28F0">
      <w:pPr>
        <w:pStyle w:val="ListParagraph"/>
        <w:numPr>
          <w:ilvl w:val="0"/>
          <w:numId w:val="39"/>
        </w:numPr>
        <w:ind w:left="1080"/>
        <w:rPr>
          <w:sz w:val="20"/>
        </w:rPr>
      </w:pPr>
      <w:r w:rsidRPr="009629B5">
        <w:rPr>
          <w:sz w:val="20"/>
        </w:rPr>
        <w:t>applies to AGREEMENTS not INTERPRETATIONS</w:t>
      </w:r>
    </w:p>
    <w:p w:rsidR="00943BA8" w:rsidRPr="009629B5" w:rsidRDefault="00C71E68" w:rsidP="002E28F0">
      <w:pPr>
        <w:pStyle w:val="ListParagraph"/>
        <w:numPr>
          <w:ilvl w:val="0"/>
          <w:numId w:val="39"/>
        </w:numPr>
        <w:ind w:left="1080"/>
        <w:rPr>
          <w:sz w:val="20"/>
        </w:rPr>
      </w:pPr>
      <w:r w:rsidRPr="009629B5">
        <w:rPr>
          <w:sz w:val="20"/>
        </w:rPr>
        <w:t>underlying principle: a final writing is the best expression of an agreement’s terms</w:t>
      </w:r>
    </w:p>
    <w:p w:rsidR="00C71E68" w:rsidRPr="009629B5" w:rsidRDefault="00943BA8" w:rsidP="002E28F0">
      <w:pPr>
        <w:pStyle w:val="ListParagraph"/>
        <w:numPr>
          <w:ilvl w:val="0"/>
          <w:numId w:val="39"/>
        </w:numPr>
        <w:ind w:left="1080"/>
        <w:rPr>
          <w:sz w:val="20"/>
        </w:rPr>
      </w:pPr>
      <w:r w:rsidRPr="009629B5">
        <w:rPr>
          <w:rStyle w:val="Heading5Char"/>
        </w:rPr>
        <w:t>Merger clause</w:t>
      </w:r>
      <w:r w:rsidRPr="009629B5">
        <w:rPr>
          <w:sz w:val="20"/>
        </w:rPr>
        <w:t>—term expressing that “this document is a final and exclusive expression of all agreements…”</w:t>
      </w:r>
    </w:p>
    <w:p w:rsidR="00C71E68" w:rsidRPr="009629B5" w:rsidRDefault="00C71E68" w:rsidP="002E28F0">
      <w:pPr>
        <w:ind w:left="720"/>
        <w:rPr>
          <w:sz w:val="20"/>
        </w:rPr>
      </w:pPr>
      <w:r w:rsidRPr="009629B5">
        <w:rPr>
          <w:sz w:val="20"/>
        </w:rPr>
        <w:t>Is the disputed agreement an “</w:t>
      </w:r>
      <w:r w:rsidRPr="009629B5">
        <w:rPr>
          <w:b/>
          <w:sz w:val="20"/>
        </w:rPr>
        <w:t>integrated agreement</w:t>
      </w:r>
      <w:r w:rsidRPr="009629B5">
        <w:rPr>
          <w:sz w:val="20"/>
        </w:rPr>
        <w:t>”: a final expression of one or more terms of an agreement?</w:t>
      </w:r>
    </w:p>
    <w:p w:rsidR="002476E1" w:rsidRPr="009629B5" w:rsidRDefault="00C71E68" w:rsidP="002E28F0">
      <w:pPr>
        <w:ind w:left="720"/>
        <w:rPr>
          <w:sz w:val="20"/>
        </w:rPr>
      </w:pPr>
      <w:r w:rsidRPr="009629B5">
        <w:rPr>
          <w:sz w:val="20"/>
        </w:rPr>
        <w:t xml:space="preserve">Is it </w:t>
      </w:r>
      <w:r w:rsidRPr="009629B5">
        <w:rPr>
          <w:b/>
          <w:sz w:val="20"/>
        </w:rPr>
        <w:t>completely</w:t>
      </w:r>
      <w:r w:rsidRPr="009629B5">
        <w:rPr>
          <w:sz w:val="20"/>
        </w:rPr>
        <w:t xml:space="preserve"> (integrated agreement adopted by the parties as a complete and exclusive statement of the terms of the agreement) or </w:t>
      </w:r>
      <w:r w:rsidRPr="009629B5">
        <w:rPr>
          <w:b/>
          <w:sz w:val="20"/>
        </w:rPr>
        <w:t>partially</w:t>
      </w:r>
      <w:r w:rsidRPr="009629B5">
        <w:rPr>
          <w:sz w:val="20"/>
        </w:rPr>
        <w:t xml:space="preserve"> (any other integrated agreement) integrated?</w:t>
      </w:r>
    </w:p>
    <w:p w:rsidR="002E28F0" w:rsidRPr="009629B5" w:rsidRDefault="002476E1" w:rsidP="00F25142">
      <w:pPr>
        <w:ind w:left="720" w:hanging="720"/>
        <w:rPr>
          <w:sz w:val="20"/>
        </w:rPr>
      </w:pPr>
      <w:r w:rsidRPr="009629B5">
        <w:rPr>
          <w:rStyle w:val="Heading5Char"/>
        </w:rPr>
        <w:t>Statute of Frauds</w:t>
      </w:r>
      <w:r w:rsidRPr="009629B5">
        <w:rPr>
          <w:sz w:val="20"/>
        </w:rPr>
        <w:t>—certain agreements are enforceable only if memorialized in a signed writing—R2C § 110—UCC § 2-201—sale of land, contracts that are not to be performed within one year, and contracts for the sale of goods above a specified price</w:t>
      </w:r>
    </w:p>
    <w:p w:rsidR="002E28F0" w:rsidRPr="009629B5" w:rsidRDefault="002E28F0" w:rsidP="002E28F0">
      <w:pPr>
        <w:pStyle w:val="Heading6"/>
        <w:rPr>
          <w:sz w:val="20"/>
        </w:rPr>
      </w:pPr>
      <w:r w:rsidRPr="009629B5">
        <w:rPr>
          <w:sz w:val="20"/>
        </w:rPr>
        <w:t>Thompson v Libby—1885</w:t>
      </w:r>
    </w:p>
    <w:p w:rsidR="002E28F0" w:rsidRPr="009629B5" w:rsidRDefault="002E28F0" w:rsidP="002E28F0">
      <w:pPr>
        <w:ind w:left="720"/>
        <w:rPr>
          <w:i/>
          <w:sz w:val="20"/>
        </w:rPr>
      </w:pPr>
      <w:r w:rsidRPr="009629B5">
        <w:rPr>
          <w:i/>
          <w:sz w:val="20"/>
        </w:rPr>
        <w:t>Unsound logs sold with an oral warranty</w:t>
      </w:r>
    </w:p>
    <w:p w:rsidR="002E28F0" w:rsidRPr="009629B5" w:rsidRDefault="002E28F0" w:rsidP="002E28F0">
      <w:pPr>
        <w:ind w:left="720"/>
        <w:rPr>
          <w:sz w:val="20"/>
        </w:rPr>
      </w:pPr>
      <w:r w:rsidRPr="009629B5">
        <w:rPr>
          <w:sz w:val="20"/>
        </w:rPr>
        <w:t>To admit extrinsic evidence “would be to work in a circle, and to permit the very evil that [the parol evidence rule] was designed to prevent.”</w:t>
      </w:r>
      <w:r w:rsidRPr="009629B5">
        <w:rPr>
          <w:sz w:val="20"/>
        </w:rPr>
        <w:sym w:font="Wingdings" w:char="F0E0"/>
      </w:r>
      <w:r w:rsidRPr="009629B5">
        <w:rPr>
          <w:sz w:val="20"/>
        </w:rPr>
        <w:t xml:space="preserve"> admitting evidence assumes its relevance even if it’s later dismissed</w:t>
      </w:r>
    </w:p>
    <w:p w:rsidR="002E28F0" w:rsidRPr="009629B5" w:rsidRDefault="002E28F0" w:rsidP="002E28F0">
      <w:pPr>
        <w:pStyle w:val="Heading6"/>
        <w:rPr>
          <w:sz w:val="20"/>
        </w:rPr>
      </w:pPr>
      <w:r w:rsidRPr="009629B5">
        <w:rPr>
          <w:sz w:val="20"/>
        </w:rPr>
        <w:t>Brown v Oliver—1927</w:t>
      </w:r>
    </w:p>
    <w:p w:rsidR="002E28F0" w:rsidRPr="009629B5" w:rsidRDefault="002E28F0" w:rsidP="002E28F0">
      <w:pPr>
        <w:ind w:left="720"/>
        <w:rPr>
          <w:i/>
          <w:sz w:val="20"/>
        </w:rPr>
      </w:pPr>
      <w:r w:rsidRPr="009629B5">
        <w:rPr>
          <w:i/>
          <w:sz w:val="20"/>
        </w:rPr>
        <w:t>Was the hotel furniture included in the sale?</w:t>
      </w:r>
    </w:p>
    <w:p w:rsidR="002E28F0" w:rsidRPr="009629B5" w:rsidRDefault="002E28F0" w:rsidP="002476E1">
      <w:pPr>
        <w:spacing w:after="0"/>
        <w:ind w:left="720"/>
        <w:rPr>
          <w:sz w:val="20"/>
        </w:rPr>
      </w:pPr>
      <w:r w:rsidRPr="009629B5">
        <w:rPr>
          <w:sz w:val="20"/>
        </w:rPr>
        <w:t>Contra-</w:t>
      </w:r>
      <w:r w:rsidRPr="009629B5">
        <w:rPr>
          <w:i/>
          <w:sz w:val="20"/>
        </w:rPr>
        <w:t>Thompson</w:t>
      </w:r>
      <w:r w:rsidRPr="009629B5">
        <w:rPr>
          <w:sz w:val="20"/>
        </w:rPr>
        <w:t xml:space="preserve">—looks to extrinsic evidence—decided it was insufficient to prove that the furniture was a part of the final contract </w:t>
      </w:r>
      <w:r w:rsidRPr="009629B5">
        <w:rPr>
          <w:sz w:val="20"/>
        </w:rPr>
        <w:sym w:font="Wingdings" w:char="F0E0"/>
      </w:r>
      <w:r w:rsidRPr="009629B5">
        <w:rPr>
          <w:sz w:val="20"/>
        </w:rPr>
        <w:t xml:space="preserve"> enforced as a comprehensive document </w:t>
      </w:r>
    </w:p>
    <w:p w:rsidR="002476E1" w:rsidRPr="009629B5" w:rsidRDefault="002476E1" w:rsidP="002476E1">
      <w:pPr>
        <w:ind w:left="1440"/>
        <w:rPr>
          <w:sz w:val="20"/>
        </w:rPr>
      </w:pPr>
      <w:r w:rsidRPr="009629B5">
        <w:rPr>
          <w:sz w:val="20"/>
        </w:rPr>
        <w:t>*</w:t>
      </w:r>
      <w:r w:rsidR="002E28F0" w:rsidRPr="009629B5">
        <w:rPr>
          <w:sz w:val="20"/>
        </w:rPr>
        <w:t>(if buyer wants furniture, he can bargain with seller</w:t>
      </w:r>
      <w:r w:rsidRPr="009629B5">
        <w:rPr>
          <w:sz w:val="20"/>
        </w:rPr>
        <w:t>, but that requires consideration + add’l payment</w:t>
      </w:r>
      <w:r w:rsidR="002E28F0" w:rsidRPr="009629B5">
        <w:rPr>
          <w:sz w:val="20"/>
        </w:rPr>
        <w:t>)</w:t>
      </w:r>
    </w:p>
    <w:p w:rsidR="002476E1" w:rsidRPr="009629B5" w:rsidRDefault="002476E1" w:rsidP="002476E1">
      <w:pPr>
        <w:pStyle w:val="Heading6"/>
        <w:rPr>
          <w:sz w:val="20"/>
        </w:rPr>
      </w:pPr>
      <w:r w:rsidRPr="009629B5">
        <w:rPr>
          <w:sz w:val="20"/>
        </w:rPr>
        <w:t xml:space="preserve">Pacific Gas &amp; Electric v Thomas—1968—Traynor </w:t>
      </w:r>
    </w:p>
    <w:p w:rsidR="002476E1" w:rsidRPr="009629B5" w:rsidRDefault="002476E1" w:rsidP="002476E1">
      <w:pPr>
        <w:ind w:left="720"/>
        <w:rPr>
          <w:i/>
          <w:sz w:val="20"/>
        </w:rPr>
      </w:pPr>
      <w:r w:rsidRPr="009629B5">
        <w:rPr>
          <w:i/>
          <w:sz w:val="20"/>
        </w:rPr>
        <w:t>Thomas agreed to “indemnify” PG&amp;E against all losses—Thomas claimed this applied to only third-party injuries—despite plain language, Traynor examined extrinsic evidence</w:t>
      </w:r>
    </w:p>
    <w:p w:rsidR="00F25142" w:rsidRPr="009629B5" w:rsidRDefault="002476E1" w:rsidP="002476E1">
      <w:pPr>
        <w:ind w:left="720"/>
        <w:rPr>
          <w:sz w:val="20"/>
        </w:rPr>
      </w:pPr>
      <w:r w:rsidRPr="009629B5">
        <w:rPr>
          <w:sz w:val="20"/>
        </w:rPr>
        <w:t xml:space="preserve">In California—words </w:t>
      </w:r>
      <w:r w:rsidRPr="009629B5">
        <w:rPr>
          <w:b/>
          <w:sz w:val="20"/>
        </w:rPr>
        <w:t>“have no meaning”</w:t>
      </w:r>
      <w:r w:rsidRPr="009629B5">
        <w:rPr>
          <w:sz w:val="20"/>
        </w:rPr>
        <w:t xml:space="preserve"> apart from context in which they are used</w:t>
      </w:r>
      <w:r w:rsidRPr="009629B5">
        <w:rPr>
          <w:sz w:val="20"/>
        </w:rPr>
        <w:sym w:font="Wingdings" w:char="F0E0"/>
      </w:r>
      <w:r w:rsidRPr="009629B5">
        <w:rPr>
          <w:sz w:val="20"/>
        </w:rPr>
        <w:t xml:space="preserve"> ALWAYS look to extrinsic evidence</w:t>
      </w:r>
      <w:r w:rsidR="00F25142" w:rsidRPr="009629B5">
        <w:rPr>
          <w:sz w:val="20"/>
        </w:rPr>
        <w:t>—(costly but likely to give the parties what they actually bargained for)</w:t>
      </w:r>
    </w:p>
    <w:p w:rsidR="002476E1" w:rsidRPr="009629B5" w:rsidRDefault="00F25142" w:rsidP="00F25142">
      <w:pPr>
        <w:pStyle w:val="ListParagraph"/>
        <w:numPr>
          <w:ilvl w:val="0"/>
          <w:numId w:val="40"/>
        </w:numPr>
        <w:rPr>
          <w:b/>
          <w:sz w:val="20"/>
        </w:rPr>
      </w:pPr>
      <w:r w:rsidRPr="009629B5">
        <w:rPr>
          <w:b/>
          <w:sz w:val="20"/>
        </w:rPr>
        <w:t xml:space="preserve">Kozinski </w:t>
      </w:r>
      <w:r w:rsidRPr="009629B5">
        <w:rPr>
          <w:sz w:val="20"/>
        </w:rPr>
        <w:t xml:space="preserve">likely would have found indemnification clause ambiguous </w:t>
      </w:r>
      <w:r w:rsidRPr="009629B5">
        <w:rPr>
          <w:sz w:val="20"/>
        </w:rPr>
        <w:sym w:font="Wingdings" w:char="F0E0"/>
      </w:r>
      <w:r w:rsidRPr="009629B5">
        <w:rPr>
          <w:sz w:val="20"/>
        </w:rPr>
        <w:t xml:space="preserve"> justifying extrinsic evid. (same</w:t>
      </w:r>
      <w:r w:rsidRPr="009629B5">
        <w:rPr>
          <w:b/>
          <w:sz w:val="20"/>
        </w:rPr>
        <w:t>)</w:t>
      </w:r>
    </w:p>
    <w:p w:rsidR="002476E1" w:rsidRPr="009629B5" w:rsidRDefault="002476E1" w:rsidP="00F25142">
      <w:pPr>
        <w:pStyle w:val="Heading6"/>
        <w:rPr>
          <w:sz w:val="20"/>
        </w:rPr>
      </w:pPr>
      <w:r w:rsidRPr="009629B5">
        <w:rPr>
          <w:sz w:val="20"/>
        </w:rPr>
        <w:t>Trident Center v Connecticut General Life Insurance—1988—Kozinski</w:t>
      </w:r>
    </w:p>
    <w:p w:rsidR="00F25142" w:rsidRPr="009629B5" w:rsidRDefault="00F25142" w:rsidP="00F25142">
      <w:pPr>
        <w:ind w:left="720"/>
        <w:rPr>
          <w:i/>
          <w:sz w:val="20"/>
        </w:rPr>
      </w:pPr>
      <w:r w:rsidRPr="009629B5">
        <w:rPr>
          <w:i/>
          <w:sz w:val="20"/>
        </w:rPr>
        <w:t>Trident Center CANNOT prepay on a loan—however, one of the optionally-imposed penalties of default is compelled early payment in full (essentially a highly-taxed prepayment)</w:t>
      </w:r>
    </w:p>
    <w:p w:rsidR="00F25142" w:rsidRPr="009629B5" w:rsidRDefault="00F25142" w:rsidP="00F25142">
      <w:pPr>
        <w:ind w:left="720"/>
        <w:rPr>
          <w:sz w:val="20"/>
        </w:rPr>
      </w:pPr>
      <w:r w:rsidRPr="009629B5">
        <w:rPr>
          <w:sz w:val="20"/>
        </w:rPr>
        <w:t xml:space="preserve">Trident wants to force CGLI to allow it to prepay when its contract </w:t>
      </w:r>
      <w:r w:rsidRPr="009629B5">
        <w:rPr>
          <w:i/>
          <w:sz w:val="20"/>
        </w:rPr>
        <w:t>clearly</w:t>
      </w:r>
      <w:r w:rsidRPr="009629B5">
        <w:rPr>
          <w:sz w:val="20"/>
        </w:rPr>
        <w:t xml:space="preserve"> does not allow prepayment—Kozinski looks to extrinsic evidence—criticizes Traynor’s precedent—and enforces the contract as written</w:t>
      </w:r>
    </w:p>
    <w:p w:rsidR="00F25142" w:rsidRPr="009629B5" w:rsidRDefault="00F25142" w:rsidP="00F25142">
      <w:pPr>
        <w:pStyle w:val="ListParagraph"/>
        <w:numPr>
          <w:ilvl w:val="0"/>
          <w:numId w:val="40"/>
        </w:numPr>
        <w:rPr>
          <w:sz w:val="20"/>
        </w:rPr>
      </w:pPr>
      <w:r w:rsidRPr="009629B5">
        <w:rPr>
          <w:b/>
          <w:sz w:val="20"/>
        </w:rPr>
        <w:t>Kozinski’s approach</w:t>
      </w:r>
      <w:r w:rsidRPr="009629B5">
        <w:rPr>
          <w:sz w:val="20"/>
        </w:rPr>
        <w:t xml:space="preserve"> is more efficient than Traynor’s but less likely to get the parties’ bargain exactly right—incentivizes more clearly-drafted agreements</w:t>
      </w:r>
    </w:p>
    <w:p w:rsidR="009926BF" w:rsidRPr="009629B5" w:rsidRDefault="00F25142" w:rsidP="00F25142">
      <w:pPr>
        <w:pStyle w:val="ListParagraph"/>
        <w:numPr>
          <w:ilvl w:val="0"/>
          <w:numId w:val="40"/>
        </w:numPr>
        <w:rPr>
          <w:b/>
          <w:sz w:val="20"/>
        </w:rPr>
      </w:pPr>
      <w:r w:rsidRPr="009629B5">
        <w:rPr>
          <w:b/>
          <w:sz w:val="20"/>
        </w:rPr>
        <w:t xml:space="preserve">Traynor </w:t>
      </w:r>
      <w:r w:rsidRPr="009629B5">
        <w:rPr>
          <w:sz w:val="20"/>
        </w:rPr>
        <w:t xml:space="preserve">likely would have </w:t>
      </w:r>
      <w:r w:rsidR="009926BF" w:rsidRPr="009629B5">
        <w:rPr>
          <w:sz w:val="20"/>
        </w:rPr>
        <w:t>looked to extrinsic evidence and found that no prepayments means no prepayments</w:t>
      </w:r>
      <w:r w:rsidRPr="009629B5">
        <w:rPr>
          <w:sz w:val="20"/>
        </w:rPr>
        <w:t xml:space="preserve"> (same)</w:t>
      </w:r>
    </w:p>
    <w:p w:rsidR="002B6315" w:rsidRPr="009629B5" w:rsidRDefault="009926BF" w:rsidP="00F25142">
      <w:pPr>
        <w:pStyle w:val="ListParagraph"/>
        <w:numPr>
          <w:ilvl w:val="0"/>
          <w:numId w:val="40"/>
        </w:numPr>
        <w:rPr>
          <w:b/>
          <w:sz w:val="20"/>
        </w:rPr>
      </w:pPr>
      <w:r w:rsidRPr="009629B5">
        <w:rPr>
          <w:b/>
          <w:sz w:val="20"/>
        </w:rPr>
        <w:t>Despite probable agreement on both of these cases—would disagree on middle-ground cases</w:t>
      </w:r>
    </w:p>
    <w:p w:rsidR="009926BF" w:rsidRPr="009629B5" w:rsidRDefault="00492820" w:rsidP="00492820">
      <w:pPr>
        <w:pStyle w:val="Heading1"/>
        <w:rPr>
          <w:sz w:val="24"/>
        </w:rPr>
      </w:pPr>
      <w:bookmarkStart w:id="32" w:name="_Toc122512885"/>
      <w:r w:rsidRPr="009629B5">
        <w:rPr>
          <w:sz w:val="24"/>
        </w:rPr>
        <w:t>THE DOCTRINE OF CONSIDERATION</w:t>
      </w:r>
      <w:bookmarkEnd w:id="32"/>
    </w:p>
    <w:p w:rsidR="00492820" w:rsidRPr="009629B5" w:rsidRDefault="009926BF" w:rsidP="009926BF">
      <w:pPr>
        <w:jc w:val="center"/>
        <w:rPr>
          <w:sz w:val="20"/>
        </w:rPr>
      </w:pPr>
      <w:r w:rsidRPr="009629B5">
        <w:rPr>
          <w:sz w:val="20"/>
        </w:rPr>
        <w:t>Bargained-for-exchange</w:t>
      </w:r>
    </w:p>
    <w:p w:rsidR="009926BF" w:rsidRPr="009629B5" w:rsidRDefault="00492820" w:rsidP="00492820">
      <w:pPr>
        <w:pStyle w:val="Heading2"/>
        <w:rPr>
          <w:sz w:val="24"/>
        </w:rPr>
      </w:pPr>
      <w:bookmarkStart w:id="33" w:name="_Toc122512886"/>
      <w:r w:rsidRPr="009629B5">
        <w:rPr>
          <w:sz w:val="24"/>
        </w:rPr>
        <w:t>GRATUITOUS—Johnson—Hamer</w:t>
      </w:r>
      <w:bookmarkEnd w:id="33"/>
    </w:p>
    <w:p w:rsidR="009926BF" w:rsidRPr="009629B5" w:rsidRDefault="009926BF" w:rsidP="009926BF">
      <w:pPr>
        <w:pStyle w:val="Heading3"/>
        <w:rPr>
          <w:sz w:val="20"/>
        </w:rPr>
      </w:pPr>
      <w:bookmarkStart w:id="34" w:name="_Toc122512887"/>
      <w:r w:rsidRPr="009629B5">
        <w:rPr>
          <w:sz w:val="20"/>
        </w:rPr>
        <w:t>The Purple Envelope Hypothetical</w:t>
      </w:r>
      <w:bookmarkEnd w:id="34"/>
    </w:p>
    <w:p w:rsidR="009926BF" w:rsidRPr="009629B5" w:rsidRDefault="009926BF" w:rsidP="009926BF">
      <w:pPr>
        <w:ind w:left="720"/>
        <w:contextualSpacing/>
        <w:rPr>
          <w:sz w:val="20"/>
        </w:rPr>
      </w:pPr>
      <w:r w:rsidRPr="009629B5">
        <w:rPr>
          <w:sz w:val="20"/>
        </w:rPr>
        <w:t xml:space="preserve">Adler promises Amanda $1000—Amanda promises Adler $100 in a purple envelope—essentially </w:t>
      </w:r>
      <w:r w:rsidRPr="009629B5">
        <w:rPr>
          <w:i/>
          <w:sz w:val="20"/>
        </w:rPr>
        <w:t>Johnson</w:t>
      </w:r>
    </w:p>
    <w:p w:rsidR="009926BF" w:rsidRPr="009629B5" w:rsidRDefault="009926BF" w:rsidP="00856665">
      <w:pPr>
        <w:pStyle w:val="ListParagraph"/>
        <w:numPr>
          <w:ilvl w:val="0"/>
          <w:numId w:val="41"/>
        </w:numPr>
        <w:ind w:left="1080"/>
        <w:rPr>
          <w:b/>
          <w:sz w:val="20"/>
        </w:rPr>
      </w:pPr>
      <w:r w:rsidRPr="009629B5">
        <w:rPr>
          <w:sz w:val="20"/>
        </w:rPr>
        <w:t xml:space="preserve">essentially a gift of $900—promise is not enforceable because there was no exchange of consideration—the purple envelope is </w:t>
      </w:r>
      <w:r w:rsidRPr="009629B5">
        <w:rPr>
          <w:b/>
          <w:sz w:val="20"/>
        </w:rPr>
        <w:t>“sham consideration”</w:t>
      </w:r>
    </w:p>
    <w:p w:rsidR="009926BF" w:rsidRPr="009629B5" w:rsidRDefault="009926BF" w:rsidP="00856665">
      <w:pPr>
        <w:pStyle w:val="ListParagraph"/>
        <w:numPr>
          <w:ilvl w:val="0"/>
          <w:numId w:val="41"/>
        </w:numPr>
        <w:ind w:left="1080"/>
        <w:rPr>
          <w:b/>
          <w:sz w:val="20"/>
        </w:rPr>
      </w:pPr>
      <w:r w:rsidRPr="009629B5">
        <w:rPr>
          <w:sz w:val="20"/>
        </w:rPr>
        <w:t>how could we make this enforceable?  Prove that Adler places a legitimate fetish value on Amanda giving him $100 in a purple envelope</w:t>
      </w:r>
    </w:p>
    <w:p w:rsidR="009926BF" w:rsidRPr="009629B5" w:rsidRDefault="009926BF" w:rsidP="00856665">
      <w:pPr>
        <w:pStyle w:val="Heading6"/>
        <w:rPr>
          <w:sz w:val="20"/>
        </w:rPr>
      </w:pPr>
      <w:r w:rsidRPr="009629B5">
        <w:rPr>
          <w:sz w:val="20"/>
        </w:rPr>
        <w:t>Johnson v Otterbein University—1885</w:t>
      </w:r>
    </w:p>
    <w:p w:rsidR="00856665" w:rsidRPr="009629B5" w:rsidRDefault="00856665" w:rsidP="00856665">
      <w:pPr>
        <w:ind w:left="720"/>
        <w:rPr>
          <w:i/>
          <w:sz w:val="20"/>
        </w:rPr>
      </w:pPr>
      <w:r w:rsidRPr="009629B5">
        <w:rPr>
          <w:i/>
          <w:sz w:val="20"/>
        </w:rPr>
        <w:t>Johnson promises to donate money to OU—repudiates—Otterbein sues—no consideration</w:t>
      </w:r>
      <w:r w:rsidRPr="009629B5">
        <w:rPr>
          <w:i/>
          <w:sz w:val="20"/>
        </w:rPr>
        <w:sym w:font="Wingdings" w:char="F0E0"/>
      </w:r>
      <w:r w:rsidRPr="009629B5">
        <w:rPr>
          <w:i/>
          <w:sz w:val="20"/>
        </w:rPr>
        <w:t xml:space="preserve"> unenforceable</w:t>
      </w:r>
    </w:p>
    <w:p w:rsidR="000B38D3" w:rsidRPr="009629B5" w:rsidRDefault="00856665" w:rsidP="000B38D3">
      <w:pPr>
        <w:pStyle w:val="ListParagraph"/>
        <w:numPr>
          <w:ilvl w:val="0"/>
          <w:numId w:val="43"/>
        </w:numPr>
        <w:ind w:left="1080"/>
        <w:rPr>
          <w:b/>
          <w:sz w:val="20"/>
        </w:rPr>
      </w:pPr>
      <w:r w:rsidRPr="009629B5">
        <w:rPr>
          <w:b/>
          <w:sz w:val="20"/>
        </w:rPr>
        <w:t>Act of advantage to Johnson or detriment to the institution?</w:t>
      </w:r>
      <w:r w:rsidRPr="009629B5">
        <w:rPr>
          <w:sz w:val="20"/>
        </w:rPr>
        <w:t xml:space="preserve"> </w:t>
      </w:r>
      <w:r w:rsidR="00522A0B" w:rsidRPr="009629B5">
        <w:rPr>
          <w:sz w:val="20"/>
        </w:rPr>
        <w:t xml:space="preserve">(not required by R2C § 79) </w:t>
      </w:r>
      <w:r w:rsidRPr="009629B5">
        <w:rPr>
          <w:sz w:val="20"/>
        </w:rPr>
        <w:t xml:space="preserve">Either of these would indicate </w:t>
      </w:r>
      <w:r w:rsidRPr="009629B5">
        <w:rPr>
          <w:b/>
          <w:sz w:val="20"/>
        </w:rPr>
        <w:t>EXTRACTION</w:t>
      </w:r>
    </w:p>
    <w:p w:rsidR="000B38D3" w:rsidRPr="009629B5" w:rsidRDefault="004E2BC3" w:rsidP="000B38D3">
      <w:pPr>
        <w:pStyle w:val="ListParagraph"/>
        <w:numPr>
          <w:ilvl w:val="0"/>
          <w:numId w:val="43"/>
        </w:numPr>
        <w:ind w:left="1080"/>
        <w:rPr>
          <w:b/>
          <w:sz w:val="20"/>
        </w:rPr>
      </w:pPr>
      <w:r w:rsidRPr="009629B5">
        <w:rPr>
          <w:sz w:val="20"/>
        </w:rPr>
        <w:t>Condition is NOT an extraction</w:t>
      </w:r>
      <w:r w:rsidR="000B38D3" w:rsidRPr="009629B5">
        <w:rPr>
          <w:sz w:val="20"/>
        </w:rPr>
        <w:t xml:space="preserve"> </w:t>
      </w:r>
    </w:p>
    <w:p w:rsidR="00856665" w:rsidRPr="009629B5" w:rsidRDefault="000B38D3" w:rsidP="000B38D3">
      <w:pPr>
        <w:pStyle w:val="ListParagraph"/>
        <w:numPr>
          <w:ilvl w:val="0"/>
          <w:numId w:val="43"/>
        </w:numPr>
        <w:ind w:left="1080"/>
        <w:rPr>
          <w:b/>
          <w:sz w:val="20"/>
        </w:rPr>
      </w:pPr>
      <w:r w:rsidRPr="009629B5">
        <w:rPr>
          <w:b/>
          <w:sz w:val="20"/>
        </w:rPr>
        <w:t xml:space="preserve">Promissory estoppel: </w:t>
      </w:r>
      <w:r w:rsidRPr="009629B5">
        <w:rPr>
          <w:sz w:val="20"/>
        </w:rPr>
        <w:t xml:space="preserve">R2C § 90—“charitable subscription” is enforceable even without any showing of reliance </w:t>
      </w:r>
      <w:r w:rsidRPr="009629B5">
        <w:rPr>
          <w:i/>
          <w:sz w:val="20"/>
        </w:rPr>
        <w:t xml:space="preserve">[Johnson] </w:t>
      </w:r>
      <w:r w:rsidRPr="009629B5">
        <w:rPr>
          <w:sz w:val="20"/>
        </w:rPr>
        <w:t>forced to pay</w:t>
      </w:r>
    </w:p>
    <w:p w:rsidR="00856665" w:rsidRPr="009629B5" w:rsidRDefault="00856665" w:rsidP="00856665">
      <w:pPr>
        <w:pStyle w:val="Heading6"/>
        <w:rPr>
          <w:sz w:val="20"/>
        </w:rPr>
      </w:pPr>
      <w:r w:rsidRPr="009629B5">
        <w:rPr>
          <w:sz w:val="20"/>
        </w:rPr>
        <w:t>Hamer v Sidway—1891</w:t>
      </w:r>
    </w:p>
    <w:p w:rsidR="004E2BC3" w:rsidRPr="009629B5" w:rsidRDefault="004E2BC3" w:rsidP="00856665">
      <w:pPr>
        <w:ind w:left="720"/>
        <w:rPr>
          <w:i/>
          <w:sz w:val="20"/>
        </w:rPr>
      </w:pPr>
      <w:r w:rsidRPr="009629B5">
        <w:rPr>
          <w:i/>
          <w:sz w:val="20"/>
        </w:rPr>
        <w:t>Uncle promises nephew $5,000 to stay sober—kid does it, Uncle’s estate doesn’t want to pay</w:t>
      </w:r>
    </w:p>
    <w:p w:rsidR="00492820" w:rsidRPr="009629B5" w:rsidRDefault="004E2BC3" w:rsidP="00856665">
      <w:pPr>
        <w:ind w:left="720"/>
        <w:rPr>
          <w:sz w:val="20"/>
        </w:rPr>
      </w:pPr>
      <w:r w:rsidRPr="009629B5">
        <w:rPr>
          <w:sz w:val="20"/>
        </w:rPr>
        <w:t xml:space="preserve">Uncle </w:t>
      </w:r>
      <w:r w:rsidRPr="009629B5">
        <w:rPr>
          <w:b/>
          <w:sz w:val="20"/>
        </w:rPr>
        <w:t>EXTRACTED</w:t>
      </w:r>
      <w:r w:rsidRPr="009629B5">
        <w:rPr>
          <w:sz w:val="20"/>
        </w:rPr>
        <w:t xml:space="preserve"> behavior from nephew (restricted lawful freedom of action) in exchange for a promise</w:t>
      </w:r>
      <w:r w:rsidRPr="009629B5">
        <w:rPr>
          <w:sz w:val="20"/>
        </w:rPr>
        <w:sym w:font="Wingdings" w:char="F0E0"/>
      </w:r>
      <w:r w:rsidRPr="009629B5">
        <w:rPr>
          <w:sz w:val="20"/>
        </w:rPr>
        <w:t xml:space="preserve"> sufficient consideration—even if he would have given/promised the money anyway</w:t>
      </w:r>
      <w:r w:rsidR="00522A0B" w:rsidRPr="009629B5">
        <w:rPr>
          <w:sz w:val="20"/>
        </w:rPr>
        <w:t xml:space="preserve"> (R2C § 81)</w:t>
      </w:r>
      <w:r w:rsidRPr="009629B5">
        <w:rPr>
          <w:sz w:val="20"/>
        </w:rPr>
        <w:t>, extraction = enforceable</w:t>
      </w:r>
    </w:p>
    <w:p w:rsidR="004E2BC3" w:rsidRPr="009629B5" w:rsidRDefault="00492820" w:rsidP="00492820">
      <w:pPr>
        <w:pStyle w:val="Heading2"/>
        <w:rPr>
          <w:sz w:val="24"/>
        </w:rPr>
      </w:pPr>
      <w:bookmarkStart w:id="35" w:name="_Toc122512888"/>
      <w:r w:rsidRPr="009629B5">
        <w:rPr>
          <w:sz w:val="24"/>
        </w:rPr>
        <w:t>MORAL CONSIDERATION—Mills—Webb</w:t>
      </w:r>
      <w:bookmarkEnd w:id="35"/>
    </w:p>
    <w:p w:rsidR="004E2BC3" w:rsidRPr="009629B5" w:rsidRDefault="004E2BC3" w:rsidP="004E2BC3">
      <w:pPr>
        <w:pStyle w:val="ListParagraph"/>
        <w:numPr>
          <w:ilvl w:val="1"/>
          <w:numId w:val="42"/>
        </w:numPr>
        <w:ind w:left="720"/>
        <w:rPr>
          <w:sz w:val="20"/>
        </w:rPr>
      </w:pPr>
      <w:r w:rsidRPr="009629B5">
        <w:rPr>
          <w:sz w:val="20"/>
        </w:rPr>
        <w:t xml:space="preserve">No bargained-for-exchange </w:t>
      </w:r>
      <w:r w:rsidRPr="009629B5">
        <w:rPr>
          <w:i/>
          <w:sz w:val="20"/>
        </w:rPr>
        <w:t>at the time of promise</w:t>
      </w:r>
    </w:p>
    <w:p w:rsidR="004E2BC3" w:rsidRPr="009629B5" w:rsidRDefault="004E2BC3" w:rsidP="004E2BC3">
      <w:pPr>
        <w:pStyle w:val="ListParagraph"/>
        <w:numPr>
          <w:ilvl w:val="1"/>
          <w:numId w:val="42"/>
        </w:numPr>
        <w:ind w:left="720"/>
        <w:rPr>
          <w:sz w:val="20"/>
        </w:rPr>
      </w:pPr>
      <w:r w:rsidRPr="009629B5">
        <w:rPr>
          <w:b/>
          <w:sz w:val="20"/>
        </w:rPr>
        <w:t>Naked promise</w:t>
      </w:r>
      <w:r w:rsidRPr="009629B5">
        <w:rPr>
          <w:sz w:val="20"/>
        </w:rPr>
        <w:t>—when you receive the benefit of a promise and you’re morally bound to pay/perform</w:t>
      </w:r>
    </w:p>
    <w:p w:rsidR="004E2BC3" w:rsidRPr="009629B5" w:rsidRDefault="004E2BC3" w:rsidP="004E2BC3">
      <w:pPr>
        <w:pStyle w:val="ListParagraph"/>
        <w:numPr>
          <w:ilvl w:val="1"/>
          <w:numId w:val="42"/>
        </w:numPr>
        <w:ind w:left="720"/>
        <w:rPr>
          <w:sz w:val="20"/>
        </w:rPr>
      </w:pPr>
      <w:r w:rsidRPr="009629B5">
        <w:rPr>
          <w:sz w:val="20"/>
        </w:rPr>
        <w:t>Re-characterize the promise—</w:t>
      </w:r>
    </w:p>
    <w:p w:rsidR="004E2BC3" w:rsidRPr="009629B5" w:rsidRDefault="004E2BC3" w:rsidP="004E2BC3">
      <w:pPr>
        <w:pStyle w:val="ListParagraph"/>
        <w:numPr>
          <w:ilvl w:val="2"/>
          <w:numId w:val="42"/>
        </w:numPr>
        <w:ind w:left="1080"/>
        <w:rPr>
          <w:sz w:val="20"/>
        </w:rPr>
      </w:pPr>
      <w:r w:rsidRPr="009629B5">
        <w:rPr>
          <w:b/>
          <w:sz w:val="20"/>
        </w:rPr>
        <w:t>Renewal of a prior obligation</w:t>
      </w:r>
      <w:r w:rsidRPr="009629B5">
        <w:rPr>
          <w:sz w:val="20"/>
        </w:rPr>
        <w:t xml:space="preserve">. Why is a promise to repay a debt (after the statute of limitations has run on debt) an exception to the doctrine of consideration? </w:t>
      </w:r>
      <w:r w:rsidRPr="009629B5">
        <w:rPr>
          <w:sz w:val="20"/>
        </w:rPr>
        <w:sym w:font="Wingdings" w:char="F0E0"/>
      </w:r>
      <w:r w:rsidRPr="009629B5">
        <w:rPr>
          <w:sz w:val="20"/>
        </w:rPr>
        <w:t xml:space="preserve"> at one point there WAS consideration and the new promise just waives the statutory excuse</w:t>
      </w:r>
    </w:p>
    <w:p w:rsidR="004E2BC3" w:rsidRPr="009629B5" w:rsidRDefault="004E2BC3" w:rsidP="004E2BC3">
      <w:pPr>
        <w:pStyle w:val="ListParagraph"/>
        <w:numPr>
          <w:ilvl w:val="2"/>
          <w:numId w:val="42"/>
        </w:numPr>
        <w:ind w:left="1080"/>
        <w:rPr>
          <w:sz w:val="20"/>
        </w:rPr>
      </w:pPr>
      <w:r w:rsidRPr="009629B5">
        <w:rPr>
          <w:b/>
          <w:sz w:val="20"/>
        </w:rPr>
        <w:t>Quasi contract</w:t>
      </w:r>
      <w:r w:rsidRPr="009629B5">
        <w:rPr>
          <w:sz w:val="20"/>
        </w:rPr>
        <w:t>. Could reasonably say that promisor is bound regardless of promise (i.e. wandering bull cared for and collected) if you’re fairly certain that you’re owed the money expended to preserve someone else’s property</w:t>
      </w:r>
    </w:p>
    <w:p w:rsidR="00522A0B" w:rsidRPr="009629B5" w:rsidRDefault="004E2BC3" w:rsidP="00522A0B">
      <w:pPr>
        <w:pStyle w:val="Heading6"/>
        <w:rPr>
          <w:sz w:val="20"/>
        </w:rPr>
      </w:pPr>
      <w:r w:rsidRPr="009629B5">
        <w:rPr>
          <w:sz w:val="20"/>
        </w:rPr>
        <w:t xml:space="preserve">Mills v </w:t>
      </w:r>
      <w:r w:rsidR="00522A0B" w:rsidRPr="009629B5">
        <w:rPr>
          <w:sz w:val="20"/>
        </w:rPr>
        <w:t>Wyman—1825</w:t>
      </w:r>
    </w:p>
    <w:p w:rsidR="00522A0B" w:rsidRPr="009629B5" w:rsidRDefault="00522A0B" w:rsidP="00522A0B">
      <w:pPr>
        <w:ind w:left="720"/>
        <w:rPr>
          <w:i/>
          <w:sz w:val="20"/>
        </w:rPr>
      </w:pPr>
      <w:r w:rsidRPr="009629B5">
        <w:rPr>
          <w:i/>
          <w:sz w:val="20"/>
        </w:rPr>
        <w:t xml:space="preserve">25-year-old son dies in the care of a Good Samaritan </w:t>
      </w:r>
    </w:p>
    <w:p w:rsidR="00522A0B" w:rsidRPr="009629B5" w:rsidRDefault="00522A0B" w:rsidP="00522A0B">
      <w:pPr>
        <w:ind w:left="720"/>
        <w:rPr>
          <w:sz w:val="20"/>
        </w:rPr>
      </w:pPr>
      <w:r w:rsidRPr="009629B5">
        <w:rPr>
          <w:sz w:val="20"/>
        </w:rPr>
        <w:t xml:space="preserve">when services were administered they were </w:t>
      </w:r>
      <w:r w:rsidRPr="009629B5">
        <w:rPr>
          <w:b/>
          <w:sz w:val="20"/>
        </w:rPr>
        <w:t>A GIFT</w:t>
      </w:r>
      <w:r w:rsidRPr="009629B5">
        <w:rPr>
          <w:sz w:val="20"/>
        </w:rPr>
        <w:t xml:space="preserve"> </w:t>
      </w:r>
      <w:r w:rsidRPr="009629B5">
        <w:rPr>
          <w:sz w:val="20"/>
        </w:rPr>
        <w:sym w:font="Wingdings" w:char="F0E0"/>
      </w:r>
      <w:r w:rsidRPr="009629B5">
        <w:rPr>
          <w:sz w:val="20"/>
        </w:rPr>
        <w:t xml:space="preserve">  cannot collect on a promise of repayment made later</w:t>
      </w:r>
    </w:p>
    <w:p w:rsidR="00522A0B" w:rsidRPr="009629B5" w:rsidRDefault="00522A0B" w:rsidP="00522A0B">
      <w:pPr>
        <w:pStyle w:val="Heading6"/>
        <w:rPr>
          <w:sz w:val="20"/>
        </w:rPr>
      </w:pPr>
      <w:r w:rsidRPr="009629B5">
        <w:rPr>
          <w:sz w:val="20"/>
        </w:rPr>
        <w:t>Webb v McGowin—re-characterize as a quasi-contract</w:t>
      </w:r>
    </w:p>
    <w:p w:rsidR="00522A0B" w:rsidRPr="009629B5" w:rsidRDefault="00522A0B" w:rsidP="00522A0B">
      <w:pPr>
        <w:ind w:left="720"/>
        <w:rPr>
          <w:i/>
          <w:sz w:val="20"/>
        </w:rPr>
      </w:pPr>
      <w:r w:rsidRPr="009629B5">
        <w:rPr>
          <w:i/>
          <w:sz w:val="20"/>
        </w:rPr>
        <w:t>Webb fell off a building to keep from injuring McGowin—McGowin’s estate repudiated on payment</w:t>
      </w:r>
    </w:p>
    <w:p w:rsidR="00492820" w:rsidRPr="009629B5" w:rsidRDefault="00522A0B" w:rsidP="00522A0B">
      <w:pPr>
        <w:ind w:left="720"/>
        <w:rPr>
          <w:sz w:val="20"/>
        </w:rPr>
      </w:pPr>
      <w:r w:rsidRPr="009629B5">
        <w:rPr>
          <w:sz w:val="20"/>
        </w:rPr>
        <w:t xml:space="preserve">McGowin explicitly agreed to pay </w:t>
      </w:r>
      <w:r w:rsidRPr="009629B5">
        <w:rPr>
          <w:sz w:val="20"/>
        </w:rPr>
        <w:sym w:font="Wingdings" w:char="F0E0"/>
      </w:r>
      <w:r w:rsidRPr="009629B5">
        <w:rPr>
          <w:sz w:val="20"/>
        </w:rPr>
        <w:t xml:space="preserve"> looks like a </w:t>
      </w:r>
      <w:r w:rsidRPr="009629B5">
        <w:rPr>
          <w:b/>
          <w:caps/>
          <w:sz w:val="20"/>
        </w:rPr>
        <w:t>quasi-contract</w:t>
      </w:r>
      <w:r w:rsidRPr="009629B5">
        <w:rPr>
          <w:sz w:val="20"/>
        </w:rPr>
        <w:t>—promise made after the opportunity to bargain had passed and McGowin had benefitted from Webb’s action</w:t>
      </w:r>
    </w:p>
    <w:p w:rsidR="00522A0B" w:rsidRPr="009629B5" w:rsidRDefault="00492820" w:rsidP="00492820">
      <w:pPr>
        <w:pStyle w:val="Heading2"/>
        <w:rPr>
          <w:sz w:val="24"/>
        </w:rPr>
      </w:pPr>
      <w:bookmarkStart w:id="36" w:name="_Toc122512889"/>
      <w:r w:rsidRPr="009629B5">
        <w:rPr>
          <w:sz w:val="24"/>
        </w:rPr>
        <w:t>MODIFICATION—Stilk—Alaska Packers</w:t>
      </w:r>
      <w:bookmarkEnd w:id="36"/>
    </w:p>
    <w:p w:rsidR="003A6451" w:rsidRPr="009629B5" w:rsidRDefault="003A6451" w:rsidP="003A6451">
      <w:pPr>
        <w:jc w:val="center"/>
        <w:rPr>
          <w:i/>
          <w:sz w:val="20"/>
        </w:rPr>
      </w:pPr>
      <w:r w:rsidRPr="009629B5">
        <w:rPr>
          <w:i/>
          <w:sz w:val="20"/>
        </w:rPr>
        <w:t>Looking at lack of good faith—not really lack of consideration</w:t>
      </w:r>
    </w:p>
    <w:p w:rsidR="002A2364" w:rsidRPr="009629B5" w:rsidRDefault="002A2364" w:rsidP="002A2364">
      <w:pPr>
        <w:pStyle w:val="Heading3"/>
        <w:rPr>
          <w:sz w:val="20"/>
        </w:rPr>
      </w:pPr>
      <w:bookmarkStart w:id="37" w:name="_Toc122512890"/>
      <w:r w:rsidRPr="009629B5">
        <w:rPr>
          <w:sz w:val="20"/>
        </w:rPr>
        <w:t>Tricky Fishermen Hypothetical</w:t>
      </w:r>
      <w:bookmarkEnd w:id="37"/>
    </w:p>
    <w:p w:rsidR="002A2364" w:rsidRPr="009629B5" w:rsidRDefault="002A2364" w:rsidP="002A2364">
      <w:pPr>
        <w:ind w:left="720"/>
        <w:rPr>
          <w:sz w:val="20"/>
        </w:rPr>
      </w:pPr>
      <w:r w:rsidRPr="009629B5">
        <w:rPr>
          <w:sz w:val="20"/>
        </w:rPr>
        <w:t>Fisherman agree to work on a Captain’s boat for $50 plus two cents for every fish caught—Captain provides the industry standard of nets (lower quality than the fishermen expected)—not performing over the nets would breach the contract—fishermen owe captain expectation damages</w:t>
      </w:r>
    </w:p>
    <w:p w:rsidR="002A2364" w:rsidRPr="009629B5" w:rsidRDefault="002A2364" w:rsidP="002A2364">
      <w:pPr>
        <w:ind w:left="720"/>
        <w:rPr>
          <w:b/>
          <w:sz w:val="20"/>
        </w:rPr>
      </w:pPr>
      <w:r w:rsidRPr="009629B5">
        <w:rPr>
          <w:sz w:val="20"/>
        </w:rPr>
        <w:t>Fishermen announce that they would not work anyway unless the Captain promises them a fee of $100 in addition to the two cents per fish—</w:t>
      </w:r>
      <w:r w:rsidRPr="009629B5">
        <w:rPr>
          <w:b/>
          <w:sz w:val="20"/>
        </w:rPr>
        <w:t>Captain agrees, fishermen perform under “modified contract”—ENFORCEABLE?</w:t>
      </w:r>
    </w:p>
    <w:p w:rsidR="002A2364" w:rsidRPr="009629B5" w:rsidRDefault="002A2364" w:rsidP="002A2364">
      <w:pPr>
        <w:ind w:left="720"/>
        <w:rPr>
          <w:sz w:val="20"/>
        </w:rPr>
      </w:pPr>
      <w:r w:rsidRPr="009629B5">
        <w:rPr>
          <w:sz w:val="20"/>
        </w:rPr>
        <w:t>No—lacking consideration—fisherman agreed to do no more than their prior obligation for additional pay</w:t>
      </w:r>
    </w:p>
    <w:p w:rsidR="002A2364" w:rsidRPr="009629B5" w:rsidRDefault="002A2364" w:rsidP="00600E64">
      <w:pPr>
        <w:rPr>
          <w:sz w:val="20"/>
        </w:rPr>
      </w:pPr>
      <w:r w:rsidRPr="009629B5">
        <w:rPr>
          <w:b/>
          <w:sz w:val="20"/>
        </w:rPr>
        <w:t>R2C § 89</w:t>
      </w:r>
      <w:r w:rsidRPr="009629B5">
        <w:rPr>
          <w:sz w:val="20"/>
        </w:rPr>
        <w:t xml:space="preserve"> modification must be “fair and equitable in view of </w:t>
      </w:r>
      <w:r w:rsidR="00600E64" w:rsidRPr="009629B5">
        <w:rPr>
          <w:sz w:val="20"/>
        </w:rPr>
        <w:t>circumstances</w:t>
      </w:r>
      <w:r w:rsidRPr="009629B5">
        <w:rPr>
          <w:sz w:val="20"/>
        </w:rPr>
        <w:t xml:space="preserve"> not anticipated by the parties when the contract was made”</w:t>
      </w:r>
    </w:p>
    <w:p w:rsidR="002A2364" w:rsidRPr="009629B5" w:rsidRDefault="002A2364" w:rsidP="00600E64">
      <w:pPr>
        <w:rPr>
          <w:sz w:val="20"/>
        </w:rPr>
      </w:pPr>
      <w:r w:rsidRPr="009629B5">
        <w:rPr>
          <w:b/>
          <w:sz w:val="20"/>
        </w:rPr>
        <w:t>UCC § 2-209</w:t>
      </w:r>
      <w:r w:rsidRPr="009629B5">
        <w:rPr>
          <w:sz w:val="20"/>
        </w:rPr>
        <w:t xml:space="preserve"> “agreement modifying a contract within this Article needs no </w:t>
      </w:r>
      <w:r w:rsidR="00600E64" w:rsidRPr="009629B5">
        <w:rPr>
          <w:sz w:val="20"/>
        </w:rPr>
        <w:t>consideration to be binding” (but notes that extortion without legitimate commercial reason is ineffective as a violation of the duty of good faith)</w:t>
      </w:r>
    </w:p>
    <w:p w:rsidR="00600E64" w:rsidRPr="009629B5" w:rsidRDefault="002A2364" w:rsidP="00600E64">
      <w:pPr>
        <w:pStyle w:val="Heading6"/>
        <w:rPr>
          <w:sz w:val="20"/>
        </w:rPr>
      </w:pPr>
      <w:r w:rsidRPr="009629B5">
        <w:rPr>
          <w:sz w:val="20"/>
        </w:rPr>
        <w:t xml:space="preserve">Stilk v </w:t>
      </w:r>
      <w:r w:rsidR="00600E64" w:rsidRPr="009629B5">
        <w:rPr>
          <w:sz w:val="20"/>
        </w:rPr>
        <w:t>Myrick—1809</w:t>
      </w:r>
    </w:p>
    <w:p w:rsidR="00D04060" w:rsidRPr="009629B5" w:rsidRDefault="000A678C" w:rsidP="000A678C">
      <w:pPr>
        <w:ind w:left="720"/>
        <w:rPr>
          <w:i/>
          <w:sz w:val="20"/>
        </w:rPr>
      </w:pPr>
      <w:r w:rsidRPr="009629B5">
        <w:rPr>
          <w:i/>
          <w:sz w:val="20"/>
        </w:rPr>
        <w:t>Before leaving port sailors agreed to do “all they could under all the emergencies of the voyage”—two sailors deserted—in port the Captain promised that if he couldn’t find two replacements the deserters’ wages would be equally distributed among the remaining sailors—no formal exchange of consideration</w:t>
      </w:r>
    </w:p>
    <w:p w:rsidR="00D04060" w:rsidRPr="009629B5" w:rsidRDefault="00D04060" w:rsidP="00D04060">
      <w:pPr>
        <w:ind w:left="720"/>
        <w:rPr>
          <w:sz w:val="20"/>
        </w:rPr>
      </w:pPr>
      <w:r w:rsidRPr="009629B5">
        <w:rPr>
          <w:b/>
          <w:sz w:val="20"/>
        </w:rPr>
        <w:t>Policy argument:</w:t>
      </w:r>
      <w:r w:rsidRPr="009629B5">
        <w:rPr>
          <w:sz w:val="20"/>
        </w:rPr>
        <w:t xml:space="preserve"> what would happen if sailors were allowed to re-negotiate deals once the ship was out to sea? would devastate the relationship between captains and sailors</w:t>
      </w:r>
    </w:p>
    <w:p w:rsidR="000A678C" w:rsidRPr="009629B5" w:rsidRDefault="00D04060" w:rsidP="000A678C">
      <w:pPr>
        <w:ind w:left="720"/>
        <w:rPr>
          <w:b/>
          <w:sz w:val="20"/>
        </w:rPr>
      </w:pPr>
      <w:r w:rsidRPr="009629B5">
        <w:rPr>
          <w:b/>
          <w:sz w:val="20"/>
        </w:rPr>
        <w:t>Unenforceable—against public policy</w:t>
      </w:r>
    </w:p>
    <w:p w:rsidR="00D04060" w:rsidRPr="009629B5" w:rsidRDefault="00D04060" w:rsidP="00D04060">
      <w:pPr>
        <w:pStyle w:val="Heading6"/>
        <w:rPr>
          <w:sz w:val="20"/>
        </w:rPr>
      </w:pPr>
      <w:r w:rsidRPr="009629B5">
        <w:rPr>
          <w:sz w:val="20"/>
        </w:rPr>
        <w:t>Alaska Packers Association v Domenico—1902</w:t>
      </w:r>
    </w:p>
    <w:p w:rsidR="00D04060" w:rsidRPr="009629B5" w:rsidRDefault="00D04060" w:rsidP="002A2364">
      <w:pPr>
        <w:ind w:left="720"/>
        <w:rPr>
          <w:i/>
          <w:sz w:val="20"/>
        </w:rPr>
      </w:pPr>
      <w:r w:rsidRPr="009629B5">
        <w:rPr>
          <w:i/>
          <w:sz w:val="20"/>
        </w:rPr>
        <w:t>[same as hypo]—poor nets—at sea without readily available replacements—demand additional pay—granted</w:t>
      </w:r>
    </w:p>
    <w:p w:rsidR="00492820" w:rsidRPr="009629B5" w:rsidRDefault="00D04060" w:rsidP="002A2364">
      <w:pPr>
        <w:ind w:left="720"/>
        <w:rPr>
          <w:sz w:val="20"/>
        </w:rPr>
      </w:pPr>
      <w:r w:rsidRPr="009629B5">
        <w:rPr>
          <w:b/>
          <w:sz w:val="20"/>
        </w:rPr>
        <w:t>Unenforceable—takes advantage of Captain</w:t>
      </w:r>
      <w:r w:rsidR="003A6451" w:rsidRPr="009629B5">
        <w:rPr>
          <w:sz w:val="20"/>
        </w:rPr>
        <w:t xml:space="preserve">—rule should be to enforce </w:t>
      </w:r>
      <w:r w:rsidR="003A6451" w:rsidRPr="009629B5">
        <w:rPr>
          <w:i/>
          <w:sz w:val="20"/>
        </w:rPr>
        <w:t>when it appears that the fishermen would not have performed without the modification</w:t>
      </w:r>
    </w:p>
    <w:p w:rsidR="003A6451" w:rsidRPr="009629B5" w:rsidRDefault="006C74A0" w:rsidP="006C74A0">
      <w:pPr>
        <w:pStyle w:val="Heading1"/>
        <w:rPr>
          <w:sz w:val="24"/>
        </w:rPr>
      </w:pPr>
      <w:bookmarkStart w:id="38" w:name="_Toc122512891"/>
      <w:r w:rsidRPr="009629B5">
        <w:rPr>
          <w:sz w:val="24"/>
        </w:rPr>
        <w:t>PROMISSORY ESTOPPEL—Ricketts—Baird—Drennan—Goodman—Hoffman</w:t>
      </w:r>
      <w:bookmarkEnd w:id="38"/>
    </w:p>
    <w:p w:rsidR="000B38D3" w:rsidRPr="009629B5" w:rsidRDefault="00726AF0" w:rsidP="00726AF0">
      <w:pPr>
        <w:jc w:val="center"/>
        <w:rPr>
          <w:i/>
          <w:sz w:val="20"/>
        </w:rPr>
      </w:pPr>
      <w:r w:rsidRPr="009629B5">
        <w:rPr>
          <w:i/>
          <w:sz w:val="20"/>
        </w:rPr>
        <w:t>“</w:t>
      </w:r>
      <w:r w:rsidR="000B38D3" w:rsidRPr="009629B5">
        <w:rPr>
          <w:i/>
          <w:sz w:val="20"/>
        </w:rPr>
        <w:t>because</w:t>
      </w:r>
      <w:r w:rsidRPr="009629B5">
        <w:rPr>
          <w:i/>
          <w:sz w:val="20"/>
        </w:rPr>
        <w:t xml:space="preserve"> of your reliance, I would be estopped from denying that my promise lacked consideration</w:t>
      </w:r>
      <w:r w:rsidR="000B38D3" w:rsidRPr="009629B5">
        <w:rPr>
          <w:i/>
          <w:sz w:val="20"/>
        </w:rPr>
        <w:t>”</w:t>
      </w:r>
    </w:p>
    <w:p w:rsidR="000B38D3" w:rsidRPr="009629B5" w:rsidRDefault="000B38D3" w:rsidP="000B38D3">
      <w:pPr>
        <w:pStyle w:val="Heading3"/>
        <w:rPr>
          <w:sz w:val="20"/>
        </w:rPr>
      </w:pPr>
      <w:bookmarkStart w:id="39" w:name="_Toc122512892"/>
      <w:r w:rsidRPr="009629B5">
        <w:rPr>
          <w:sz w:val="20"/>
        </w:rPr>
        <w:t>Reliance Damages</w:t>
      </w:r>
      <w:bookmarkEnd w:id="39"/>
    </w:p>
    <w:p w:rsidR="00726AF0" w:rsidRPr="009629B5" w:rsidRDefault="000B38D3" w:rsidP="000B38D3">
      <w:pPr>
        <w:ind w:left="810"/>
        <w:rPr>
          <w:sz w:val="20"/>
        </w:rPr>
      </w:pPr>
      <w:r w:rsidRPr="009629B5">
        <w:rPr>
          <w:sz w:val="20"/>
        </w:rPr>
        <w:t>I promise to paint your house for free—you decline an offer for painting for $10—I repudiate—you cover for $12—</w:t>
      </w:r>
      <w:r w:rsidRPr="009629B5">
        <w:rPr>
          <w:b/>
          <w:sz w:val="20"/>
        </w:rPr>
        <w:t>I only owe you $2 because BUT FOR my promise you would have gotten the house painted for $10</w:t>
      </w:r>
      <w:r w:rsidRPr="009629B5">
        <w:rPr>
          <w:sz w:val="20"/>
        </w:rPr>
        <w:t xml:space="preserve"> (even though you </w:t>
      </w:r>
      <w:r w:rsidRPr="009629B5">
        <w:rPr>
          <w:i/>
          <w:sz w:val="20"/>
        </w:rPr>
        <w:t>expected</w:t>
      </w:r>
      <w:r w:rsidRPr="009629B5">
        <w:rPr>
          <w:sz w:val="20"/>
        </w:rPr>
        <w:t xml:space="preserve"> to get it for free and instead you have to pay $12—don’t generally get expectation)</w:t>
      </w:r>
    </w:p>
    <w:p w:rsidR="000B38D3" w:rsidRPr="009629B5" w:rsidRDefault="000B38D3" w:rsidP="000B38D3">
      <w:pPr>
        <w:pStyle w:val="Heading6"/>
        <w:rPr>
          <w:sz w:val="20"/>
        </w:rPr>
      </w:pPr>
      <w:r w:rsidRPr="009629B5">
        <w:rPr>
          <w:sz w:val="20"/>
        </w:rPr>
        <w:t>Rickets v Scothorn—1898</w:t>
      </w:r>
    </w:p>
    <w:p w:rsidR="00ED3C69" w:rsidRPr="009629B5" w:rsidRDefault="00ED3C69" w:rsidP="00ED3C69">
      <w:pPr>
        <w:ind w:left="720"/>
        <w:rPr>
          <w:i/>
          <w:sz w:val="20"/>
        </w:rPr>
      </w:pPr>
      <w:r w:rsidRPr="009629B5">
        <w:rPr>
          <w:i/>
          <w:sz w:val="20"/>
        </w:rPr>
        <w:t xml:space="preserve">Scothorn, relying on a promise from her grandfather’s will, quit her job to live off the promised cash.  He said “none of his grandchildren work and she shouldn’t have to.”  </w:t>
      </w:r>
    </w:p>
    <w:p w:rsidR="00ED3C69" w:rsidRPr="009629B5" w:rsidRDefault="00ED3C69" w:rsidP="00ED3C69">
      <w:pPr>
        <w:pStyle w:val="ListParagraph"/>
        <w:numPr>
          <w:ilvl w:val="0"/>
          <w:numId w:val="44"/>
        </w:numPr>
        <w:rPr>
          <w:sz w:val="20"/>
        </w:rPr>
      </w:pPr>
      <w:r w:rsidRPr="009629B5">
        <w:rPr>
          <w:sz w:val="20"/>
        </w:rPr>
        <w:t xml:space="preserve">“Her right to the money promised in the note was not made to depend upon on an abandonment of her employment.” </w:t>
      </w:r>
      <w:r w:rsidRPr="009629B5">
        <w:rPr>
          <w:i/>
          <w:sz w:val="20"/>
        </w:rPr>
        <w:t>(even a condition would not be sufficient consideration—Hamer v Siwell)</w:t>
      </w:r>
    </w:p>
    <w:p w:rsidR="00ED3C69" w:rsidRPr="009629B5" w:rsidRDefault="00ED3C69" w:rsidP="00ED3C69">
      <w:pPr>
        <w:pStyle w:val="ListParagraph"/>
        <w:numPr>
          <w:ilvl w:val="0"/>
          <w:numId w:val="44"/>
        </w:numPr>
        <w:rPr>
          <w:sz w:val="20"/>
        </w:rPr>
      </w:pPr>
      <w:r w:rsidRPr="009629B5">
        <w:rPr>
          <w:b/>
          <w:sz w:val="20"/>
        </w:rPr>
        <w:t>no bargained-for-exchange</w:t>
      </w:r>
      <w:r w:rsidRPr="009629B5">
        <w:rPr>
          <w:sz w:val="20"/>
        </w:rPr>
        <w:t xml:space="preserve"> </w:t>
      </w:r>
      <w:r w:rsidRPr="009629B5">
        <w:rPr>
          <w:sz w:val="20"/>
        </w:rPr>
        <w:sym w:font="Wingdings" w:char="F0E0"/>
      </w:r>
      <w:r w:rsidRPr="009629B5">
        <w:rPr>
          <w:sz w:val="20"/>
        </w:rPr>
        <w:t xml:space="preserve"> couldn’t usually enforce a gratuitous promise</w:t>
      </w:r>
    </w:p>
    <w:p w:rsidR="00ED3C69" w:rsidRPr="009629B5" w:rsidRDefault="00ED3C69" w:rsidP="00ED3C69">
      <w:pPr>
        <w:pStyle w:val="ListParagraph"/>
        <w:numPr>
          <w:ilvl w:val="0"/>
          <w:numId w:val="44"/>
        </w:numPr>
        <w:rPr>
          <w:sz w:val="20"/>
        </w:rPr>
      </w:pPr>
      <w:r w:rsidRPr="009629B5">
        <w:rPr>
          <w:sz w:val="20"/>
        </w:rPr>
        <w:t>BUT Scothorn</w:t>
      </w:r>
      <w:r w:rsidRPr="009629B5">
        <w:rPr>
          <w:b/>
          <w:sz w:val="20"/>
        </w:rPr>
        <w:t xml:space="preserve"> changed her position </w:t>
      </w:r>
      <w:r w:rsidRPr="009629B5">
        <w:rPr>
          <w:sz w:val="20"/>
        </w:rPr>
        <w:t>(</w:t>
      </w:r>
      <w:r w:rsidRPr="009629B5">
        <w:rPr>
          <w:i/>
          <w:sz w:val="20"/>
        </w:rPr>
        <w:t>at her grandfather’s implicit suggestion</w:t>
      </w:r>
      <w:r w:rsidRPr="009629B5">
        <w:rPr>
          <w:sz w:val="20"/>
        </w:rPr>
        <w:t>)</w:t>
      </w:r>
      <w:r w:rsidRPr="009629B5">
        <w:rPr>
          <w:b/>
          <w:sz w:val="20"/>
        </w:rPr>
        <w:t xml:space="preserve"> </w:t>
      </w:r>
      <w:r w:rsidRPr="009629B5">
        <w:rPr>
          <w:sz w:val="20"/>
        </w:rPr>
        <w:t>to her disadvantage,</w:t>
      </w:r>
      <w:r w:rsidRPr="009629B5">
        <w:rPr>
          <w:b/>
          <w:sz w:val="20"/>
        </w:rPr>
        <w:t xml:space="preserve"> relying on the promise</w:t>
      </w:r>
      <w:r w:rsidRPr="009629B5">
        <w:rPr>
          <w:sz w:val="20"/>
        </w:rPr>
        <w:t xml:space="preserve"> </w:t>
      </w:r>
      <w:r w:rsidRPr="009629B5">
        <w:rPr>
          <w:sz w:val="20"/>
        </w:rPr>
        <w:sym w:font="Wingdings" w:char="F0E0"/>
      </w:r>
    </w:p>
    <w:p w:rsidR="00ED3C69" w:rsidRPr="009629B5" w:rsidRDefault="00ED3C69" w:rsidP="00ED3C69">
      <w:pPr>
        <w:pStyle w:val="ListParagraph"/>
        <w:numPr>
          <w:ilvl w:val="0"/>
          <w:numId w:val="44"/>
        </w:numPr>
        <w:rPr>
          <w:b/>
          <w:sz w:val="20"/>
        </w:rPr>
      </w:pPr>
      <w:r w:rsidRPr="009629B5">
        <w:rPr>
          <w:b/>
          <w:sz w:val="20"/>
        </w:rPr>
        <w:t xml:space="preserve">Gratuitous promise is enforceable. </w:t>
      </w:r>
      <w:r w:rsidRPr="009629B5">
        <w:rPr>
          <w:sz w:val="20"/>
        </w:rPr>
        <w:t>(“</w:t>
      </w:r>
      <w:r w:rsidRPr="009629B5">
        <w:rPr>
          <w:i/>
          <w:sz w:val="20"/>
        </w:rPr>
        <w:t>Grossly inequitable</w:t>
      </w:r>
      <w:r w:rsidRPr="009629B5">
        <w:rPr>
          <w:sz w:val="20"/>
        </w:rPr>
        <w:t xml:space="preserve"> to permit [Grandfather] to resist payment on the ground that the promise was given without consideration.”)</w:t>
      </w:r>
    </w:p>
    <w:p w:rsidR="00ED3C69" w:rsidRPr="009629B5" w:rsidRDefault="00ED3C69" w:rsidP="00ED3C69">
      <w:pPr>
        <w:pStyle w:val="Heading6"/>
        <w:rPr>
          <w:sz w:val="20"/>
        </w:rPr>
      </w:pPr>
      <w:r w:rsidRPr="009629B5">
        <w:rPr>
          <w:sz w:val="20"/>
        </w:rPr>
        <w:t>Baird v Gimbel Brothers—</w:t>
      </w:r>
      <w:r w:rsidR="001F3382" w:rsidRPr="009629B5">
        <w:rPr>
          <w:sz w:val="20"/>
        </w:rPr>
        <w:t xml:space="preserve">1933—Hand </w:t>
      </w:r>
    </w:p>
    <w:p w:rsidR="001F3382" w:rsidRPr="009629B5" w:rsidRDefault="00ED3C69" w:rsidP="000B38D3">
      <w:pPr>
        <w:ind w:left="720"/>
        <w:rPr>
          <w:i/>
          <w:sz w:val="20"/>
        </w:rPr>
      </w:pPr>
      <w:r w:rsidRPr="009629B5">
        <w:rPr>
          <w:i/>
          <w:sz w:val="20"/>
        </w:rPr>
        <w:t>Construction bids—sub bids for linoleum</w:t>
      </w:r>
    </w:p>
    <w:p w:rsidR="001F3382" w:rsidRPr="009629B5" w:rsidRDefault="001F3382" w:rsidP="000B38D3">
      <w:pPr>
        <w:ind w:left="720"/>
        <w:rPr>
          <w:sz w:val="20"/>
        </w:rPr>
      </w:pPr>
      <w:r w:rsidRPr="009629B5">
        <w:rPr>
          <w:sz w:val="20"/>
        </w:rPr>
        <w:t xml:space="preserve">Baird relied on Gimbel’s bid in submitting his own BUT Gimbel’s offer was withdrawn before Baird accepted it (if he could prove </w:t>
      </w:r>
      <w:r w:rsidRPr="009629B5">
        <w:rPr>
          <w:b/>
          <w:sz w:val="20"/>
        </w:rPr>
        <w:t>implicit acceptance before offer was revoked</w:t>
      </w:r>
      <w:r w:rsidRPr="009629B5">
        <w:rPr>
          <w:sz w:val="20"/>
        </w:rPr>
        <w:t xml:space="preserve"> AND that he </w:t>
      </w:r>
      <w:r w:rsidRPr="009629B5">
        <w:rPr>
          <w:b/>
          <w:sz w:val="20"/>
        </w:rPr>
        <w:t>relied in detriment</w:t>
      </w:r>
      <w:r w:rsidRPr="009629B5">
        <w:rPr>
          <w:sz w:val="20"/>
        </w:rPr>
        <w:t xml:space="preserve"> to himself)</w:t>
      </w:r>
    </w:p>
    <w:p w:rsidR="001F3382" w:rsidRPr="009629B5" w:rsidRDefault="001F3382" w:rsidP="001F3382">
      <w:pPr>
        <w:pStyle w:val="Heading6"/>
        <w:rPr>
          <w:sz w:val="20"/>
        </w:rPr>
      </w:pPr>
      <w:r w:rsidRPr="009629B5">
        <w:rPr>
          <w:sz w:val="20"/>
        </w:rPr>
        <w:t xml:space="preserve">Drennan v Star Paving—1958—Traynor </w:t>
      </w:r>
    </w:p>
    <w:p w:rsidR="001F3382" w:rsidRPr="009629B5" w:rsidRDefault="00ED3C69" w:rsidP="001F3382">
      <w:pPr>
        <w:ind w:left="720"/>
        <w:rPr>
          <w:sz w:val="20"/>
        </w:rPr>
      </w:pPr>
      <w:r w:rsidRPr="009629B5">
        <w:rPr>
          <w:i/>
          <w:sz w:val="20"/>
        </w:rPr>
        <w:t xml:space="preserve"> </w:t>
      </w:r>
      <w:r w:rsidR="001F3382" w:rsidRPr="009629B5">
        <w:rPr>
          <w:sz w:val="20"/>
        </w:rPr>
        <w:t>Construction bids—Star relied on Drennan’s sub bid</w:t>
      </w:r>
    </w:p>
    <w:p w:rsidR="001F3382" w:rsidRPr="009629B5" w:rsidRDefault="001F3382" w:rsidP="001F3382">
      <w:pPr>
        <w:pStyle w:val="ListParagraph"/>
        <w:numPr>
          <w:ilvl w:val="0"/>
          <w:numId w:val="45"/>
        </w:numPr>
        <w:rPr>
          <w:sz w:val="20"/>
        </w:rPr>
      </w:pPr>
      <w:r w:rsidRPr="009629B5">
        <w:rPr>
          <w:sz w:val="20"/>
        </w:rPr>
        <w:t>Firm offer</w:t>
      </w:r>
    </w:p>
    <w:p w:rsidR="00590656" w:rsidRPr="009629B5" w:rsidRDefault="001F3382" w:rsidP="001F3382">
      <w:pPr>
        <w:pStyle w:val="ListParagraph"/>
        <w:numPr>
          <w:ilvl w:val="0"/>
          <w:numId w:val="45"/>
        </w:numPr>
        <w:rPr>
          <w:sz w:val="20"/>
        </w:rPr>
      </w:pPr>
      <w:r w:rsidRPr="009629B5">
        <w:rPr>
          <w:sz w:val="20"/>
        </w:rPr>
        <w:t xml:space="preserve">Implied offer of </w:t>
      </w:r>
      <w:r w:rsidR="00590656" w:rsidRPr="009629B5">
        <w:rPr>
          <w:sz w:val="20"/>
        </w:rPr>
        <w:t>irrevocability (in exchange for use in contractor’s bid)</w:t>
      </w:r>
    </w:p>
    <w:p w:rsidR="001F3382" w:rsidRPr="009629B5" w:rsidRDefault="00590656" w:rsidP="001F3382">
      <w:pPr>
        <w:pStyle w:val="ListParagraph"/>
        <w:numPr>
          <w:ilvl w:val="0"/>
          <w:numId w:val="45"/>
        </w:numPr>
        <w:rPr>
          <w:sz w:val="20"/>
        </w:rPr>
      </w:pPr>
      <w:r w:rsidRPr="009629B5">
        <w:rPr>
          <w:sz w:val="20"/>
        </w:rPr>
        <w:t>Conditionally accepted (and formally accepted if contractor’s bid is accepted)</w:t>
      </w:r>
    </w:p>
    <w:p w:rsidR="00590656" w:rsidRPr="009629B5" w:rsidRDefault="00590656" w:rsidP="001F3382">
      <w:pPr>
        <w:ind w:left="720"/>
        <w:rPr>
          <w:sz w:val="20"/>
        </w:rPr>
      </w:pPr>
      <w:r w:rsidRPr="009629B5">
        <w:rPr>
          <w:sz w:val="20"/>
        </w:rPr>
        <w:t>*</w:t>
      </w:r>
      <w:r w:rsidR="001F3382" w:rsidRPr="009629B5">
        <w:rPr>
          <w:sz w:val="20"/>
        </w:rPr>
        <w:t xml:space="preserve">Drennan’s bid was too low by  $7,800—Star’s marginal cost of cover was $3,800 </w:t>
      </w:r>
      <w:r w:rsidR="001F3382" w:rsidRPr="009629B5">
        <w:rPr>
          <w:sz w:val="20"/>
        </w:rPr>
        <w:sym w:font="Wingdings" w:char="F0E0"/>
      </w:r>
      <w:r w:rsidR="001F3382" w:rsidRPr="009629B5">
        <w:rPr>
          <w:sz w:val="20"/>
        </w:rPr>
        <w:t xml:space="preserve"> efficient for Drennan to pay reliance damages rather than perform on his original bid</w:t>
      </w:r>
    </w:p>
    <w:p w:rsidR="00590656" w:rsidRPr="009629B5" w:rsidRDefault="00590656" w:rsidP="00590656">
      <w:pPr>
        <w:pStyle w:val="Heading6"/>
        <w:rPr>
          <w:sz w:val="20"/>
        </w:rPr>
      </w:pPr>
      <w:r w:rsidRPr="009629B5">
        <w:rPr>
          <w:sz w:val="20"/>
        </w:rPr>
        <w:t>Goodman v Dicker—1948</w:t>
      </w:r>
    </w:p>
    <w:p w:rsidR="00590656" w:rsidRPr="009629B5" w:rsidRDefault="00590656" w:rsidP="00590656">
      <w:pPr>
        <w:ind w:left="720"/>
        <w:rPr>
          <w:i/>
          <w:sz w:val="20"/>
        </w:rPr>
      </w:pPr>
      <w:r w:rsidRPr="009629B5">
        <w:rPr>
          <w:i/>
          <w:sz w:val="20"/>
        </w:rPr>
        <w:t xml:space="preserve">Goodman </w:t>
      </w:r>
      <w:r w:rsidR="00934FDC" w:rsidRPr="009629B5">
        <w:rPr>
          <w:i/>
          <w:sz w:val="20"/>
        </w:rPr>
        <w:t>implied</w:t>
      </w:r>
      <w:r w:rsidRPr="009629B5">
        <w:rPr>
          <w:i/>
          <w:sz w:val="20"/>
        </w:rPr>
        <w:t xml:space="preserve"> Dicker’s app. to distribute Emerson Radios had been accepted—app. eventually denied</w:t>
      </w:r>
    </w:p>
    <w:p w:rsidR="00590656" w:rsidRPr="009629B5" w:rsidRDefault="00590656" w:rsidP="00590656">
      <w:pPr>
        <w:ind w:left="720"/>
        <w:rPr>
          <w:sz w:val="20"/>
        </w:rPr>
      </w:pPr>
      <w:r w:rsidRPr="009629B5">
        <w:rPr>
          <w:sz w:val="20"/>
        </w:rPr>
        <w:t xml:space="preserve">Goodman held to his </w:t>
      </w:r>
      <w:r w:rsidRPr="009629B5">
        <w:rPr>
          <w:b/>
          <w:sz w:val="20"/>
        </w:rPr>
        <w:t>insinuation</w:t>
      </w:r>
      <w:r w:rsidR="00934FDC" w:rsidRPr="009629B5">
        <w:rPr>
          <w:sz w:val="20"/>
        </w:rPr>
        <w:t xml:space="preserve"> (under </w:t>
      </w:r>
      <w:r w:rsidRPr="009629B5">
        <w:rPr>
          <w:sz w:val="20"/>
        </w:rPr>
        <w:t>equitable estoppel) that Dicker would get the franchise based on “settled principles” because: “his language…</w:t>
      </w:r>
      <w:r w:rsidRPr="009629B5">
        <w:rPr>
          <w:b/>
          <w:sz w:val="20"/>
        </w:rPr>
        <w:t>leads another to do what he would not otherwise have done</w:t>
      </w:r>
      <w:r w:rsidRPr="009629B5">
        <w:rPr>
          <w:sz w:val="20"/>
        </w:rPr>
        <w:t xml:space="preserve">” </w:t>
      </w:r>
    </w:p>
    <w:p w:rsidR="00590656" w:rsidRPr="009629B5" w:rsidRDefault="00590656" w:rsidP="00590656">
      <w:pPr>
        <w:pStyle w:val="Heading6"/>
        <w:rPr>
          <w:sz w:val="20"/>
        </w:rPr>
      </w:pPr>
      <w:r w:rsidRPr="009629B5">
        <w:rPr>
          <w:sz w:val="20"/>
        </w:rPr>
        <w:t>Hoffman v Red Owl—1965</w:t>
      </w:r>
    </w:p>
    <w:p w:rsidR="00590656" w:rsidRPr="009629B5" w:rsidRDefault="00590656" w:rsidP="00590656">
      <w:pPr>
        <w:ind w:left="720"/>
        <w:rPr>
          <w:i/>
          <w:sz w:val="20"/>
        </w:rPr>
      </w:pPr>
      <w:r w:rsidRPr="009629B5">
        <w:rPr>
          <w:i/>
          <w:sz w:val="20"/>
        </w:rPr>
        <w:t>Aspiring grocer moves all over and spends tons of money</w:t>
      </w:r>
    </w:p>
    <w:p w:rsidR="00590656" w:rsidRPr="009629B5" w:rsidRDefault="00590656" w:rsidP="00590656">
      <w:pPr>
        <w:ind w:left="720"/>
        <w:rPr>
          <w:sz w:val="20"/>
        </w:rPr>
      </w:pPr>
      <w:r w:rsidRPr="009629B5">
        <w:rPr>
          <w:sz w:val="20"/>
        </w:rPr>
        <w:t xml:space="preserve">No final agreement BUT relying on promises Hoffman incurred detriment </w:t>
      </w:r>
      <w:r w:rsidRPr="009629B5">
        <w:rPr>
          <w:sz w:val="20"/>
        </w:rPr>
        <w:sym w:font="Wingdings" w:char="F0E0"/>
      </w:r>
      <w:r w:rsidRPr="009629B5">
        <w:rPr>
          <w:sz w:val="20"/>
        </w:rPr>
        <w:t xml:space="preserve"> promissory estoppel, Red Owl owes damages</w:t>
      </w:r>
    </w:p>
    <w:p w:rsidR="006C74A0" w:rsidRPr="009629B5" w:rsidRDefault="00590656" w:rsidP="00590656">
      <w:pPr>
        <w:ind w:left="720"/>
        <w:rPr>
          <w:sz w:val="20"/>
        </w:rPr>
      </w:pPr>
      <w:r w:rsidRPr="009629B5">
        <w:rPr>
          <w:b/>
          <w:sz w:val="20"/>
        </w:rPr>
        <w:t>Adler</w:t>
      </w:r>
      <w:r w:rsidRPr="009629B5">
        <w:rPr>
          <w:sz w:val="20"/>
        </w:rPr>
        <w:t xml:space="preserve">:  at least implicitly bargained for the expenses incurred </w:t>
      </w:r>
      <w:r w:rsidRPr="009629B5">
        <w:rPr>
          <w:sz w:val="20"/>
        </w:rPr>
        <w:sym w:font="Wingdings" w:char="F0E0"/>
      </w:r>
      <w:r w:rsidRPr="009629B5">
        <w:rPr>
          <w:sz w:val="20"/>
        </w:rPr>
        <w:t xml:space="preserve"> enforceable without promissory estoppel</w:t>
      </w:r>
    </w:p>
    <w:p w:rsidR="009B64E7" w:rsidRDefault="007666CA" w:rsidP="007666CA">
      <w:pPr>
        <w:pStyle w:val="Heading1"/>
        <w:rPr>
          <w:sz w:val="24"/>
        </w:rPr>
      </w:pPr>
      <w:bookmarkStart w:id="40" w:name="_Toc122512893"/>
      <w:r w:rsidRPr="009629B5">
        <w:rPr>
          <w:sz w:val="24"/>
        </w:rPr>
        <w:t>BREACH &amp; CONSTRUCTIVE CONDITION—Jacob &amp; Youngs—Groves—Peevyhouse</w:t>
      </w:r>
      <w:bookmarkEnd w:id="40"/>
      <w:r w:rsidRPr="009629B5">
        <w:rPr>
          <w:sz w:val="24"/>
        </w:rPr>
        <w:t xml:space="preserve"> </w:t>
      </w:r>
    </w:p>
    <w:p w:rsidR="00B3687B" w:rsidRDefault="00B3687B" w:rsidP="009B64E7">
      <w:r>
        <w:t>Damages—cost of completion or market value difference?</w:t>
      </w:r>
    </w:p>
    <w:p w:rsidR="00B3687B" w:rsidRDefault="00B3687B" w:rsidP="00B3687B">
      <w:pPr>
        <w:pStyle w:val="Heading6"/>
      </w:pPr>
      <w:r>
        <w:t>Jacob &amp; Youngs v Kent—1921—Cardozo—Market Value Difference</w:t>
      </w:r>
    </w:p>
    <w:p w:rsidR="00B3687B" w:rsidRDefault="006C242B" w:rsidP="00B3687B">
      <w:pPr>
        <w:ind w:left="360"/>
      </w:pPr>
      <w:r>
        <w:t xml:space="preserve">Wrong Pipe.  </w:t>
      </w:r>
      <w:r w:rsidR="00B3687B" w:rsidRPr="006C242B">
        <w:rPr>
          <w:b/>
        </w:rPr>
        <w:t>No material breach</w:t>
      </w:r>
      <w:r w:rsidR="00B3687B">
        <w:t xml:space="preserve"> (Cardozo: not material because not willful) </w:t>
      </w:r>
      <w:r w:rsidR="00B3687B">
        <w:sym w:font="Wingdings" w:char="F0E0"/>
      </w:r>
      <w:r w:rsidR="00B3687B">
        <w:t xml:space="preserve"> Damages = “Market differential” </w:t>
      </w:r>
      <w:r w:rsidR="00B3687B">
        <w:sym w:font="Wingdings" w:char="F0E0"/>
      </w:r>
      <w:r w:rsidR="00B3687B">
        <w:t xml:space="preserve"> 0—though it would be costly to replace the pipe, it </w:t>
      </w:r>
      <w:r w:rsidR="00B3687B" w:rsidRPr="006C242B">
        <w:rPr>
          <w:b/>
        </w:rPr>
        <w:t>wouldn’t add any value to the home</w:t>
      </w:r>
      <w:r w:rsidR="00B3687B">
        <w:t xml:space="preserve"> </w:t>
      </w:r>
      <w:r w:rsidR="00B3687B">
        <w:sym w:font="Wingdings" w:char="F0E0"/>
      </w:r>
      <w:r w:rsidR="00B3687B">
        <w:t xml:space="preserve"> no damages</w:t>
      </w:r>
    </w:p>
    <w:p w:rsidR="006C242B" w:rsidRDefault="00B3687B" w:rsidP="006C242B">
      <w:pPr>
        <w:pStyle w:val="Heading6"/>
      </w:pPr>
      <w:r>
        <w:t>Groves v John Wunder—1939</w:t>
      </w:r>
      <w:r w:rsidR="006C242B">
        <w:t>—Cost of Completion</w:t>
      </w:r>
    </w:p>
    <w:p w:rsidR="006C242B" w:rsidRPr="006C242B" w:rsidRDefault="006C242B" w:rsidP="006C242B">
      <w:pPr>
        <w:ind w:left="360"/>
      </w:pPr>
      <w:r>
        <w:rPr>
          <w:b/>
        </w:rPr>
        <w:t>B</w:t>
      </w:r>
      <w:r w:rsidRPr="006C242B">
        <w:rPr>
          <w:b/>
        </w:rPr>
        <w:t xml:space="preserve">reach was </w:t>
      </w:r>
      <w:r>
        <w:rPr>
          <w:b/>
        </w:rPr>
        <w:t>m</w:t>
      </w:r>
      <w:r w:rsidRPr="006C242B">
        <w:rPr>
          <w:b/>
        </w:rPr>
        <w:t xml:space="preserve">aterial </w:t>
      </w:r>
      <w:r w:rsidRPr="006C242B">
        <w:rPr>
          <w:b/>
        </w:rPr>
        <w:sym w:font="Wingdings" w:char="F0E0"/>
      </w:r>
      <w:r w:rsidRPr="006C242B">
        <w:rPr>
          <w:b/>
        </w:rPr>
        <w:t xml:space="preserve"> owes cost of performance</w:t>
      </w:r>
    </w:p>
    <w:p w:rsidR="006C242B" w:rsidRDefault="006C242B" w:rsidP="006C242B">
      <w:pPr>
        <w:ind w:left="360"/>
      </w:pPr>
      <w:r>
        <w:t>Groves contracted to have his land leveled—the contracted company willfully repudiated—Groves said it will cost him $60,000 to level the land, land would only be worth $12,000 if leveled</w:t>
      </w:r>
    </w:p>
    <w:p w:rsidR="006C242B" w:rsidRDefault="006C242B" w:rsidP="006C242B">
      <w:pPr>
        <w:pStyle w:val="Heading6"/>
      </w:pPr>
      <w:r>
        <w:t>Peevyhouse v Garland Coal Mining—1962—Market Value Difference</w:t>
      </w:r>
    </w:p>
    <w:p w:rsidR="00A60A52" w:rsidRDefault="006C242B" w:rsidP="006C242B">
      <w:pPr>
        <w:ind w:left="360"/>
        <w:rPr>
          <w:b/>
        </w:rPr>
      </w:pPr>
      <w:r>
        <w:t>Garland supposed to do clean up work on strip mines on Peevyhouse’s property after it finished with them—repudiated—cost of the work would have been $29,000—land would be improved by only a few hundred dollars—the total value of the land less than $5,000—</w:t>
      </w:r>
      <w:r w:rsidRPr="006C242B">
        <w:rPr>
          <w:b/>
        </w:rPr>
        <w:t>granted only $300</w:t>
      </w:r>
      <w:r>
        <w:rPr>
          <w:b/>
        </w:rPr>
        <w:t>, court found no idiosyncratic value</w:t>
      </w:r>
    </w:p>
    <w:p w:rsidR="007666CA" w:rsidRPr="009B64E7" w:rsidRDefault="00A60A52" w:rsidP="006C242B">
      <w:pPr>
        <w:ind w:left="360"/>
      </w:pPr>
      <w:r w:rsidRPr="00A60A52">
        <w:rPr>
          <w:b/>
        </w:rPr>
        <w:t>**</w:t>
      </w:r>
      <w:r>
        <w:rPr>
          <w:b/>
        </w:rPr>
        <w:t xml:space="preserve">Dissent: </w:t>
      </w:r>
      <w:r w:rsidRPr="00A60A52">
        <w:rPr>
          <w:b/>
        </w:rPr>
        <w:t>look for changed circumstances</w:t>
      </w:r>
      <w:r>
        <w:t>—if the parties could not anticipate the high cost when they contracted then the court will not award the high cost of completion damages; if, however, there are no changed circumstances the parties would have been taken into account the cost of completion in their bargaining and it should be awarded</w:t>
      </w:r>
    </w:p>
    <w:p w:rsidR="00487BC2" w:rsidRPr="009629B5" w:rsidRDefault="00487BC2" w:rsidP="00487BC2">
      <w:pPr>
        <w:pStyle w:val="Heading1"/>
        <w:rPr>
          <w:sz w:val="24"/>
        </w:rPr>
      </w:pPr>
      <w:bookmarkStart w:id="41" w:name="_Toc122512894"/>
      <w:r w:rsidRPr="009629B5">
        <w:rPr>
          <w:sz w:val="24"/>
        </w:rPr>
        <w:t>FAILURE OF BASIC ASSUMPTION—Sherwood—</w:t>
      </w:r>
      <w:r w:rsidR="00FF70A2" w:rsidRPr="00FF70A2">
        <w:rPr>
          <w:sz w:val="24"/>
        </w:rPr>
        <w:t xml:space="preserve"> </w:t>
      </w:r>
      <w:r w:rsidR="00FF70A2" w:rsidRPr="009629B5">
        <w:rPr>
          <w:sz w:val="24"/>
        </w:rPr>
        <w:t xml:space="preserve">Laidlaw— </w:t>
      </w:r>
      <w:r w:rsidRPr="009629B5">
        <w:rPr>
          <w:sz w:val="24"/>
        </w:rPr>
        <w:t>Nester—Wood—Paradine—Taylor</w:t>
      </w:r>
      <w:bookmarkEnd w:id="41"/>
    </w:p>
    <w:p w:rsidR="0024747A" w:rsidRDefault="0024747A" w:rsidP="0024747A">
      <w:pPr>
        <w:pStyle w:val="Heading6"/>
      </w:pPr>
      <w:r>
        <w:t>Sherwood v Walker—1887</w:t>
      </w:r>
    </w:p>
    <w:p w:rsidR="0024747A" w:rsidRDefault="0024747A" w:rsidP="00685DF9">
      <w:pPr>
        <w:ind w:left="360"/>
      </w:pPr>
      <w:r>
        <w:rPr>
          <w:i/>
        </w:rPr>
        <w:t xml:space="preserve">The case of the fertile cow </w:t>
      </w:r>
      <w:r w:rsidRPr="00685DF9">
        <w:rPr>
          <w:b/>
        </w:rPr>
        <w:t>both thought she was barren</w:t>
      </w:r>
      <w:r>
        <w:sym w:font="Wingdings" w:char="F0E0"/>
      </w:r>
      <w:r w:rsidR="00685DF9">
        <w:t xml:space="preserve"> </w:t>
      </w:r>
      <w:r>
        <w:t>$80—with calf</w:t>
      </w:r>
      <w:r>
        <w:sym w:font="Wingdings" w:char="F0E0"/>
      </w:r>
      <w:r>
        <w:t xml:space="preserve"> worth $850—Walker tries to rescind </w:t>
      </w:r>
    </w:p>
    <w:p w:rsidR="0024747A" w:rsidRDefault="0024747A" w:rsidP="00685DF9">
      <w:pPr>
        <w:ind w:left="360"/>
      </w:pPr>
      <w:r>
        <w:t>**price differential insufficient to prove a material difference in interpretation</w:t>
      </w:r>
    </w:p>
    <w:p w:rsidR="0024747A" w:rsidRDefault="00685DF9" w:rsidP="00685DF9">
      <w:pPr>
        <w:ind w:left="360"/>
      </w:pPr>
      <w:r w:rsidRPr="00685DF9">
        <w:rPr>
          <w:b/>
        </w:rPr>
        <w:t>RULE:</w:t>
      </w:r>
      <w:r>
        <w:t xml:space="preserve"> </w:t>
      </w:r>
      <w:r w:rsidR="0024747A">
        <w:t>a party who has given an apparent consent to a contract of sale may refuse to execute it, or he may avoid it after it has been completed, if the assent was founded, or the contract made, upon the mistake of a material fact.</w:t>
      </w:r>
    </w:p>
    <w:p w:rsidR="00685DF9" w:rsidRDefault="00685DF9" w:rsidP="00685DF9">
      <w:pPr>
        <w:spacing w:after="0"/>
        <w:ind w:left="1080"/>
      </w:pPr>
      <w:r w:rsidRPr="00685DF9">
        <w:rPr>
          <w:i/>
        </w:rPr>
        <w:t>Common law</w:t>
      </w:r>
      <w:r>
        <w:t xml:space="preserve">: mistake goes to the </w:t>
      </w:r>
      <w:r w:rsidRPr="00685DF9">
        <w:rPr>
          <w:b/>
        </w:rPr>
        <w:t>essence</w:t>
      </w:r>
      <w:r>
        <w:t xml:space="preserve"> of the contract </w:t>
      </w:r>
      <w:r>
        <w:sym w:font="Wingdings" w:char="F0E0"/>
      </w:r>
      <w:r>
        <w:t xml:space="preserve"> not enforceable</w:t>
      </w:r>
    </w:p>
    <w:p w:rsidR="00685DF9" w:rsidRDefault="00685DF9" w:rsidP="00685DF9">
      <w:pPr>
        <w:ind w:left="1080"/>
      </w:pPr>
      <w:r w:rsidRPr="00685DF9">
        <w:rPr>
          <w:i/>
        </w:rPr>
        <w:t>Statute</w:t>
      </w:r>
      <w:r>
        <w:t xml:space="preserve">: mistake as to </w:t>
      </w:r>
      <w:r w:rsidRPr="00685DF9">
        <w:rPr>
          <w:b/>
        </w:rPr>
        <w:t>basic assumption</w:t>
      </w:r>
      <w:r>
        <w:t xml:space="preserve"> that is material </w:t>
      </w:r>
      <w:r>
        <w:sym w:font="Wingdings" w:char="F0E0"/>
      </w:r>
      <w:r>
        <w:t xml:space="preserve"> not enforceable</w:t>
      </w:r>
    </w:p>
    <w:p w:rsidR="0024747A" w:rsidRDefault="00685DF9" w:rsidP="00685DF9">
      <w:pPr>
        <w:ind w:left="360"/>
      </w:pPr>
      <w:r>
        <w:rPr>
          <w:b/>
        </w:rPr>
        <w:t>DECISION</w:t>
      </w:r>
      <w:r>
        <w:t xml:space="preserve">: </w:t>
      </w:r>
      <w:r w:rsidR="0024747A">
        <w:t xml:space="preserve">beef cow is substantially different from breeding cow </w:t>
      </w:r>
      <w:r w:rsidR="0024747A">
        <w:sym w:font="Wingdings" w:char="F0E0"/>
      </w:r>
      <w:r>
        <w:t xml:space="preserve"> contract void</w:t>
      </w:r>
    </w:p>
    <w:p w:rsidR="0024747A" w:rsidRDefault="0024747A" w:rsidP="0053558E">
      <w:pPr>
        <w:pStyle w:val="Heading3"/>
      </w:pPr>
      <w:bookmarkStart w:id="42" w:name="_Toc122512895"/>
      <w:r>
        <w:t>Expert Painter Mis</w:t>
      </w:r>
      <w:r w:rsidR="0053558E">
        <w:t>-</w:t>
      </w:r>
      <w:r>
        <w:t>quotes Price</w:t>
      </w:r>
      <w:bookmarkEnd w:id="42"/>
    </w:p>
    <w:p w:rsidR="0053558E" w:rsidRDefault="0024747A" w:rsidP="0053558E">
      <w:pPr>
        <w:tabs>
          <w:tab w:val="left" w:pos="90"/>
        </w:tabs>
        <w:ind w:left="360"/>
        <w:rPr>
          <w:rFonts w:cs="Tahoma"/>
          <w:color w:val="000000"/>
          <w:szCs w:val="19"/>
        </w:rPr>
      </w:pPr>
      <w:r w:rsidRPr="0005021D">
        <w:rPr>
          <w:rFonts w:cs="Tahoma"/>
          <w:color w:val="000000"/>
          <w:szCs w:val="19"/>
        </w:rPr>
        <w:t xml:space="preserve">I </w:t>
      </w:r>
      <w:r w:rsidR="0053558E">
        <w:rPr>
          <w:rFonts w:cs="Tahoma"/>
          <w:color w:val="000000"/>
          <w:szCs w:val="19"/>
        </w:rPr>
        <w:t>will</w:t>
      </w:r>
      <w:r w:rsidRPr="0005021D">
        <w:rPr>
          <w:rFonts w:cs="Tahoma"/>
          <w:color w:val="000000"/>
          <w:szCs w:val="19"/>
        </w:rPr>
        <w:t xml:space="preserve"> paint your house </w:t>
      </w:r>
      <w:r w:rsidR="0053558E">
        <w:rPr>
          <w:rFonts w:cs="Tahoma"/>
          <w:color w:val="000000"/>
          <w:szCs w:val="19"/>
        </w:rPr>
        <w:t>for $10,000—you pay me after completion—I used lower quality paint than we agreed—material?</w:t>
      </w:r>
      <w:r w:rsidRPr="0005021D">
        <w:rPr>
          <w:rFonts w:cs="Tahoma"/>
          <w:color w:val="000000"/>
          <w:szCs w:val="19"/>
        </w:rPr>
        <w:t xml:space="preserve"> </w:t>
      </w:r>
    </w:p>
    <w:p w:rsidR="0053558E" w:rsidRDefault="0053558E" w:rsidP="0053558E">
      <w:pPr>
        <w:tabs>
          <w:tab w:val="left" w:pos="90"/>
        </w:tabs>
        <w:ind w:left="1080"/>
        <w:rPr>
          <w:rFonts w:cs="Tahoma"/>
          <w:color w:val="000000"/>
          <w:szCs w:val="17"/>
        </w:rPr>
      </w:pPr>
      <w:r>
        <w:rPr>
          <w:rFonts w:cs="Tahoma"/>
          <w:color w:val="000000"/>
          <w:szCs w:val="19"/>
        </w:rPr>
        <w:t xml:space="preserve">Yes—you are </w:t>
      </w:r>
      <w:r w:rsidR="0024747A" w:rsidRPr="0005021D">
        <w:rPr>
          <w:rFonts w:cs="Tahoma"/>
          <w:color w:val="000000"/>
          <w:szCs w:val="17"/>
        </w:rPr>
        <w:t>not obligated to pay for the work unless I cure</w:t>
      </w:r>
      <w:r>
        <w:rPr>
          <w:rFonts w:cs="Tahoma"/>
          <w:color w:val="000000"/>
          <w:szCs w:val="17"/>
        </w:rPr>
        <w:t>—delay</w:t>
      </w:r>
      <w:r w:rsidR="0024747A" w:rsidRPr="0005021D">
        <w:rPr>
          <w:rFonts w:cs="Tahoma"/>
          <w:color w:val="000000"/>
          <w:szCs w:val="17"/>
        </w:rPr>
        <w:t xml:space="preserve"> may</w:t>
      </w:r>
      <w:r>
        <w:rPr>
          <w:rFonts w:cs="Tahoma"/>
          <w:color w:val="000000"/>
          <w:szCs w:val="17"/>
        </w:rPr>
        <w:t xml:space="preserve"> </w:t>
      </w:r>
      <w:r w:rsidR="0024747A" w:rsidRPr="0005021D">
        <w:rPr>
          <w:rFonts w:cs="Tahoma"/>
          <w:color w:val="000000"/>
          <w:szCs w:val="17"/>
        </w:rPr>
        <w:t>discharge your duty</w:t>
      </w:r>
      <w:r>
        <w:rPr>
          <w:rFonts w:cs="Tahoma"/>
          <w:color w:val="000000"/>
          <w:szCs w:val="17"/>
        </w:rPr>
        <w:t xml:space="preserve"> to perform—</w:t>
      </w:r>
      <w:r w:rsidR="0024747A" w:rsidRPr="0005021D">
        <w:rPr>
          <w:rFonts w:cs="Tahoma"/>
          <w:color w:val="000000"/>
          <w:szCs w:val="17"/>
        </w:rPr>
        <w:t xml:space="preserve">giving you a claim for damages for total breach. </w:t>
      </w:r>
    </w:p>
    <w:p w:rsidR="00FF70A2" w:rsidRDefault="0024747A" w:rsidP="000A21C0">
      <w:pPr>
        <w:tabs>
          <w:tab w:val="left" w:pos="90"/>
        </w:tabs>
        <w:ind w:left="360"/>
        <w:rPr>
          <w:rFonts w:cs="Tahoma"/>
          <w:color w:val="000000"/>
          <w:szCs w:val="19"/>
        </w:rPr>
      </w:pPr>
      <w:r w:rsidRPr="0005021D">
        <w:rPr>
          <w:rFonts w:cs="Tahoma"/>
          <w:color w:val="000000"/>
          <w:szCs w:val="17"/>
        </w:rPr>
        <w:t xml:space="preserve">Assume that in this illustration at all relevant times the contractually specified paint job has a market value of $8,000 while the job as I performed it has a market value of $7,000. Assume also that we agree to these facts (and that you don’t claim to attach any idiosyncratic value to the contractually specified work, which rules out any justification for the expense of repainting). </w:t>
      </w:r>
      <w:r w:rsidRPr="0005021D">
        <w:rPr>
          <w:rFonts w:cs="Tahoma"/>
          <w:color w:val="000000"/>
          <w:szCs w:val="19"/>
        </w:rPr>
        <w:t>What result if I am deemed to be in an uncured material breach that amounts to a total breach?</w:t>
      </w:r>
    </w:p>
    <w:p w:rsidR="00FF70A2" w:rsidRDefault="00FF70A2" w:rsidP="00FF70A2">
      <w:pPr>
        <w:pStyle w:val="Heading6"/>
      </w:pPr>
      <w:r>
        <w:t>Laidlaw v Organ—1817—unilateral mistake</w:t>
      </w:r>
    </w:p>
    <w:p w:rsidR="00FF70A2" w:rsidRDefault="00FF70A2" w:rsidP="00FF70A2">
      <w:pPr>
        <w:ind w:left="360"/>
      </w:pPr>
      <w:r>
        <w:t>Organ bought tobacco from Laidlaw—knew about the Treaty of Ghent (public knowledge)–Laidlaw did not—affected tobacco prices—Laidlaw took his tobacco back claiming fraud for suppression of material circumstances not accessible to the vendor</w:t>
      </w:r>
    </w:p>
    <w:p w:rsidR="00FF70A2" w:rsidRDefault="00FF70A2" w:rsidP="00FF70A2">
      <w:pPr>
        <w:ind w:left="360"/>
      </w:pPr>
      <w:r>
        <w:t>Decision: Superior information doesn’t necessarily imply fraud</w:t>
      </w:r>
    </w:p>
    <w:p w:rsidR="00FF70A2" w:rsidRPr="0035413E" w:rsidRDefault="00FF70A2" w:rsidP="00FF70A2">
      <w:pPr>
        <w:ind w:left="360"/>
        <w:rPr>
          <w:i/>
        </w:rPr>
      </w:pPr>
      <w:r w:rsidRPr="0035413E">
        <w:rPr>
          <w:i/>
        </w:rPr>
        <w:t>**can’t look to the implicit agreement because the information is asymmetrical</w:t>
      </w:r>
    </w:p>
    <w:p w:rsidR="004255D3" w:rsidRDefault="004255D3" w:rsidP="004255D3">
      <w:pPr>
        <w:pStyle w:val="Heading6"/>
      </w:pPr>
      <w:r>
        <w:t>Nester v Michigan Land &amp; Iron—1888</w:t>
      </w:r>
      <w:r w:rsidR="00B00C02">
        <w:t>—“treated his limited knowledge as sufficient”</w:t>
      </w:r>
    </w:p>
    <w:p w:rsidR="004255D3" w:rsidRDefault="004255D3" w:rsidP="004255D3">
      <w:pPr>
        <w:ind w:left="360"/>
      </w:pPr>
      <w:r>
        <w:t>Nester bought timber from Michigan without warranty—wanted to get for ½ price because the lot he purchased was of only half the quality timber he anticipated—Michigan refused to sell with warranty—both parties had equal access to ascertaining the soundness of the timber (which couldn’t be conclusively determined until cut)</w:t>
      </w:r>
    </w:p>
    <w:p w:rsidR="004255D3" w:rsidRDefault="004255D3" w:rsidP="004255D3">
      <w:pPr>
        <w:ind w:left="360"/>
      </w:pPr>
      <w:r>
        <w:t>Contract enforced as written—no annulment or mistake</w:t>
      </w:r>
    </w:p>
    <w:p w:rsidR="004255D3" w:rsidRDefault="004255D3" w:rsidP="004255D3">
      <w:pPr>
        <w:pStyle w:val="Heading6"/>
      </w:pPr>
      <w:r>
        <w:t>Wood v Boynton—1885</w:t>
      </w:r>
    </w:p>
    <w:p w:rsidR="004255D3" w:rsidRDefault="004255D3" w:rsidP="004255D3">
      <w:pPr>
        <w:ind w:left="360"/>
      </w:pPr>
      <w:r>
        <w:t>Wood brought Boynton (a jeweler) a stone—he offered to buy it for $1—said it might be topaz—turns out, it was an uncut diamond worth $700—testified that he had no idea, he had never seen an uncut diamond before</w:t>
      </w:r>
    </w:p>
    <w:p w:rsidR="00B00C02" w:rsidRDefault="004255D3" w:rsidP="004255D3">
      <w:pPr>
        <w:ind w:left="360"/>
      </w:pPr>
      <w:r>
        <w:t>Sale final—value open to the investigation of both parties</w:t>
      </w:r>
    </w:p>
    <w:p w:rsidR="00B00C02" w:rsidRDefault="00B00C02" w:rsidP="00B00C02">
      <w:pPr>
        <w:pStyle w:val="Heading6"/>
      </w:pPr>
      <w:r>
        <w:t>Paradine v Jane—1647—Frustration of purpose</w:t>
      </w:r>
    </w:p>
    <w:p w:rsidR="00B00C02" w:rsidRDefault="00B00C02" w:rsidP="00B00C02">
      <w:pPr>
        <w:ind w:left="360"/>
      </w:pPr>
      <w:r>
        <w:t>Renting land—it was taken over by someone else and he couldn’t make the profits of the land—lessor sued for rent</w:t>
      </w:r>
    </w:p>
    <w:p w:rsidR="00B00C02" w:rsidRDefault="00B00C02" w:rsidP="00B00C02">
      <w:pPr>
        <w:ind w:left="360"/>
      </w:pPr>
      <w:r>
        <w:t xml:space="preserve">COULD: look to basic assumption (that land would not be overtaken by an invading prince)—was this a material change to a basic assumption?—OR—just fill in default rule 2: </w:t>
      </w:r>
      <w:r w:rsidRPr="00B00C02">
        <w:rPr>
          <w:b/>
        </w:rPr>
        <w:t xml:space="preserve">if the parties had bargained over this circumstance, what would their agreement entail? </w:t>
      </w:r>
      <w:r>
        <w:t>Adler—this is a better-guided inquiry</w:t>
      </w:r>
    </w:p>
    <w:p w:rsidR="00B00C02" w:rsidRDefault="00B00C02" w:rsidP="00B00C02">
      <w:pPr>
        <w:pStyle w:val="Heading6"/>
      </w:pPr>
      <w:r>
        <w:t xml:space="preserve">Taylor v Caldwell—1863—Impossibility </w:t>
      </w:r>
    </w:p>
    <w:p w:rsidR="00B00C02" w:rsidRDefault="00B00C02" w:rsidP="00B00C02">
      <w:pPr>
        <w:ind w:left="360"/>
      </w:pPr>
      <w:r>
        <w:t>Caldwell leased The Surrey Music Hall and Gardens to Taylor for a future date—it burned down—does this constitute “disable to perform without any default in him”?</w:t>
      </w:r>
    </w:p>
    <w:p w:rsidR="00B00C02" w:rsidRDefault="00B00C02" w:rsidP="00B00C02">
      <w:pPr>
        <w:ind w:left="360"/>
      </w:pPr>
      <w:r w:rsidRPr="00B00C02">
        <w:rPr>
          <w:b/>
        </w:rPr>
        <w:t>Decision</w:t>
      </w:r>
      <w:r>
        <w:t>: Basic assumption = existence of the Music Hall—material change to basic assumption? Yes</w:t>
      </w:r>
      <w:r>
        <w:sym w:font="Wingdings" w:char="F0E0"/>
      </w:r>
      <w:r>
        <w:t xml:space="preserve"> contract void</w:t>
      </w:r>
    </w:p>
    <w:p w:rsidR="00B00C02" w:rsidRDefault="00B00C02" w:rsidP="00B00C02">
      <w:pPr>
        <w:ind w:left="360"/>
      </w:pPr>
      <w:r>
        <w:t>OR look to least-cost-avoider: lessor should be held liable because he could have prevented fire—aligns incentive to protect the building (BUT COMES OUT WRONG)</w:t>
      </w:r>
    </w:p>
    <w:p w:rsidR="00B00C02" w:rsidRDefault="00B00C02" w:rsidP="00B00C02">
      <w:pPr>
        <w:pStyle w:val="Heading6"/>
      </w:pPr>
      <w:r>
        <w:t>Krell v Henry—1903—Frustration of Purpose</w:t>
      </w:r>
    </w:p>
    <w:p w:rsidR="00B00C02" w:rsidRDefault="00B00C02" w:rsidP="00B00C02">
      <w:pPr>
        <w:tabs>
          <w:tab w:val="left" w:pos="180"/>
        </w:tabs>
        <w:ind w:left="360"/>
      </w:pPr>
      <w:r>
        <w:t>Krell agreed to lease his apartment to Henry to view the royal Coronation, which was rescheduled—Henry doesn’t need the room on those days anymore and Krell is suing for his rent</w:t>
      </w:r>
    </w:p>
    <w:p w:rsidR="00B00C02" w:rsidRPr="00B00C02" w:rsidRDefault="00B00C02" w:rsidP="00B00C02">
      <w:pPr>
        <w:tabs>
          <w:tab w:val="left" w:pos="180"/>
        </w:tabs>
        <w:ind w:left="360"/>
        <w:rPr>
          <w:b/>
        </w:rPr>
      </w:pPr>
      <w:r w:rsidRPr="00B00C02">
        <w:rPr>
          <w:b/>
        </w:rPr>
        <w:t xml:space="preserve">Was the coronation the basis of the contract like the Music Hall was in </w:t>
      </w:r>
      <w:r w:rsidRPr="00B00C02">
        <w:rPr>
          <w:b/>
          <w:i/>
        </w:rPr>
        <w:t>Taylor</w:t>
      </w:r>
      <w:r w:rsidRPr="00B00C02">
        <w:rPr>
          <w:b/>
        </w:rPr>
        <w:t>?</w:t>
      </w:r>
    </w:p>
    <w:p w:rsidR="00B00C02" w:rsidRDefault="00B00C02" w:rsidP="00B00C02">
      <w:pPr>
        <w:pStyle w:val="ListParagraph"/>
        <w:numPr>
          <w:ilvl w:val="0"/>
          <w:numId w:val="49"/>
        </w:numPr>
        <w:tabs>
          <w:tab w:val="left" w:pos="180"/>
        </w:tabs>
        <w:ind w:left="360" w:firstLine="0"/>
      </w:pPr>
      <w:r>
        <w:t>What, having regard to all the circumstances, was the foundation of the contract?</w:t>
      </w:r>
    </w:p>
    <w:p w:rsidR="00B00C02" w:rsidRDefault="00B00C02" w:rsidP="00B00C02">
      <w:pPr>
        <w:pStyle w:val="ListParagraph"/>
        <w:numPr>
          <w:ilvl w:val="0"/>
          <w:numId w:val="49"/>
        </w:numPr>
        <w:tabs>
          <w:tab w:val="left" w:pos="180"/>
        </w:tabs>
        <w:ind w:left="360" w:firstLine="0"/>
      </w:pPr>
      <w:r>
        <w:t>Was the performance of the contract prevented?</w:t>
      </w:r>
    </w:p>
    <w:p w:rsidR="00B00C02" w:rsidRDefault="00B00C02" w:rsidP="00B00C02">
      <w:pPr>
        <w:pStyle w:val="ListParagraph"/>
        <w:numPr>
          <w:ilvl w:val="0"/>
          <w:numId w:val="49"/>
        </w:numPr>
        <w:tabs>
          <w:tab w:val="left" w:pos="180"/>
        </w:tabs>
        <w:ind w:left="360" w:firstLine="0"/>
      </w:pPr>
      <w:r>
        <w:t>Was the event which prevented the performance of the contract of such a character that it cannot reasonably be said to have been in the contemplation of the parties at the date of the contract?</w:t>
      </w:r>
    </w:p>
    <w:p w:rsidR="00B00C02" w:rsidRDefault="00B00C02" w:rsidP="00B00C02">
      <w:pPr>
        <w:tabs>
          <w:tab w:val="left" w:pos="180"/>
        </w:tabs>
        <w:ind w:left="720"/>
      </w:pPr>
      <w:r w:rsidRPr="00B00C02">
        <w:rPr>
          <w:b/>
        </w:rPr>
        <w:t xml:space="preserve">Decision: </w:t>
      </w:r>
      <w:r>
        <w:t>Yes to all—contract cancelled</w:t>
      </w:r>
    </w:p>
    <w:p w:rsidR="00B00C02" w:rsidRDefault="00B00C02" w:rsidP="00B00C02">
      <w:pPr>
        <w:tabs>
          <w:tab w:val="left" w:pos="180"/>
        </w:tabs>
        <w:ind w:left="360"/>
      </w:pPr>
    </w:p>
    <w:p w:rsidR="004255D3" w:rsidRDefault="004255D3" w:rsidP="004255D3">
      <w:pPr>
        <w:ind w:left="360"/>
      </w:pPr>
    </w:p>
    <w:p w:rsidR="004255D3" w:rsidRDefault="004255D3" w:rsidP="004255D3">
      <w:pPr>
        <w:ind w:left="360"/>
      </w:pPr>
    </w:p>
    <w:p w:rsidR="00487BC2" w:rsidRPr="000A21C0" w:rsidRDefault="00487BC2" w:rsidP="00FF70A2">
      <w:pPr>
        <w:tabs>
          <w:tab w:val="left" w:pos="90"/>
        </w:tabs>
        <w:ind w:left="360"/>
      </w:pPr>
    </w:p>
    <w:sectPr w:rsidR="00487BC2" w:rsidRPr="000A21C0" w:rsidSect="00935905">
      <w:footerReference w:type="default" r:id="rId8"/>
      <w:headerReference w:type="first" r:id="rId9"/>
      <w:pgSz w:w="12240" w:h="15840"/>
      <w:pgMar w:top="720" w:right="720" w:bottom="720" w:left="720" w:gutter="0"/>
      <w:titlePg/>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Francie" w:date="2009-11-28T23:59:00Z" w:initials="F">
    <w:p w:rsidR="007834D4" w:rsidRDefault="007834D4">
      <w:pPr>
        <w:pStyle w:val="CommentText"/>
      </w:pPr>
      <w:r>
        <w:rPr>
          <w:rStyle w:val="CommentReference"/>
        </w:rPr>
        <w:annotationRef/>
      </w:r>
      <w:r>
        <w:t>At breach? Or at contracting?</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4D4" w:rsidRDefault="007834D4" w:rsidP="00935905">
      <w:r>
        <w:separator/>
      </w:r>
    </w:p>
    <w:p w:rsidR="007834D4" w:rsidRDefault="007834D4"/>
    <w:p w:rsidR="007834D4" w:rsidRDefault="007834D4"/>
  </w:endnote>
  <w:endnote w:type="continuationSeparator" w:id="0">
    <w:p w:rsidR="007834D4" w:rsidRDefault="007834D4" w:rsidP="00935905">
      <w:r>
        <w:continuationSeparator/>
      </w:r>
    </w:p>
    <w:p w:rsidR="007834D4" w:rsidRDefault="007834D4"/>
    <w:p w:rsidR="007834D4" w:rsidRDefault="007834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36241"/>
      <w:docPartObj>
        <w:docPartGallery w:val="Page Numbers (Bottom of Page)"/>
        <w:docPartUnique/>
      </w:docPartObj>
    </w:sdtPr>
    <w:sdtEndPr>
      <w:rPr>
        <w:spacing w:val="60"/>
      </w:rPr>
    </w:sdtEndPr>
    <w:sdtContent>
      <w:p w:rsidR="007834D4" w:rsidRDefault="007834D4" w:rsidP="004E1815">
        <w:pPr>
          <w:pStyle w:val="Footer"/>
          <w:pBdr>
            <w:top w:val="single" w:sz="4" w:space="1" w:color="D9D9D9" w:themeColor="background1" w:themeShade="D9"/>
          </w:pBdr>
          <w:tabs>
            <w:tab w:val="clear" w:pos="4680"/>
            <w:tab w:val="clear" w:pos="9360"/>
          </w:tabs>
          <w:jc w:val="both"/>
          <w:rPr>
            <w:b/>
          </w:rPr>
        </w:pPr>
        <w:fldSimple w:instr=" PAGE   \* MERGEFORMAT ">
          <w:r w:rsidR="00E8500C" w:rsidRPr="00E8500C">
            <w:rPr>
              <w:b/>
              <w:noProof/>
            </w:rPr>
            <w:t>21</w:t>
          </w:r>
        </w:fldSimple>
        <w:r>
          <w:rPr>
            <w:b/>
          </w:rPr>
          <w:t xml:space="preserve"> | </w:t>
        </w:r>
        <w:r>
          <w:rPr>
            <w:color w:val="7F7F7F" w:themeColor="background1" w:themeShade="7F"/>
            <w:spacing w:val="60"/>
          </w:rPr>
          <w:t>Page</w:t>
        </w:r>
      </w:p>
    </w:sdtContent>
  </w:sdt>
  <w:p w:rsidR="007834D4" w:rsidRPr="003C3014" w:rsidRDefault="007834D4" w:rsidP="00935905">
    <w:pPr>
      <w:pStyle w:val="Footer"/>
      <w:tabs>
        <w:tab w:val="left" w:pos="360"/>
      </w:tabs>
      <w:rPr>
        <w:color w:val="7F7F7F" w:themeColor="background1" w:themeShade="7F"/>
        <w:spacing w:val="60"/>
      </w:rPr>
    </w:pPr>
    <w:r>
      <w:tab/>
    </w:r>
    <w:r>
      <w:rPr>
        <w:color w:val="7F7F7F" w:themeColor="background1" w:themeShade="7F"/>
        <w:spacing w:val="60"/>
      </w:rPr>
      <w:t>Leighton Dellinger—CONTRACTS OUTLINE—</w:t>
    </w:r>
    <w:r>
      <w:rPr>
        <w:color w:val="7F7F7F" w:themeColor="background1" w:themeShade="7F"/>
        <w:spacing w:val="60"/>
      </w:rPr>
      <w:fldChar w:fldCharType="begin"/>
    </w:r>
    <w:r>
      <w:rPr>
        <w:color w:val="7F7F7F" w:themeColor="background1" w:themeShade="7F"/>
        <w:spacing w:val="60"/>
      </w:rPr>
      <w:instrText xml:space="preserve"> DATE \@ "M.d.yyyy" </w:instrText>
    </w:r>
    <w:r>
      <w:rPr>
        <w:color w:val="7F7F7F" w:themeColor="background1" w:themeShade="7F"/>
        <w:spacing w:val="60"/>
      </w:rPr>
      <w:fldChar w:fldCharType="separate"/>
    </w:r>
    <w:r>
      <w:rPr>
        <w:noProof/>
        <w:color w:val="7F7F7F" w:themeColor="background1" w:themeShade="7F"/>
        <w:spacing w:val="60"/>
      </w:rPr>
      <w:t>12.15.2009</w:t>
    </w:r>
    <w:r>
      <w:rPr>
        <w:color w:val="7F7F7F" w:themeColor="background1" w:themeShade="7F"/>
        <w:spacing w:val="60"/>
      </w:rPr>
      <w:fldChar w:fldCharType="end"/>
    </w:r>
  </w:p>
  <w:p w:rsidR="007834D4" w:rsidRDefault="007834D4"/>
  <w:p w:rsidR="007834D4" w:rsidRDefault="007834D4"/>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4D4" w:rsidRDefault="007834D4" w:rsidP="00935905">
      <w:r>
        <w:separator/>
      </w:r>
    </w:p>
    <w:p w:rsidR="007834D4" w:rsidRDefault="007834D4"/>
    <w:p w:rsidR="007834D4" w:rsidRDefault="007834D4"/>
  </w:footnote>
  <w:footnote w:type="continuationSeparator" w:id="0">
    <w:p w:rsidR="007834D4" w:rsidRDefault="007834D4" w:rsidP="00935905">
      <w:r>
        <w:continuationSeparator/>
      </w:r>
    </w:p>
    <w:p w:rsidR="007834D4" w:rsidRDefault="007834D4"/>
    <w:p w:rsidR="007834D4" w:rsidRDefault="007834D4"/>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36334"/>
      <w:docPartObj>
        <w:docPartGallery w:val="Page Numbers (Top of Page)"/>
        <w:docPartUnique/>
      </w:docPartObj>
    </w:sdtPr>
    <w:sdtEndPr>
      <w:rPr>
        <w:spacing w:val="60"/>
      </w:rPr>
    </w:sdtEndPr>
    <w:sdtContent>
      <w:p w:rsidR="007834D4" w:rsidRDefault="007834D4">
        <w:pPr>
          <w:pStyle w:val="Header"/>
          <w:pBdr>
            <w:bottom w:val="single" w:sz="4" w:space="1" w:color="D9D9D9" w:themeColor="background1" w:themeShade="D9"/>
          </w:pBdr>
          <w:rPr>
            <w:b/>
          </w:rPr>
        </w:pPr>
        <w:r>
          <w:rPr>
            <w:color w:val="7F7F7F" w:themeColor="background1" w:themeShade="7F"/>
            <w:spacing w:val="60"/>
          </w:rPr>
          <w:t>Leighton Dellinger—CONTRACTS OUTLINE—</w:t>
        </w:r>
        <w:r>
          <w:rPr>
            <w:color w:val="7F7F7F" w:themeColor="background1" w:themeShade="7F"/>
            <w:spacing w:val="60"/>
          </w:rPr>
          <w:fldChar w:fldCharType="begin"/>
        </w:r>
        <w:r>
          <w:rPr>
            <w:color w:val="7F7F7F" w:themeColor="background1" w:themeShade="7F"/>
            <w:spacing w:val="60"/>
          </w:rPr>
          <w:instrText xml:space="preserve"> DATE \@ "M.d.yyyy" </w:instrText>
        </w:r>
        <w:r>
          <w:rPr>
            <w:color w:val="7F7F7F" w:themeColor="background1" w:themeShade="7F"/>
            <w:spacing w:val="60"/>
          </w:rPr>
          <w:fldChar w:fldCharType="separate"/>
        </w:r>
        <w:r>
          <w:rPr>
            <w:noProof/>
            <w:color w:val="7F7F7F" w:themeColor="background1" w:themeShade="7F"/>
            <w:spacing w:val="60"/>
          </w:rPr>
          <w:t>12.15.2009</w:t>
        </w:r>
        <w:r>
          <w:rPr>
            <w:color w:val="7F7F7F" w:themeColor="background1" w:themeShade="7F"/>
            <w:spacing w:val="60"/>
          </w:rPr>
          <w:fldChar w:fldCharType="end"/>
        </w:r>
      </w:p>
    </w:sdtContent>
  </w:sdt>
  <w:p w:rsidR="007834D4" w:rsidRDefault="007834D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984"/>
    <w:multiLevelType w:val="hybridMultilevel"/>
    <w:tmpl w:val="A5CAA52E"/>
    <w:lvl w:ilvl="0" w:tplc="DD9889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02C92"/>
    <w:multiLevelType w:val="hybridMultilevel"/>
    <w:tmpl w:val="E3EEAEBE"/>
    <w:lvl w:ilvl="0" w:tplc="E244E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2618D3"/>
    <w:multiLevelType w:val="hybridMultilevel"/>
    <w:tmpl w:val="3270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F16DF"/>
    <w:multiLevelType w:val="hybridMultilevel"/>
    <w:tmpl w:val="29CE3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6D704C"/>
    <w:multiLevelType w:val="hybridMultilevel"/>
    <w:tmpl w:val="AE3C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A59FE"/>
    <w:multiLevelType w:val="hybridMultilevel"/>
    <w:tmpl w:val="8CD8C8A4"/>
    <w:lvl w:ilvl="0" w:tplc="F27621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136C9"/>
    <w:multiLevelType w:val="hybridMultilevel"/>
    <w:tmpl w:val="11D0CD6A"/>
    <w:lvl w:ilvl="0" w:tplc="8390C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DC6C23"/>
    <w:multiLevelType w:val="hybridMultilevel"/>
    <w:tmpl w:val="73424DBE"/>
    <w:lvl w:ilvl="0" w:tplc="04090001">
      <w:start w:val="1"/>
      <w:numFmt w:val="bullet"/>
      <w:lvlText w:val=""/>
      <w:lvlJc w:val="left"/>
      <w:pPr>
        <w:ind w:left="1440" w:hanging="360"/>
      </w:pPr>
      <w:rPr>
        <w:rFonts w:ascii="Symbol" w:hAnsi="Symbol" w:hint="default"/>
      </w:rPr>
    </w:lvl>
    <w:lvl w:ilvl="1" w:tplc="24680D08">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F46EBB"/>
    <w:multiLevelType w:val="hybridMultilevel"/>
    <w:tmpl w:val="B4D4D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1852FE"/>
    <w:multiLevelType w:val="hybridMultilevel"/>
    <w:tmpl w:val="26F86366"/>
    <w:lvl w:ilvl="0" w:tplc="24680D0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54326"/>
    <w:multiLevelType w:val="hybridMultilevel"/>
    <w:tmpl w:val="9594D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FB5B06"/>
    <w:multiLevelType w:val="hybridMultilevel"/>
    <w:tmpl w:val="8F24E2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297EF5"/>
    <w:multiLevelType w:val="hybridMultilevel"/>
    <w:tmpl w:val="90D4A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8739F"/>
    <w:multiLevelType w:val="hybridMultilevel"/>
    <w:tmpl w:val="EC46F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2E34F0"/>
    <w:multiLevelType w:val="hybridMultilevel"/>
    <w:tmpl w:val="CD3E808C"/>
    <w:lvl w:ilvl="0" w:tplc="826E1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CD2B66"/>
    <w:multiLevelType w:val="hybridMultilevel"/>
    <w:tmpl w:val="D134660C"/>
    <w:lvl w:ilvl="0" w:tplc="38F20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A0584"/>
    <w:multiLevelType w:val="hybridMultilevel"/>
    <w:tmpl w:val="85DA854C"/>
    <w:lvl w:ilvl="0" w:tplc="B0401C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7022DE"/>
    <w:multiLevelType w:val="hybridMultilevel"/>
    <w:tmpl w:val="BDF4D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3C4D95"/>
    <w:multiLevelType w:val="hybridMultilevel"/>
    <w:tmpl w:val="0EDA0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9A18F5"/>
    <w:multiLevelType w:val="hybridMultilevel"/>
    <w:tmpl w:val="58D4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D2B9B"/>
    <w:multiLevelType w:val="hybridMultilevel"/>
    <w:tmpl w:val="8464979C"/>
    <w:lvl w:ilvl="0" w:tplc="06E25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687D61"/>
    <w:multiLevelType w:val="hybridMultilevel"/>
    <w:tmpl w:val="EDF8D62E"/>
    <w:lvl w:ilvl="0" w:tplc="2280CAD0">
      <w:start w:val="1"/>
      <w:numFmt w:val="decimal"/>
      <w:lvlText w:val="%1."/>
      <w:lvlJc w:val="left"/>
      <w:pPr>
        <w:ind w:left="1080" w:hanging="360"/>
      </w:pPr>
      <w:rPr>
        <w:rFonts w:asciiTheme="minorHAnsi" w:eastAsia="Calibri" w:hAnsiTheme="minorHAnsi" w:cstheme="maj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361F8"/>
    <w:multiLevelType w:val="hybridMultilevel"/>
    <w:tmpl w:val="85B4AFFA"/>
    <w:lvl w:ilvl="0" w:tplc="E7B0DC56">
      <w:start w:val="1"/>
      <w:numFmt w:val="decimal"/>
      <w:lvlText w:val="%1."/>
      <w:lvlJc w:val="left"/>
      <w:pPr>
        <w:ind w:left="1080" w:hanging="360"/>
      </w:pPr>
      <w:rPr>
        <w:rFonts w:asciiTheme="majorHAnsi" w:eastAsia="Calibri" w:hAnsiTheme="majorHAnsi" w:cstheme="majorBidi" w:hint="default"/>
        <w:sz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665520"/>
    <w:multiLevelType w:val="hybridMultilevel"/>
    <w:tmpl w:val="50BA6694"/>
    <w:lvl w:ilvl="0" w:tplc="EE028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56523B"/>
    <w:multiLevelType w:val="hybridMultilevel"/>
    <w:tmpl w:val="5142A5BC"/>
    <w:lvl w:ilvl="0" w:tplc="5DB688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792443"/>
    <w:multiLevelType w:val="hybridMultilevel"/>
    <w:tmpl w:val="8F24E220"/>
    <w:lvl w:ilvl="0" w:tplc="0409000F">
      <w:start w:val="1"/>
      <w:numFmt w:val="upperLetter"/>
      <w:lvlText w:val="%1."/>
      <w:lvlJc w:val="left"/>
      <w:pPr>
        <w:ind w:left="1440" w:hanging="360"/>
      </w:pPr>
    </w:lvl>
    <w:lvl w:ilvl="1" w:tplc="04090019">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C96626"/>
    <w:multiLevelType w:val="hybridMultilevel"/>
    <w:tmpl w:val="7904EF6C"/>
    <w:lvl w:ilvl="0" w:tplc="EEB41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B7D50"/>
    <w:multiLevelType w:val="hybridMultilevel"/>
    <w:tmpl w:val="8BE41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68701B"/>
    <w:multiLevelType w:val="hybridMultilevel"/>
    <w:tmpl w:val="6E7C210C"/>
    <w:lvl w:ilvl="0" w:tplc="A34C11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9743A7"/>
    <w:multiLevelType w:val="hybridMultilevel"/>
    <w:tmpl w:val="B9BE58A8"/>
    <w:lvl w:ilvl="0" w:tplc="798EC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DE72BF"/>
    <w:multiLevelType w:val="hybridMultilevel"/>
    <w:tmpl w:val="CCA219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07157F3"/>
    <w:multiLevelType w:val="hybridMultilevel"/>
    <w:tmpl w:val="902E9FAC"/>
    <w:lvl w:ilvl="0" w:tplc="C39E27EE">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1340EDE"/>
    <w:multiLevelType w:val="hybridMultilevel"/>
    <w:tmpl w:val="0BA8A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17C468C"/>
    <w:multiLevelType w:val="hybridMultilevel"/>
    <w:tmpl w:val="B89E25EE"/>
    <w:lvl w:ilvl="0" w:tplc="93D60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231C37"/>
    <w:multiLevelType w:val="hybridMultilevel"/>
    <w:tmpl w:val="16C04562"/>
    <w:lvl w:ilvl="0" w:tplc="3822D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4C66607"/>
    <w:multiLevelType w:val="hybridMultilevel"/>
    <w:tmpl w:val="C48E0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62A4C87"/>
    <w:multiLevelType w:val="hybridMultilevel"/>
    <w:tmpl w:val="019ABA20"/>
    <w:lvl w:ilvl="0" w:tplc="205E1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73A1E51"/>
    <w:multiLevelType w:val="hybridMultilevel"/>
    <w:tmpl w:val="9196C08E"/>
    <w:lvl w:ilvl="0" w:tplc="24680D08">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9D752F9"/>
    <w:multiLevelType w:val="hybridMultilevel"/>
    <w:tmpl w:val="A1E67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C921B37"/>
    <w:multiLevelType w:val="hybridMultilevel"/>
    <w:tmpl w:val="8110C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F2C665E"/>
    <w:multiLevelType w:val="hybridMultilevel"/>
    <w:tmpl w:val="036C8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06B3433"/>
    <w:multiLevelType w:val="hybridMultilevel"/>
    <w:tmpl w:val="863AF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562FBF"/>
    <w:multiLevelType w:val="hybridMultilevel"/>
    <w:tmpl w:val="D8886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7BD00F4"/>
    <w:multiLevelType w:val="hybridMultilevel"/>
    <w:tmpl w:val="63FE97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82B75BF"/>
    <w:multiLevelType w:val="hybridMultilevel"/>
    <w:tmpl w:val="66DA52B2"/>
    <w:lvl w:ilvl="0" w:tplc="ECAAB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C17E29"/>
    <w:multiLevelType w:val="hybridMultilevel"/>
    <w:tmpl w:val="8C481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36248C9"/>
    <w:multiLevelType w:val="hybridMultilevel"/>
    <w:tmpl w:val="5CF2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1204F4"/>
    <w:multiLevelType w:val="hybridMultilevel"/>
    <w:tmpl w:val="03343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98F4378"/>
    <w:multiLevelType w:val="hybridMultilevel"/>
    <w:tmpl w:val="4B0204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31"/>
  </w:num>
  <w:num w:numId="4">
    <w:abstractNumId w:val="35"/>
  </w:num>
  <w:num w:numId="5">
    <w:abstractNumId w:val="15"/>
  </w:num>
  <w:num w:numId="6">
    <w:abstractNumId w:val="43"/>
  </w:num>
  <w:num w:numId="7">
    <w:abstractNumId w:val="7"/>
  </w:num>
  <w:num w:numId="8">
    <w:abstractNumId w:val="22"/>
  </w:num>
  <w:num w:numId="9">
    <w:abstractNumId w:val="21"/>
  </w:num>
  <w:num w:numId="10">
    <w:abstractNumId w:val="8"/>
  </w:num>
  <w:num w:numId="11">
    <w:abstractNumId w:val="9"/>
  </w:num>
  <w:num w:numId="12">
    <w:abstractNumId w:val="18"/>
  </w:num>
  <w:num w:numId="13">
    <w:abstractNumId w:val="44"/>
  </w:num>
  <w:num w:numId="14">
    <w:abstractNumId w:val="37"/>
  </w:num>
  <w:num w:numId="15">
    <w:abstractNumId w:val="46"/>
  </w:num>
  <w:num w:numId="16">
    <w:abstractNumId w:val="23"/>
  </w:num>
  <w:num w:numId="17">
    <w:abstractNumId w:val="48"/>
  </w:num>
  <w:num w:numId="18">
    <w:abstractNumId w:val="26"/>
  </w:num>
  <w:num w:numId="19">
    <w:abstractNumId w:val="4"/>
  </w:num>
  <w:num w:numId="20">
    <w:abstractNumId w:val="41"/>
  </w:num>
  <w:num w:numId="21">
    <w:abstractNumId w:val="42"/>
  </w:num>
  <w:num w:numId="22">
    <w:abstractNumId w:val="14"/>
  </w:num>
  <w:num w:numId="23">
    <w:abstractNumId w:val="2"/>
  </w:num>
  <w:num w:numId="24">
    <w:abstractNumId w:val="16"/>
  </w:num>
  <w:num w:numId="25">
    <w:abstractNumId w:val="33"/>
  </w:num>
  <w:num w:numId="26">
    <w:abstractNumId w:val="5"/>
  </w:num>
  <w:num w:numId="27">
    <w:abstractNumId w:val="39"/>
  </w:num>
  <w:num w:numId="28">
    <w:abstractNumId w:val="40"/>
  </w:num>
  <w:num w:numId="29">
    <w:abstractNumId w:val="1"/>
  </w:num>
  <w:num w:numId="30">
    <w:abstractNumId w:val="3"/>
  </w:num>
  <w:num w:numId="31">
    <w:abstractNumId w:val="49"/>
  </w:num>
  <w:num w:numId="32">
    <w:abstractNumId w:val="11"/>
  </w:num>
  <w:num w:numId="33">
    <w:abstractNumId w:val="25"/>
  </w:num>
  <w:num w:numId="34">
    <w:abstractNumId w:val="36"/>
  </w:num>
  <w:num w:numId="35">
    <w:abstractNumId w:val="0"/>
  </w:num>
  <w:num w:numId="36">
    <w:abstractNumId w:val="20"/>
  </w:num>
  <w:num w:numId="37">
    <w:abstractNumId w:val="30"/>
  </w:num>
  <w:num w:numId="38">
    <w:abstractNumId w:val="38"/>
  </w:num>
  <w:num w:numId="39">
    <w:abstractNumId w:val="19"/>
  </w:num>
  <w:num w:numId="40">
    <w:abstractNumId w:val="10"/>
  </w:num>
  <w:num w:numId="41">
    <w:abstractNumId w:val="17"/>
  </w:num>
  <w:num w:numId="42">
    <w:abstractNumId w:val="28"/>
  </w:num>
  <w:num w:numId="43">
    <w:abstractNumId w:val="32"/>
  </w:num>
  <w:num w:numId="44">
    <w:abstractNumId w:val="27"/>
  </w:num>
  <w:num w:numId="45">
    <w:abstractNumId w:val="13"/>
  </w:num>
  <w:num w:numId="46">
    <w:abstractNumId w:val="24"/>
  </w:num>
  <w:num w:numId="47">
    <w:abstractNumId w:val="12"/>
  </w:num>
  <w:num w:numId="48">
    <w:abstractNumId w:val="34"/>
  </w:num>
  <w:num w:numId="49">
    <w:abstractNumId w:val="29"/>
  </w:num>
  <w:num w:numId="50">
    <w:abstractNumId w:val="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visionView w:markup="0"/>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EE27B7"/>
    <w:rsid w:val="00012936"/>
    <w:rsid w:val="00025A18"/>
    <w:rsid w:val="00045373"/>
    <w:rsid w:val="00064F6F"/>
    <w:rsid w:val="000720C7"/>
    <w:rsid w:val="00080D6D"/>
    <w:rsid w:val="00082DC9"/>
    <w:rsid w:val="000A21C0"/>
    <w:rsid w:val="000A2B80"/>
    <w:rsid w:val="000A678C"/>
    <w:rsid w:val="000A77B5"/>
    <w:rsid w:val="000B10F0"/>
    <w:rsid w:val="000B28D3"/>
    <w:rsid w:val="000B365C"/>
    <w:rsid w:val="000B38D3"/>
    <w:rsid w:val="000B657B"/>
    <w:rsid w:val="000C264E"/>
    <w:rsid w:val="000C5F32"/>
    <w:rsid w:val="000C7769"/>
    <w:rsid w:val="000D0042"/>
    <w:rsid w:val="000D3E77"/>
    <w:rsid w:val="000E0360"/>
    <w:rsid w:val="000E65A8"/>
    <w:rsid w:val="00117169"/>
    <w:rsid w:val="001338E5"/>
    <w:rsid w:val="00140A7B"/>
    <w:rsid w:val="00141CAF"/>
    <w:rsid w:val="001445E5"/>
    <w:rsid w:val="00146399"/>
    <w:rsid w:val="00160589"/>
    <w:rsid w:val="00171639"/>
    <w:rsid w:val="0017279D"/>
    <w:rsid w:val="00181471"/>
    <w:rsid w:val="001C45A7"/>
    <w:rsid w:val="001D61D1"/>
    <w:rsid w:val="001E225E"/>
    <w:rsid w:val="001E691A"/>
    <w:rsid w:val="001F3382"/>
    <w:rsid w:val="0020061E"/>
    <w:rsid w:val="00202FC5"/>
    <w:rsid w:val="00206D7A"/>
    <w:rsid w:val="00210815"/>
    <w:rsid w:val="00211773"/>
    <w:rsid w:val="00221303"/>
    <w:rsid w:val="002257F6"/>
    <w:rsid w:val="00236E74"/>
    <w:rsid w:val="00237A6C"/>
    <w:rsid w:val="002459D3"/>
    <w:rsid w:val="0024747A"/>
    <w:rsid w:val="002476E1"/>
    <w:rsid w:val="00264CED"/>
    <w:rsid w:val="00265184"/>
    <w:rsid w:val="00266D06"/>
    <w:rsid w:val="00267D58"/>
    <w:rsid w:val="00282201"/>
    <w:rsid w:val="0028413F"/>
    <w:rsid w:val="002A2364"/>
    <w:rsid w:val="002B4E8D"/>
    <w:rsid w:val="002B5967"/>
    <w:rsid w:val="002B5B4A"/>
    <w:rsid w:val="002B6315"/>
    <w:rsid w:val="002C08BA"/>
    <w:rsid w:val="002D157B"/>
    <w:rsid w:val="002E28F0"/>
    <w:rsid w:val="002E6331"/>
    <w:rsid w:val="002F5AA7"/>
    <w:rsid w:val="0031037F"/>
    <w:rsid w:val="00311A81"/>
    <w:rsid w:val="003147EE"/>
    <w:rsid w:val="003274F6"/>
    <w:rsid w:val="00345E62"/>
    <w:rsid w:val="00350B81"/>
    <w:rsid w:val="0036202E"/>
    <w:rsid w:val="00370D5A"/>
    <w:rsid w:val="0037511A"/>
    <w:rsid w:val="003A6451"/>
    <w:rsid w:val="003B5D03"/>
    <w:rsid w:val="003C0B0E"/>
    <w:rsid w:val="003C3014"/>
    <w:rsid w:val="003D42DD"/>
    <w:rsid w:val="003D64CB"/>
    <w:rsid w:val="003F0034"/>
    <w:rsid w:val="003F0738"/>
    <w:rsid w:val="003F36F8"/>
    <w:rsid w:val="003F693D"/>
    <w:rsid w:val="0041226E"/>
    <w:rsid w:val="00417248"/>
    <w:rsid w:val="004255D3"/>
    <w:rsid w:val="00426ECC"/>
    <w:rsid w:val="00427F2B"/>
    <w:rsid w:val="00435301"/>
    <w:rsid w:val="00440B19"/>
    <w:rsid w:val="00441CB2"/>
    <w:rsid w:val="00446298"/>
    <w:rsid w:val="00447DC9"/>
    <w:rsid w:val="00450AB4"/>
    <w:rsid w:val="00454419"/>
    <w:rsid w:val="00455DB2"/>
    <w:rsid w:val="00462A9E"/>
    <w:rsid w:val="00476418"/>
    <w:rsid w:val="0047657D"/>
    <w:rsid w:val="00487BC2"/>
    <w:rsid w:val="004903B4"/>
    <w:rsid w:val="00492820"/>
    <w:rsid w:val="004A18FC"/>
    <w:rsid w:val="004A4BCE"/>
    <w:rsid w:val="004A4CCA"/>
    <w:rsid w:val="004B0129"/>
    <w:rsid w:val="004B3D94"/>
    <w:rsid w:val="004B585F"/>
    <w:rsid w:val="004C2FAF"/>
    <w:rsid w:val="004C33B9"/>
    <w:rsid w:val="004D00C1"/>
    <w:rsid w:val="004D35A1"/>
    <w:rsid w:val="004D5459"/>
    <w:rsid w:val="004D664F"/>
    <w:rsid w:val="004E1815"/>
    <w:rsid w:val="004E2BC3"/>
    <w:rsid w:val="004F4113"/>
    <w:rsid w:val="0051148B"/>
    <w:rsid w:val="00511E15"/>
    <w:rsid w:val="00512904"/>
    <w:rsid w:val="00514A60"/>
    <w:rsid w:val="00522A0B"/>
    <w:rsid w:val="00526831"/>
    <w:rsid w:val="0052693A"/>
    <w:rsid w:val="00526EC8"/>
    <w:rsid w:val="0052773F"/>
    <w:rsid w:val="005336CC"/>
    <w:rsid w:val="0053558E"/>
    <w:rsid w:val="00542FB2"/>
    <w:rsid w:val="005468F6"/>
    <w:rsid w:val="005542EF"/>
    <w:rsid w:val="005577E9"/>
    <w:rsid w:val="00560FA7"/>
    <w:rsid w:val="00562AC9"/>
    <w:rsid w:val="00566F7D"/>
    <w:rsid w:val="00570FD0"/>
    <w:rsid w:val="005712B3"/>
    <w:rsid w:val="00572250"/>
    <w:rsid w:val="00590656"/>
    <w:rsid w:val="005B4059"/>
    <w:rsid w:val="005B4806"/>
    <w:rsid w:val="005D788F"/>
    <w:rsid w:val="005F5361"/>
    <w:rsid w:val="00600345"/>
    <w:rsid w:val="00600E64"/>
    <w:rsid w:val="00600FB7"/>
    <w:rsid w:val="00602AA9"/>
    <w:rsid w:val="0060379F"/>
    <w:rsid w:val="00613A2C"/>
    <w:rsid w:val="0061682B"/>
    <w:rsid w:val="00626A16"/>
    <w:rsid w:val="0062724F"/>
    <w:rsid w:val="00640584"/>
    <w:rsid w:val="0065397A"/>
    <w:rsid w:val="00656D62"/>
    <w:rsid w:val="00662584"/>
    <w:rsid w:val="00670109"/>
    <w:rsid w:val="00671F6F"/>
    <w:rsid w:val="00675C74"/>
    <w:rsid w:val="00685DF9"/>
    <w:rsid w:val="006862CD"/>
    <w:rsid w:val="006A0B93"/>
    <w:rsid w:val="006A2399"/>
    <w:rsid w:val="006A3A08"/>
    <w:rsid w:val="006A76FE"/>
    <w:rsid w:val="006C0270"/>
    <w:rsid w:val="006C242B"/>
    <w:rsid w:val="006C3FD6"/>
    <w:rsid w:val="006C74A0"/>
    <w:rsid w:val="006D70F8"/>
    <w:rsid w:val="006F5693"/>
    <w:rsid w:val="0070583B"/>
    <w:rsid w:val="00706688"/>
    <w:rsid w:val="007066B1"/>
    <w:rsid w:val="00707AAE"/>
    <w:rsid w:val="00722EE6"/>
    <w:rsid w:val="007235C8"/>
    <w:rsid w:val="00725FC8"/>
    <w:rsid w:val="00726AF0"/>
    <w:rsid w:val="0072756A"/>
    <w:rsid w:val="00727DEE"/>
    <w:rsid w:val="00736703"/>
    <w:rsid w:val="00737111"/>
    <w:rsid w:val="00737CD3"/>
    <w:rsid w:val="00746DCF"/>
    <w:rsid w:val="00753F61"/>
    <w:rsid w:val="00760DB9"/>
    <w:rsid w:val="00765B3D"/>
    <w:rsid w:val="007662E1"/>
    <w:rsid w:val="007666CA"/>
    <w:rsid w:val="0077760A"/>
    <w:rsid w:val="007834D4"/>
    <w:rsid w:val="00796842"/>
    <w:rsid w:val="007A7265"/>
    <w:rsid w:val="007B6CB7"/>
    <w:rsid w:val="007C09FA"/>
    <w:rsid w:val="007D6D53"/>
    <w:rsid w:val="007E1479"/>
    <w:rsid w:val="007E672A"/>
    <w:rsid w:val="0080525D"/>
    <w:rsid w:val="00812FD7"/>
    <w:rsid w:val="008312FB"/>
    <w:rsid w:val="00847CB8"/>
    <w:rsid w:val="00856665"/>
    <w:rsid w:val="0086394D"/>
    <w:rsid w:val="008749CB"/>
    <w:rsid w:val="00881688"/>
    <w:rsid w:val="008C534D"/>
    <w:rsid w:val="008C57C7"/>
    <w:rsid w:val="008E0D8D"/>
    <w:rsid w:val="008E2C79"/>
    <w:rsid w:val="008F290D"/>
    <w:rsid w:val="008F3DC1"/>
    <w:rsid w:val="008F7664"/>
    <w:rsid w:val="00900B2F"/>
    <w:rsid w:val="00904414"/>
    <w:rsid w:val="009060DA"/>
    <w:rsid w:val="00920152"/>
    <w:rsid w:val="0093066E"/>
    <w:rsid w:val="00933E3E"/>
    <w:rsid w:val="00934FDC"/>
    <w:rsid w:val="00935905"/>
    <w:rsid w:val="00936272"/>
    <w:rsid w:val="00936818"/>
    <w:rsid w:val="00937D3E"/>
    <w:rsid w:val="00943BA8"/>
    <w:rsid w:val="00950DAD"/>
    <w:rsid w:val="00956DEE"/>
    <w:rsid w:val="00960583"/>
    <w:rsid w:val="009629B5"/>
    <w:rsid w:val="00970C5A"/>
    <w:rsid w:val="00975749"/>
    <w:rsid w:val="009832E7"/>
    <w:rsid w:val="009926BF"/>
    <w:rsid w:val="009A03AE"/>
    <w:rsid w:val="009A652C"/>
    <w:rsid w:val="009B5414"/>
    <w:rsid w:val="009B64E7"/>
    <w:rsid w:val="009C08F9"/>
    <w:rsid w:val="009C2B4E"/>
    <w:rsid w:val="009C72DB"/>
    <w:rsid w:val="009D5633"/>
    <w:rsid w:val="00A03EBD"/>
    <w:rsid w:val="00A14BE0"/>
    <w:rsid w:val="00A1786A"/>
    <w:rsid w:val="00A22B2F"/>
    <w:rsid w:val="00A264A1"/>
    <w:rsid w:val="00A31683"/>
    <w:rsid w:val="00A3301F"/>
    <w:rsid w:val="00A34B70"/>
    <w:rsid w:val="00A60A52"/>
    <w:rsid w:val="00A60EDF"/>
    <w:rsid w:val="00A64E8E"/>
    <w:rsid w:val="00A6672C"/>
    <w:rsid w:val="00A712AB"/>
    <w:rsid w:val="00A77DCC"/>
    <w:rsid w:val="00A866BB"/>
    <w:rsid w:val="00A920AF"/>
    <w:rsid w:val="00A9776F"/>
    <w:rsid w:val="00AB357A"/>
    <w:rsid w:val="00AD1ECC"/>
    <w:rsid w:val="00AD2799"/>
    <w:rsid w:val="00AF3DCF"/>
    <w:rsid w:val="00B00C02"/>
    <w:rsid w:val="00B01A79"/>
    <w:rsid w:val="00B11620"/>
    <w:rsid w:val="00B32140"/>
    <w:rsid w:val="00B3687B"/>
    <w:rsid w:val="00B44820"/>
    <w:rsid w:val="00B45476"/>
    <w:rsid w:val="00B478E8"/>
    <w:rsid w:val="00B56520"/>
    <w:rsid w:val="00B610EB"/>
    <w:rsid w:val="00B65F43"/>
    <w:rsid w:val="00B84655"/>
    <w:rsid w:val="00B851E3"/>
    <w:rsid w:val="00B943CD"/>
    <w:rsid w:val="00BA588F"/>
    <w:rsid w:val="00BA608C"/>
    <w:rsid w:val="00BB4B8A"/>
    <w:rsid w:val="00BC265C"/>
    <w:rsid w:val="00C20AE8"/>
    <w:rsid w:val="00C371CF"/>
    <w:rsid w:val="00C375B1"/>
    <w:rsid w:val="00C454CB"/>
    <w:rsid w:val="00C457D5"/>
    <w:rsid w:val="00C46FF2"/>
    <w:rsid w:val="00C54CC5"/>
    <w:rsid w:val="00C635C9"/>
    <w:rsid w:val="00C71E68"/>
    <w:rsid w:val="00CB4D5B"/>
    <w:rsid w:val="00CC02D0"/>
    <w:rsid w:val="00CD1282"/>
    <w:rsid w:val="00CD1C4B"/>
    <w:rsid w:val="00CF752E"/>
    <w:rsid w:val="00D03B0D"/>
    <w:rsid w:val="00D04060"/>
    <w:rsid w:val="00D175FF"/>
    <w:rsid w:val="00D17A4A"/>
    <w:rsid w:val="00D244AB"/>
    <w:rsid w:val="00D31C34"/>
    <w:rsid w:val="00D35507"/>
    <w:rsid w:val="00D35726"/>
    <w:rsid w:val="00D42682"/>
    <w:rsid w:val="00D45DFC"/>
    <w:rsid w:val="00D512DA"/>
    <w:rsid w:val="00D5395E"/>
    <w:rsid w:val="00D6776A"/>
    <w:rsid w:val="00D67E97"/>
    <w:rsid w:val="00D77890"/>
    <w:rsid w:val="00DA1617"/>
    <w:rsid w:val="00DB0A44"/>
    <w:rsid w:val="00DC0E93"/>
    <w:rsid w:val="00DD192E"/>
    <w:rsid w:val="00DD4FBC"/>
    <w:rsid w:val="00DE124D"/>
    <w:rsid w:val="00E03B4A"/>
    <w:rsid w:val="00E0681C"/>
    <w:rsid w:val="00E10B32"/>
    <w:rsid w:val="00E16617"/>
    <w:rsid w:val="00E17260"/>
    <w:rsid w:val="00E17297"/>
    <w:rsid w:val="00E226CB"/>
    <w:rsid w:val="00E31D36"/>
    <w:rsid w:val="00E35A35"/>
    <w:rsid w:val="00E52AA5"/>
    <w:rsid w:val="00E55B82"/>
    <w:rsid w:val="00E60733"/>
    <w:rsid w:val="00E63F09"/>
    <w:rsid w:val="00E67CF4"/>
    <w:rsid w:val="00E83F9B"/>
    <w:rsid w:val="00E8500C"/>
    <w:rsid w:val="00E94C13"/>
    <w:rsid w:val="00EA1F33"/>
    <w:rsid w:val="00EA54FC"/>
    <w:rsid w:val="00EB0BB2"/>
    <w:rsid w:val="00EC4D0C"/>
    <w:rsid w:val="00EC6B40"/>
    <w:rsid w:val="00ED12FA"/>
    <w:rsid w:val="00ED2FD8"/>
    <w:rsid w:val="00ED31D5"/>
    <w:rsid w:val="00ED3B6F"/>
    <w:rsid w:val="00ED3C69"/>
    <w:rsid w:val="00ED610A"/>
    <w:rsid w:val="00EE27B7"/>
    <w:rsid w:val="00F03B49"/>
    <w:rsid w:val="00F04B89"/>
    <w:rsid w:val="00F130D2"/>
    <w:rsid w:val="00F20C57"/>
    <w:rsid w:val="00F25142"/>
    <w:rsid w:val="00F35071"/>
    <w:rsid w:val="00F4325A"/>
    <w:rsid w:val="00F47AB9"/>
    <w:rsid w:val="00F53EA4"/>
    <w:rsid w:val="00F77973"/>
    <w:rsid w:val="00F846F5"/>
    <w:rsid w:val="00F84761"/>
    <w:rsid w:val="00F9709E"/>
    <w:rsid w:val="00FB2227"/>
    <w:rsid w:val="00FB4713"/>
    <w:rsid w:val="00FD042F"/>
    <w:rsid w:val="00FD1C34"/>
    <w:rsid w:val="00FE661E"/>
    <w:rsid w:val="00FF70A2"/>
    <w:rsid w:val="00FF7F64"/>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uiPriority="10" w:qFormat="1"/>
    <w:lsdException w:name="List Paragraph" w:uiPriority="34" w:qFormat="1"/>
  </w:latentStyles>
  <w:style w:type="paragraph" w:default="1" w:styleId="Normal">
    <w:name w:val="Normal"/>
    <w:qFormat/>
    <w:rsid w:val="005336CC"/>
    <w:pPr>
      <w:spacing w:after="120" w:line="240" w:lineRule="auto"/>
    </w:pPr>
  </w:style>
  <w:style w:type="paragraph" w:styleId="Heading1">
    <w:name w:val="heading 1"/>
    <w:basedOn w:val="Normal"/>
    <w:next w:val="Normal"/>
    <w:link w:val="Heading1Char"/>
    <w:uiPriority w:val="9"/>
    <w:qFormat/>
    <w:rsid w:val="00760DB9"/>
    <w:pPr>
      <w:keepNext/>
      <w:keepLines/>
      <w:pBdr>
        <w:top w:val="single" w:sz="4" w:space="1" w:color="auto"/>
        <w:bottom w:val="single" w:sz="4" w:space="1" w:color="auto"/>
      </w:pBdr>
      <w:shd w:val="pct10" w:color="auto" w:fill="auto"/>
      <w:spacing w:before="12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10F0"/>
    <w:pPr>
      <w:keepNext/>
      <w:keepLines/>
      <w:pBdr>
        <w:bottom w:val="dashSmallGap" w:sz="4" w:space="1" w:color="7F7F7F" w:themeColor="text1" w:themeTint="80"/>
      </w:pBdr>
      <w:spacing w:before="20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45476"/>
    <w:pPr>
      <w:keepNext/>
      <w:keepLines/>
      <w:spacing w:before="200" w:after="40"/>
      <w:outlineLvl w:val="2"/>
    </w:pPr>
    <w:rPr>
      <w:rFonts w:asciiTheme="majorHAnsi" w:eastAsiaTheme="majorEastAsia" w:hAnsiTheme="majorHAnsi" w:cstheme="majorBidi"/>
      <w:b/>
      <w:bCs/>
      <w:color w:val="595959" w:themeColor="text1" w:themeTint="A6"/>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Heading3"/>
    <w:next w:val="Normal"/>
    <w:link w:val="Heading5Char"/>
    <w:uiPriority w:val="9"/>
    <w:unhideWhenUsed/>
    <w:qFormat/>
    <w:rsid w:val="00CD1C4B"/>
    <w:pPr>
      <w:outlineLvl w:val="4"/>
    </w:pPr>
    <w:rPr>
      <w:sz w:val="20"/>
    </w:rPr>
  </w:style>
  <w:style w:type="paragraph" w:styleId="Heading6">
    <w:name w:val="heading 6"/>
    <w:basedOn w:val="Heading3"/>
    <w:next w:val="Normal"/>
    <w:link w:val="Heading6Char"/>
    <w:uiPriority w:val="9"/>
    <w:unhideWhenUsed/>
    <w:qFormat/>
    <w:rsid w:val="00B45476"/>
    <w:pPr>
      <w:outlineLvl w:val="5"/>
    </w:pPr>
  </w:style>
  <w:style w:type="paragraph" w:styleId="Heading7">
    <w:name w:val="heading 7"/>
    <w:basedOn w:val="Normal"/>
    <w:next w:val="Normal"/>
    <w:link w:val="Heading7Char"/>
    <w:uiPriority w:val="9"/>
    <w:unhideWhenUsed/>
    <w:qFormat/>
    <w:rsid w:val="001445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773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760DB9"/>
    <w:rPr>
      <w:rFonts w:asciiTheme="majorHAnsi" w:eastAsiaTheme="majorEastAsia" w:hAnsiTheme="majorHAnsi" w:cstheme="majorBidi"/>
      <w:b/>
      <w:bCs/>
      <w:sz w:val="28"/>
      <w:szCs w:val="28"/>
      <w:shd w:val="pct10" w:color="auto" w:fill="auto"/>
    </w:rPr>
  </w:style>
  <w:style w:type="character" w:customStyle="1" w:styleId="Heading2Char">
    <w:name w:val="Heading 2 Char"/>
    <w:basedOn w:val="DefaultParagraphFont"/>
    <w:link w:val="Heading2"/>
    <w:uiPriority w:val="9"/>
    <w:rsid w:val="000B10F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45476"/>
    <w:rPr>
      <w:rFonts w:asciiTheme="majorHAnsi" w:eastAsiaTheme="majorEastAsia" w:hAnsiTheme="majorHAnsi" w:cstheme="majorBidi"/>
      <w:b/>
      <w:bCs/>
      <w:color w:val="595959" w:themeColor="text1" w:themeTint="A6"/>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236E74"/>
    <w:pPr>
      <w:ind w:left="220"/>
    </w:pPr>
    <w:rPr>
      <w:smallCaps/>
      <w:sz w:val="20"/>
      <w:szCs w:val="20"/>
    </w:rPr>
  </w:style>
  <w:style w:type="paragraph" w:styleId="TOC1">
    <w:name w:val="toc 1"/>
    <w:basedOn w:val="Normal"/>
    <w:next w:val="Normal"/>
    <w:autoRedefine/>
    <w:uiPriority w:val="39"/>
    <w:unhideWhenUsed/>
    <w:qFormat/>
    <w:rsid w:val="00236E74"/>
    <w:pPr>
      <w:spacing w:before="120"/>
    </w:pPr>
    <w:rPr>
      <w:b/>
      <w:bCs/>
      <w:caps/>
      <w:sz w:val="20"/>
      <w:szCs w:val="20"/>
    </w:rPr>
  </w:style>
  <w:style w:type="paragraph" w:styleId="TOC3">
    <w:name w:val="toc 3"/>
    <w:basedOn w:val="Normal"/>
    <w:next w:val="Normal"/>
    <w:autoRedefine/>
    <w:uiPriority w:val="39"/>
    <w:unhideWhenUsed/>
    <w:qFormat/>
    <w:rsid w:val="00935905"/>
    <w:pPr>
      <w:ind w:left="440"/>
    </w:pPr>
    <w:rPr>
      <w:i/>
      <w:iCs/>
      <w:sz w:val="20"/>
      <w:szCs w:val="20"/>
    </w:rPr>
  </w:style>
  <w:style w:type="paragraph" w:styleId="BalloonText">
    <w:name w:val="Balloon Text"/>
    <w:basedOn w:val="Normal"/>
    <w:link w:val="BalloonTextChar"/>
    <w:uiPriority w:val="99"/>
    <w:semiHidden/>
    <w:unhideWhenUsed/>
    <w:rsid w:val="00236E74"/>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CD1C4B"/>
    <w:rPr>
      <w:rFonts w:asciiTheme="majorHAnsi" w:eastAsiaTheme="majorEastAsia" w:hAnsiTheme="majorHAnsi" w:cstheme="majorBidi"/>
      <w:b/>
      <w:bCs/>
      <w:color w:val="595959" w:themeColor="text1" w:themeTint="A6"/>
      <w:sz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rPr>
  </w:style>
  <w:style w:type="paragraph" w:styleId="TOC4">
    <w:name w:val="toc 4"/>
    <w:basedOn w:val="Normal"/>
    <w:next w:val="Normal"/>
    <w:autoRedefine/>
    <w:uiPriority w:val="39"/>
    <w:unhideWhenUsed/>
    <w:rsid w:val="00737CD3"/>
    <w:pPr>
      <w:ind w:left="660"/>
    </w:pPr>
    <w:rPr>
      <w:sz w:val="18"/>
      <w:szCs w:val="18"/>
    </w:rPr>
  </w:style>
  <w:style w:type="paragraph" w:styleId="TOC5">
    <w:name w:val="toc 5"/>
    <w:basedOn w:val="Normal"/>
    <w:next w:val="Normal"/>
    <w:autoRedefine/>
    <w:uiPriority w:val="39"/>
    <w:unhideWhenUsed/>
    <w:rsid w:val="00737CD3"/>
    <w:pPr>
      <w:ind w:left="880"/>
    </w:pPr>
    <w:rPr>
      <w:sz w:val="18"/>
      <w:szCs w:val="18"/>
    </w:rPr>
  </w:style>
  <w:style w:type="paragraph" w:styleId="TOC6">
    <w:name w:val="toc 6"/>
    <w:basedOn w:val="Normal"/>
    <w:next w:val="Normal"/>
    <w:autoRedefine/>
    <w:uiPriority w:val="39"/>
    <w:unhideWhenUsed/>
    <w:rsid w:val="00737CD3"/>
    <w:pPr>
      <w:ind w:left="1100"/>
    </w:pPr>
    <w:rPr>
      <w:sz w:val="18"/>
      <w:szCs w:val="18"/>
    </w:rPr>
  </w:style>
  <w:style w:type="paragraph" w:styleId="TOC7">
    <w:name w:val="toc 7"/>
    <w:basedOn w:val="Normal"/>
    <w:next w:val="Normal"/>
    <w:autoRedefine/>
    <w:uiPriority w:val="39"/>
    <w:unhideWhenUsed/>
    <w:rsid w:val="00737CD3"/>
    <w:pPr>
      <w:ind w:left="1320"/>
    </w:pPr>
    <w:rPr>
      <w:sz w:val="18"/>
      <w:szCs w:val="18"/>
    </w:rPr>
  </w:style>
  <w:style w:type="paragraph" w:styleId="TOC8">
    <w:name w:val="toc 8"/>
    <w:basedOn w:val="Normal"/>
    <w:next w:val="Normal"/>
    <w:autoRedefine/>
    <w:uiPriority w:val="39"/>
    <w:unhideWhenUsed/>
    <w:rsid w:val="00737CD3"/>
    <w:pPr>
      <w:ind w:left="1540"/>
    </w:pPr>
    <w:rPr>
      <w:sz w:val="18"/>
      <w:szCs w:val="18"/>
    </w:rPr>
  </w:style>
  <w:style w:type="paragraph" w:styleId="TOC9">
    <w:name w:val="toc 9"/>
    <w:basedOn w:val="Normal"/>
    <w:next w:val="Normal"/>
    <w:autoRedefine/>
    <w:uiPriority w:val="39"/>
    <w:unhideWhenUsed/>
    <w:rsid w:val="00737CD3"/>
    <w:pPr>
      <w:ind w:left="1760"/>
    </w:pPr>
    <w:rPr>
      <w:sz w:val="18"/>
      <w:szCs w:val="18"/>
    </w:rPr>
  </w:style>
  <w:style w:type="paragraph" w:styleId="NoSpacing">
    <w:name w:val="No Spacing"/>
    <w:uiPriority w:val="1"/>
    <w:qFormat/>
    <w:rsid w:val="00796842"/>
    <w:pPr>
      <w:spacing w:after="0" w:line="240" w:lineRule="auto"/>
    </w:pPr>
  </w:style>
  <w:style w:type="character" w:customStyle="1" w:styleId="Heading6Char">
    <w:name w:val="Heading 6 Char"/>
    <w:basedOn w:val="DefaultParagraphFont"/>
    <w:link w:val="Heading6"/>
    <w:uiPriority w:val="9"/>
    <w:rsid w:val="00B45476"/>
    <w:rPr>
      <w:rFonts w:asciiTheme="majorHAnsi" w:eastAsiaTheme="majorEastAsia" w:hAnsiTheme="majorHAnsi" w:cstheme="majorBidi"/>
      <w:b/>
      <w:bCs/>
      <w:color w:val="595959" w:themeColor="text1" w:themeTint="A6"/>
    </w:rPr>
  </w:style>
  <w:style w:type="character" w:styleId="PlaceholderText">
    <w:name w:val="Placeholder Text"/>
    <w:basedOn w:val="DefaultParagraphFont"/>
    <w:uiPriority w:val="99"/>
    <w:semiHidden/>
    <w:rsid w:val="00E52AA5"/>
    <w:rPr>
      <w:color w:val="808080"/>
    </w:rPr>
  </w:style>
  <w:style w:type="character" w:customStyle="1" w:styleId="Heading7Char">
    <w:name w:val="Heading 7 Char"/>
    <w:basedOn w:val="DefaultParagraphFont"/>
    <w:link w:val="Heading7"/>
    <w:uiPriority w:val="9"/>
    <w:rsid w:val="001445E5"/>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03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27DE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2">
    <w:name w:val="Medium Shading 2 Accent 2"/>
    <w:basedOn w:val="TableNormal"/>
    <w:uiPriority w:val="64"/>
    <w:rsid w:val="00727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7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727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727D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727D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727DE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rsid w:val="00727DE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727DE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8Char">
    <w:name w:val="Heading 8 Char"/>
    <w:basedOn w:val="DefaultParagraphFont"/>
    <w:link w:val="Heading8"/>
    <w:uiPriority w:val="9"/>
    <w:rsid w:val="0052773F"/>
    <w:rPr>
      <w:rFonts w:asciiTheme="majorHAnsi" w:eastAsiaTheme="majorEastAsia" w:hAnsiTheme="majorHAnsi" w:cstheme="majorBidi"/>
      <w:color w:val="404040" w:themeColor="text1" w:themeTint="BF"/>
      <w:sz w:val="20"/>
      <w:szCs w:val="20"/>
    </w:rPr>
  </w:style>
  <w:style w:type="paragraph" w:styleId="Title">
    <w:name w:val="Title"/>
    <w:basedOn w:val="Normal"/>
    <w:next w:val="Normal"/>
    <w:link w:val="TitleChar"/>
    <w:uiPriority w:val="10"/>
    <w:qFormat/>
    <w:rsid w:val="0024747A"/>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4747A"/>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1700</TotalTime>
  <Pages>21</Pages>
  <Words>8712</Words>
  <Characters>49661</Characters>
  <Application>Microsoft Macintosh Word</Application>
  <DocSecurity>0</DocSecurity>
  <Lines>413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dc:creator>
  <cp:keywords/>
  <cp:lastModifiedBy>Leighton Dellinger</cp:lastModifiedBy>
  <cp:revision>17</cp:revision>
  <cp:lastPrinted>2009-12-15T22:07:00Z</cp:lastPrinted>
  <dcterms:created xsi:type="dcterms:W3CDTF">2009-11-28T18:08:00Z</dcterms:created>
  <dcterms:modified xsi:type="dcterms:W3CDTF">2009-12-15T23:03:00Z</dcterms:modified>
</cp:coreProperties>
</file>