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51F" w:rsidRPr="007824F5" w:rsidRDefault="0049551F" w:rsidP="0049551F">
      <w:pPr>
        <w:jc w:val="center"/>
        <w:rPr>
          <w:rFonts w:cs="Times New Roman"/>
          <w:b/>
        </w:rPr>
      </w:pPr>
      <w:r w:rsidRPr="007824F5">
        <w:rPr>
          <w:rFonts w:cs="Times New Roman"/>
          <w:b/>
        </w:rPr>
        <w:t>WHAT IS PUBLIC SAFETY?</w:t>
      </w:r>
    </w:p>
    <w:p w:rsidR="0049551F" w:rsidRPr="005B1095" w:rsidRDefault="0049551F" w:rsidP="0049551F">
      <w:pPr>
        <w:rPr>
          <w:rFonts w:cs="Times New Roman"/>
        </w:rPr>
      </w:pPr>
    </w:p>
    <w:p w:rsidR="0049551F" w:rsidRPr="005B1095" w:rsidRDefault="0049551F" w:rsidP="0049551F">
      <w:pPr>
        <w:jc w:val="center"/>
        <w:rPr>
          <w:rFonts w:cs="Times New Roman"/>
          <w:smallCaps/>
        </w:rPr>
      </w:pPr>
      <w:r w:rsidRPr="005B1095">
        <w:rPr>
          <w:rFonts w:cs="Times New Roman"/>
          <w:smallCaps/>
        </w:rPr>
        <w:t>Introduction</w:t>
      </w:r>
    </w:p>
    <w:p w:rsidR="0049551F" w:rsidRPr="005B1095" w:rsidRDefault="0049551F" w:rsidP="0049551F">
      <w:pPr>
        <w:jc w:val="center"/>
        <w:rPr>
          <w:rFonts w:cs="Times New Roman"/>
          <w:smallCaps/>
        </w:rPr>
      </w:pPr>
    </w:p>
    <w:p w:rsidR="0049551F" w:rsidRPr="005B1095" w:rsidRDefault="0049551F" w:rsidP="0049551F">
      <w:pPr>
        <w:spacing w:line="480" w:lineRule="auto"/>
        <w:ind w:firstLine="720"/>
        <w:rPr>
          <w:rFonts w:cs="Times New Roman"/>
        </w:rPr>
      </w:pPr>
      <w:r w:rsidRPr="005B1095">
        <w:rPr>
          <w:rFonts w:cs="Times New Roman"/>
        </w:rPr>
        <w:t xml:space="preserve">Public safety is the first </w:t>
      </w:r>
      <w:r w:rsidR="00705946">
        <w:rPr>
          <w:rFonts w:cs="Times New Roman"/>
        </w:rPr>
        <w:t>duty</w:t>
      </w:r>
      <w:r w:rsidRPr="005B1095">
        <w:rPr>
          <w:rFonts w:cs="Times New Roman"/>
        </w:rPr>
        <w:t xml:space="preserve"> of government.</w:t>
      </w:r>
      <w:r w:rsidRPr="005B1095">
        <w:rPr>
          <w:rStyle w:val="FootnoteReference"/>
          <w:rFonts w:cs="Times New Roman"/>
          <w:sz w:val="24"/>
        </w:rPr>
        <w:footnoteReference w:id="1"/>
      </w:r>
      <w:r w:rsidRPr="005B1095">
        <w:rPr>
          <w:rFonts w:cs="Times New Roman"/>
        </w:rPr>
        <w:t xml:space="preserve">  So it has been said, from at least the Enlightenment onwards, by many of history’s greatest thinkers, among them the founders of the American republic.</w:t>
      </w:r>
      <w:r w:rsidRPr="005B1095">
        <w:rPr>
          <w:rStyle w:val="FootnoteReference"/>
          <w:rFonts w:cs="Times New Roman"/>
          <w:sz w:val="24"/>
        </w:rPr>
        <w:footnoteReference w:id="2"/>
      </w:r>
      <w:r w:rsidRPr="005B1095">
        <w:rPr>
          <w:rFonts w:cs="Times New Roman"/>
        </w:rPr>
        <w:t xml:space="preserve">  Today, politicians and pundits regularly </w:t>
      </w:r>
      <w:r w:rsidR="00736715">
        <w:rPr>
          <w:rFonts w:cs="Times New Roman"/>
        </w:rPr>
        <w:t>extol</w:t>
      </w:r>
      <w:r w:rsidRPr="005B1095">
        <w:rPr>
          <w:rFonts w:cs="Times New Roman"/>
        </w:rPr>
        <w:t xml:space="preserve"> the central role of government in assuring we are safe.</w:t>
      </w:r>
      <w:r w:rsidRPr="005B1095">
        <w:rPr>
          <w:rStyle w:val="FootnoteReference"/>
          <w:rFonts w:cs="Times New Roman"/>
          <w:sz w:val="24"/>
        </w:rPr>
        <w:footnoteReference w:id="3"/>
      </w:r>
    </w:p>
    <w:p w:rsidR="0049551F" w:rsidRPr="005B1095" w:rsidRDefault="0049551F" w:rsidP="0049551F">
      <w:pPr>
        <w:spacing w:line="480" w:lineRule="auto"/>
        <w:rPr>
          <w:rFonts w:cs="Times New Roman"/>
        </w:rPr>
      </w:pPr>
      <w:r w:rsidRPr="005B1095">
        <w:rPr>
          <w:rFonts w:cs="Times New Roman"/>
        </w:rPr>
        <w:tab/>
        <w:t xml:space="preserve">But what is meant by “public safety?”  What precisely does it entail to be safe?  And more to the present point, what is </w:t>
      </w:r>
      <w:r w:rsidR="00D165FB">
        <w:rPr>
          <w:rFonts w:cs="Times New Roman"/>
        </w:rPr>
        <w:t xml:space="preserve">required as part of </w:t>
      </w:r>
      <w:r w:rsidRPr="005B1095">
        <w:rPr>
          <w:rFonts w:cs="Times New Roman"/>
        </w:rPr>
        <w:t>government’s obligation to assure that each and every one of us is safe?</w:t>
      </w:r>
    </w:p>
    <w:p w:rsidR="0049551F" w:rsidRPr="005B1095" w:rsidRDefault="0049551F" w:rsidP="0049551F">
      <w:pPr>
        <w:spacing w:line="480" w:lineRule="auto"/>
        <w:rPr>
          <w:rFonts w:cs="Times New Roman"/>
        </w:rPr>
      </w:pPr>
      <w:r w:rsidRPr="005B1095">
        <w:rPr>
          <w:rFonts w:cs="Times New Roman"/>
        </w:rPr>
        <w:tab/>
        <w:t xml:space="preserve">The answers to these questions may seem simple, evident even, but they are not.  </w:t>
      </w:r>
      <w:r w:rsidR="00440D49">
        <w:rPr>
          <w:rFonts w:cs="Times New Roman"/>
        </w:rPr>
        <w:t xml:space="preserve">At the same time, </w:t>
      </w:r>
      <w:r w:rsidRPr="005B1095">
        <w:rPr>
          <w:rFonts w:cs="Times New Roman"/>
        </w:rPr>
        <w:t>recent events</w:t>
      </w:r>
      <w:r w:rsidR="00440D49">
        <w:rPr>
          <w:rFonts w:cs="Times New Roman"/>
        </w:rPr>
        <w:t xml:space="preserve">—a </w:t>
      </w:r>
      <w:r w:rsidR="00440D49" w:rsidRPr="005B1095">
        <w:rPr>
          <w:rFonts w:cs="Times New Roman"/>
        </w:rPr>
        <w:t xml:space="preserve">pandemic, </w:t>
      </w:r>
      <w:r w:rsidR="007824F5">
        <w:rPr>
          <w:rFonts w:cs="Times New Roman"/>
        </w:rPr>
        <w:t xml:space="preserve">the economic turmoil it has unleashed, rising homicide rates in major cities, and </w:t>
      </w:r>
      <w:r w:rsidR="00440D49" w:rsidRPr="005B1095">
        <w:rPr>
          <w:rFonts w:cs="Times New Roman"/>
        </w:rPr>
        <w:t>widespread protests</w:t>
      </w:r>
      <w:r w:rsidR="00440D49">
        <w:rPr>
          <w:rFonts w:cs="Times New Roman"/>
        </w:rPr>
        <w:t xml:space="preserve"> over police violence</w:t>
      </w:r>
      <w:r w:rsidR="007824F5">
        <w:rPr>
          <w:rFonts w:cs="Times New Roman"/>
        </w:rPr>
        <w:t xml:space="preserve"> </w:t>
      </w:r>
      <w:r w:rsidR="00440D49">
        <w:rPr>
          <w:rFonts w:cs="Times New Roman"/>
        </w:rPr>
        <w:t>accompanied by</w:t>
      </w:r>
      <w:r w:rsidR="00440D49" w:rsidRPr="005B1095">
        <w:rPr>
          <w:rFonts w:cs="Times New Roman"/>
        </w:rPr>
        <w:t xml:space="preserve"> calls to defund the police</w:t>
      </w:r>
      <w:r w:rsidR="00440D49">
        <w:rPr>
          <w:rFonts w:cs="Times New Roman"/>
        </w:rPr>
        <w:t xml:space="preserve">—all </w:t>
      </w:r>
      <w:r w:rsidR="00360284">
        <w:rPr>
          <w:rFonts w:cs="Times New Roman"/>
        </w:rPr>
        <w:t>underscore the importance of answering the question</w:t>
      </w:r>
      <w:r w:rsidR="002864C9">
        <w:rPr>
          <w:rFonts w:cs="Times New Roman"/>
        </w:rPr>
        <w:t>s</w:t>
      </w:r>
      <w:r w:rsidR="00360284">
        <w:rPr>
          <w:rFonts w:cs="Times New Roman"/>
        </w:rPr>
        <w:t xml:space="preserve"> correctly</w:t>
      </w:r>
      <w:r w:rsidRPr="005B1095">
        <w:rPr>
          <w:rFonts w:cs="Times New Roman"/>
        </w:rPr>
        <w:t>.</w:t>
      </w:r>
    </w:p>
    <w:p w:rsidR="0049551F" w:rsidRPr="005B1095" w:rsidRDefault="0049551F" w:rsidP="0049551F">
      <w:pPr>
        <w:spacing w:line="480" w:lineRule="auto"/>
        <w:ind w:firstLine="720"/>
        <w:rPr>
          <w:rFonts w:cs="Times New Roman"/>
        </w:rPr>
      </w:pPr>
      <w:r w:rsidRPr="005B1095">
        <w:rPr>
          <w:rFonts w:cs="Times New Roman"/>
        </w:rPr>
        <w:t xml:space="preserve">When public safety is discussed in the public sphere, it typically has been assumed </w:t>
      </w:r>
      <w:r w:rsidR="00D66BBE">
        <w:rPr>
          <w:rFonts w:cs="Times New Roman"/>
        </w:rPr>
        <w:t>to</w:t>
      </w:r>
      <w:r w:rsidRPr="005B1095">
        <w:rPr>
          <w:rFonts w:cs="Times New Roman"/>
        </w:rPr>
        <w:t xml:space="preserve"> mean freedom from injury to one’s person, and to one’s property</w:t>
      </w:r>
      <w:r w:rsidR="00360284">
        <w:rPr>
          <w:rFonts w:cs="Times New Roman"/>
        </w:rPr>
        <w:t>, in particular from violent crime</w:t>
      </w:r>
      <w:r w:rsidR="00440D49">
        <w:rPr>
          <w:rFonts w:cs="Times New Roman"/>
        </w:rPr>
        <w:t xml:space="preserve"> or events</w:t>
      </w:r>
      <w:r w:rsidRPr="005B1095">
        <w:rPr>
          <w:rFonts w:cs="Times New Roman"/>
        </w:rPr>
        <w:t>.</w:t>
      </w:r>
      <w:r w:rsidRPr="005B1095">
        <w:rPr>
          <w:rStyle w:val="FootnoteReference"/>
          <w:rFonts w:cs="Times New Roman"/>
          <w:sz w:val="24"/>
        </w:rPr>
        <w:footnoteReference w:id="4"/>
      </w:r>
      <w:r w:rsidR="00440D49">
        <w:rPr>
          <w:rFonts w:cs="Times New Roman"/>
        </w:rPr>
        <w:t xml:space="preserve"> </w:t>
      </w:r>
      <w:r w:rsidR="002864C9" w:rsidRPr="005B1095">
        <w:rPr>
          <w:rFonts w:cs="Times New Roman"/>
        </w:rPr>
        <w:t xml:space="preserve">It is true that people do not feel safe and secure if they are threatened by violent </w:t>
      </w:r>
      <w:r w:rsidR="002864C9">
        <w:rPr>
          <w:rFonts w:cs="Times New Roman"/>
        </w:rPr>
        <w:t>injury</w:t>
      </w:r>
      <w:r w:rsidR="002864C9" w:rsidRPr="005B1095">
        <w:rPr>
          <w:rFonts w:cs="Times New Roman"/>
        </w:rPr>
        <w:t>.  Indeed, protests against the police are grounded in the notion that the police themselves are causing just this sort of harm.</w:t>
      </w:r>
      <w:r w:rsidR="002864C9" w:rsidRPr="005B1095">
        <w:rPr>
          <w:rStyle w:val="FootnoteReference"/>
          <w:rFonts w:cs="Times New Roman"/>
          <w:sz w:val="24"/>
        </w:rPr>
        <w:footnoteReference w:id="5"/>
      </w:r>
    </w:p>
    <w:p w:rsidR="0049551F" w:rsidRPr="005B1095" w:rsidRDefault="0049551F" w:rsidP="0049551F">
      <w:pPr>
        <w:spacing w:line="480" w:lineRule="auto"/>
        <w:rPr>
          <w:rFonts w:cs="Times New Roman"/>
        </w:rPr>
      </w:pPr>
      <w:r w:rsidRPr="005B1095">
        <w:rPr>
          <w:rFonts w:cs="Times New Roman"/>
        </w:rPr>
        <w:tab/>
        <w:t xml:space="preserve">Surely, though, being safe means </w:t>
      </w:r>
      <w:r w:rsidR="00440D49">
        <w:rPr>
          <w:rFonts w:cs="Times New Roman"/>
        </w:rPr>
        <w:t>far</w:t>
      </w:r>
      <w:r w:rsidRPr="005B1095">
        <w:rPr>
          <w:rFonts w:cs="Times New Roman"/>
        </w:rPr>
        <w:t xml:space="preserve"> more than freedom from sudden</w:t>
      </w:r>
      <w:r w:rsidR="00E75603">
        <w:rPr>
          <w:rFonts w:cs="Times New Roman"/>
        </w:rPr>
        <w:t>, violent,</w:t>
      </w:r>
      <w:r w:rsidRPr="005B1095">
        <w:rPr>
          <w:rFonts w:cs="Times New Roman"/>
        </w:rPr>
        <w:t xml:space="preserve"> physical harm.  </w:t>
      </w:r>
      <w:r w:rsidR="002864C9">
        <w:rPr>
          <w:rFonts w:cs="Times New Roman"/>
        </w:rPr>
        <w:t>People</w:t>
      </w:r>
      <w:r w:rsidRPr="005B1095">
        <w:rPr>
          <w:rFonts w:cs="Times New Roman"/>
        </w:rPr>
        <w:t xml:space="preserve"> also do not feel safe if they are forced to sleep on the streets, to forage in trash cans for food, or are facing starvation.  If they are lacking an education and cannot earn a living or find a job.  They do not feel safe if they are confronting grievous illness, </w:t>
      </w:r>
      <w:r w:rsidR="00705946">
        <w:rPr>
          <w:rFonts w:cs="Times New Roman"/>
        </w:rPr>
        <w:t>or</w:t>
      </w:r>
      <w:r w:rsidR="00440D49">
        <w:rPr>
          <w:rFonts w:cs="Times New Roman"/>
        </w:rPr>
        <w:t xml:space="preserve"> if they</w:t>
      </w:r>
      <w:r w:rsidRPr="005B1095">
        <w:rPr>
          <w:rFonts w:cs="Times New Roman"/>
        </w:rPr>
        <w:t xml:space="preserve"> face health care costs they cannot afford.</w:t>
      </w:r>
      <w:r w:rsidR="00C73485" w:rsidRPr="005B1095">
        <w:rPr>
          <w:rStyle w:val="FootnoteReference"/>
          <w:rFonts w:cs="Times New Roman"/>
          <w:sz w:val="24"/>
        </w:rPr>
        <w:footnoteReference w:id="6"/>
      </w:r>
      <w:r w:rsidRPr="005B1095">
        <w:rPr>
          <w:rFonts w:cs="Times New Roman"/>
        </w:rPr>
        <w:t xml:space="preserve"> </w:t>
      </w:r>
    </w:p>
    <w:p w:rsidR="0049551F" w:rsidRPr="005B1095" w:rsidRDefault="0049551F" w:rsidP="0049551F">
      <w:pPr>
        <w:spacing w:line="480" w:lineRule="auto"/>
        <w:rPr>
          <w:rFonts w:cs="Times New Roman"/>
        </w:rPr>
      </w:pPr>
      <w:r w:rsidRPr="005B1095">
        <w:rPr>
          <w:rFonts w:cs="Times New Roman"/>
        </w:rPr>
        <w:tab/>
        <w:t xml:space="preserve">If safety itself reaches beyond </w:t>
      </w:r>
      <w:r w:rsidR="00E75603">
        <w:rPr>
          <w:rFonts w:cs="Times New Roman"/>
        </w:rPr>
        <w:t xml:space="preserve">violent </w:t>
      </w:r>
      <w:r w:rsidRPr="005B1095">
        <w:rPr>
          <w:rFonts w:cs="Times New Roman"/>
        </w:rPr>
        <w:t xml:space="preserve">physical harm, then perhaps government’s obligation to provide for public safety does so as well, and </w:t>
      </w:r>
      <w:r w:rsidR="00705946">
        <w:rPr>
          <w:rFonts w:cs="Times New Roman"/>
        </w:rPr>
        <w:t xml:space="preserve">thus </w:t>
      </w:r>
      <w:r w:rsidRPr="005B1095">
        <w:rPr>
          <w:rFonts w:cs="Times New Roman"/>
        </w:rPr>
        <w:t xml:space="preserve">needs to be understood more capaciously than it is at present.  That is what this Article is about.  </w:t>
      </w:r>
      <w:r w:rsidR="00D165FB">
        <w:rPr>
          <w:rFonts w:cs="Times New Roman"/>
        </w:rPr>
        <w:t xml:space="preserve">It argues that </w:t>
      </w:r>
      <w:r w:rsidR="00624A30">
        <w:rPr>
          <w:rFonts w:cs="Times New Roman"/>
        </w:rPr>
        <w:t xml:space="preserve">the sort of focused attention given government’s “first </w:t>
      </w:r>
      <w:r w:rsidR="00705946">
        <w:rPr>
          <w:rFonts w:cs="Times New Roman"/>
        </w:rPr>
        <w:t>duty</w:t>
      </w:r>
      <w:r w:rsidR="00624A30">
        <w:rPr>
          <w:rFonts w:cs="Times New Roman"/>
        </w:rPr>
        <w:t xml:space="preserve">” needs </w:t>
      </w:r>
      <w:r w:rsidR="00705946">
        <w:rPr>
          <w:rFonts w:cs="Times New Roman"/>
        </w:rPr>
        <w:t xml:space="preserve">to </w:t>
      </w:r>
      <w:r w:rsidR="00DD7A9F">
        <w:rPr>
          <w:rFonts w:cs="Times New Roman"/>
        </w:rPr>
        <w:t xml:space="preserve">expand to include </w:t>
      </w:r>
      <w:r w:rsidR="00624A30">
        <w:rPr>
          <w:rFonts w:cs="Times New Roman"/>
        </w:rPr>
        <w:t>many of the other circumstances that threaten individual safety</w:t>
      </w:r>
      <w:r w:rsidR="00D165FB">
        <w:rPr>
          <w:rFonts w:cs="Times New Roman"/>
        </w:rPr>
        <w:t xml:space="preserve"> </w:t>
      </w:r>
      <w:r w:rsidR="00DD7A9F">
        <w:rPr>
          <w:rFonts w:cs="Times New Roman"/>
        </w:rPr>
        <w:t>beyond violent harm</w:t>
      </w:r>
      <w:r w:rsidR="00624A30">
        <w:rPr>
          <w:rFonts w:cs="Times New Roman"/>
        </w:rPr>
        <w:t xml:space="preserve">. </w:t>
      </w:r>
      <w:r w:rsidRPr="005B1095">
        <w:rPr>
          <w:rFonts w:cs="Times New Roman"/>
        </w:rPr>
        <w:t xml:space="preserve">Although </w:t>
      </w:r>
      <w:r w:rsidR="00705946">
        <w:rPr>
          <w:rFonts w:cs="Times New Roman"/>
        </w:rPr>
        <w:t>every one</w:t>
      </w:r>
      <w:r w:rsidRPr="005B1095">
        <w:rPr>
          <w:rFonts w:cs="Times New Roman"/>
        </w:rPr>
        <w:t xml:space="preserve"> of the</w:t>
      </w:r>
      <w:r w:rsidR="00624A30">
        <w:rPr>
          <w:rFonts w:cs="Times New Roman"/>
        </w:rPr>
        <w:t>se</w:t>
      </w:r>
      <w:r w:rsidRPr="005B1095">
        <w:rPr>
          <w:rFonts w:cs="Times New Roman"/>
        </w:rPr>
        <w:t xml:space="preserve"> threats may not be government’s responsibility to ameliorate, there is good reason to believe that at least some of them are.  It universally was the conclusion that government had failed the people of Flint, Michigan in its obligation to provide them clean water; indeed, government conceded as much.</w:t>
      </w:r>
      <w:r w:rsidRPr="005B1095">
        <w:rPr>
          <w:rStyle w:val="FootnoteReference"/>
          <w:rFonts w:cs="Times New Roman"/>
          <w:sz w:val="24"/>
        </w:rPr>
        <w:footnoteReference w:id="7"/>
      </w:r>
      <w:r w:rsidRPr="005B1095">
        <w:rPr>
          <w:rFonts w:cs="Times New Roman"/>
        </w:rPr>
        <w:t xml:space="preserve">  Government similarly was understood to have failed in the time it took restore power to the people of Puerto Rico following Hurricane Maria.</w:t>
      </w:r>
      <w:r w:rsidRPr="005B1095">
        <w:rPr>
          <w:rStyle w:val="FootnoteReference"/>
          <w:rFonts w:cs="Times New Roman"/>
          <w:sz w:val="24"/>
        </w:rPr>
        <w:footnoteReference w:id="8"/>
      </w:r>
      <w:r w:rsidRPr="005B1095">
        <w:rPr>
          <w:rFonts w:cs="Times New Roman"/>
        </w:rPr>
        <w:t xml:space="preserve">  And government by common consensus is responsible for addressing the pandemic we currently are experiencing (even as there is disagreement about what </w:t>
      </w:r>
      <w:r w:rsidR="00D66BBE">
        <w:rPr>
          <w:rFonts w:cs="Times New Roman"/>
        </w:rPr>
        <w:t xml:space="preserve">exactly </w:t>
      </w:r>
      <w:r w:rsidRPr="005B1095">
        <w:rPr>
          <w:rFonts w:cs="Times New Roman"/>
        </w:rPr>
        <w:t>government should be doing</w:t>
      </w:r>
      <w:r w:rsidR="00D66BBE">
        <w:rPr>
          <w:rFonts w:cs="Times New Roman"/>
        </w:rPr>
        <w:t>, and which government should be doing it</w:t>
      </w:r>
      <w:r w:rsidRPr="005B1095">
        <w:rPr>
          <w:rFonts w:cs="Times New Roman"/>
        </w:rPr>
        <w:t>).</w:t>
      </w:r>
      <w:r w:rsidRPr="005B1095">
        <w:rPr>
          <w:rStyle w:val="FootnoteReference"/>
          <w:rFonts w:cs="Times New Roman"/>
          <w:sz w:val="24"/>
        </w:rPr>
        <w:footnoteReference w:id="9"/>
      </w:r>
      <w:r w:rsidRPr="005B1095">
        <w:rPr>
          <w:rFonts w:cs="Times New Roman"/>
        </w:rPr>
        <w:t xml:space="preserve">  </w:t>
      </w:r>
    </w:p>
    <w:p w:rsidR="0049551F" w:rsidRPr="005B1095" w:rsidRDefault="0049551F" w:rsidP="0049551F">
      <w:pPr>
        <w:spacing w:line="480" w:lineRule="auto"/>
        <w:rPr>
          <w:rFonts w:cs="Times New Roman"/>
        </w:rPr>
      </w:pPr>
      <w:r w:rsidRPr="005B1095">
        <w:rPr>
          <w:rFonts w:cs="Times New Roman"/>
        </w:rPr>
        <w:tab/>
        <w:t xml:space="preserve">But how far does (or should) government’s obligation to provide public safety extend?  If clean water, does it also include clean air?  If electricity, what about food, or housing—or education and job opportunity for that matter?  If fighting pandemics, what about health care in general? Many of these things seem equally basic to assuring human safety, but government’s role in addressing them hardly garners the same consensus as does protection from physical violence.  </w:t>
      </w:r>
    </w:p>
    <w:p w:rsidR="0049551F" w:rsidRPr="005B1095" w:rsidRDefault="0049551F" w:rsidP="0049551F">
      <w:pPr>
        <w:spacing w:line="480" w:lineRule="auto"/>
        <w:rPr>
          <w:rFonts w:cs="Times New Roman"/>
        </w:rPr>
      </w:pPr>
      <w:r w:rsidRPr="005B1095">
        <w:rPr>
          <w:rFonts w:cs="Times New Roman"/>
        </w:rPr>
        <w:tab/>
        <w:t xml:space="preserve">One might think, perhaps, that the question itself makes a fetish of a name:  what </w:t>
      </w:r>
      <w:r w:rsidR="00D66BBE">
        <w:rPr>
          <w:rFonts w:cs="Times New Roman"/>
        </w:rPr>
        <w:t>can</w:t>
      </w:r>
      <w:r w:rsidRPr="005B1095">
        <w:rPr>
          <w:rFonts w:cs="Times New Roman"/>
        </w:rPr>
        <w:t xml:space="preserve"> it </w:t>
      </w:r>
      <w:r w:rsidR="00D66BBE">
        <w:rPr>
          <w:rFonts w:cs="Times New Roman"/>
        </w:rPr>
        <w:t xml:space="preserve">possibly </w:t>
      </w:r>
      <w:r w:rsidRPr="005B1095">
        <w:rPr>
          <w:rFonts w:cs="Times New Roman"/>
        </w:rPr>
        <w:t xml:space="preserve">matter if something is deemed </w:t>
      </w:r>
      <w:r w:rsidR="00624A30">
        <w:rPr>
          <w:rFonts w:cs="Times New Roman"/>
        </w:rPr>
        <w:t>“</w:t>
      </w:r>
      <w:r w:rsidRPr="005B1095">
        <w:rPr>
          <w:rFonts w:cs="Times New Roman"/>
        </w:rPr>
        <w:t>public safety</w:t>
      </w:r>
      <w:r w:rsidR="00624A30">
        <w:rPr>
          <w:rFonts w:cs="Times New Roman"/>
        </w:rPr>
        <w:t>”</w:t>
      </w:r>
      <w:r w:rsidRPr="005B1095">
        <w:rPr>
          <w:rFonts w:cs="Times New Roman"/>
        </w:rPr>
        <w:t xml:space="preserve"> or not?  Education may be important; so too those other things.  And government may play a role in providing them.  </w:t>
      </w:r>
      <w:r w:rsidR="00D66BBE">
        <w:rPr>
          <w:rFonts w:cs="Times New Roman"/>
        </w:rPr>
        <w:t>W</w:t>
      </w:r>
      <w:r w:rsidRPr="005B1095">
        <w:rPr>
          <w:rFonts w:cs="Times New Roman"/>
        </w:rPr>
        <w:t>hy should anyone care in particular if food or water or education or health care are called matters of “public safety</w:t>
      </w:r>
      <w:r w:rsidR="00624A30">
        <w:rPr>
          <w:rFonts w:cs="Times New Roman"/>
        </w:rPr>
        <w:t>,</w:t>
      </w:r>
      <w:r w:rsidRPr="005B1095">
        <w:rPr>
          <w:rFonts w:cs="Times New Roman"/>
        </w:rPr>
        <w:t>”</w:t>
      </w:r>
      <w:r w:rsidR="00624A30">
        <w:rPr>
          <w:rFonts w:cs="Times New Roman"/>
        </w:rPr>
        <w:t xml:space="preserve"> as opposed to</w:t>
      </w:r>
      <w:r w:rsidR="00705946">
        <w:rPr>
          <w:rFonts w:cs="Times New Roman"/>
        </w:rPr>
        <w:t xml:space="preserve">, say, </w:t>
      </w:r>
      <w:r w:rsidR="00624A30">
        <w:rPr>
          <w:rFonts w:cs="Times New Roman"/>
        </w:rPr>
        <w:t xml:space="preserve">“welfare” or </w:t>
      </w:r>
      <w:r w:rsidR="00DD7A9F">
        <w:rPr>
          <w:rFonts w:cs="Times New Roman"/>
        </w:rPr>
        <w:t xml:space="preserve">“human </w:t>
      </w:r>
      <w:r w:rsidR="00466AD6">
        <w:rPr>
          <w:rFonts w:cs="Times New Roman"/>
        </w:rPr>
        <w:t xml:space="preserve">flourishing,” or </w:t>
      </w:r>
      <w:r w:rsidR="00624A30">
        <w:rPr>
          <w:rFonts w:cs="Times New Roman"/>
        </w:rPr>
        <w:t>“thriving</w:t>
      </w:r>
      <w:r w:rsidRPr="005B1095">
        <w:rPr>
          <w:rFonts w:cs="Times New Roman"/>
        </w:rPr>
        <w:t>?</w:t>
      </w:r>
      <w:r w:rsidR="00624A30">
        <w:rPr>
          <w:rFonts w:cs="Times New Roman"/>
        </w:rPr>
        <w:t>”</w:t>
      </w:r>
    </w:p>
    <w:p w:rsidR="0049551F" w:rsidRPr="005B1095" w:rsidRDefault="0049551F" w:rsidP="0049551F">
      <w:pPr>
        <w:spacing w:line="480" w:lineRule="auto"/>
        <w:ind w:firstLine="720"/>
        <w:rPr>
          <w:rFonts w:cs="Times New Roman"/>
        </w:rPr>
      </w:pPr>
      <w:r w:rsidRPr="005B1095">
        <w:rPr>
          <w:rFonts w:cs="Times New Roman"/>
        </w:rPr>
        <w:t xml:space="preserve">The answer is </w:t>
      </w:r>
      <w:r w:rsidR="00705946">
        <w:rPr>
          <w:rFonts w:cs="Times New Roman"/>
        </w:rPr>
        <w:t>that</w:t>
      </w:r>
      <w:r w:rsidR="00DD7A9F">
        <w:rPr>
          <w:rFonts w:cs="Times New Roman"/>
        </w:rPr>
        <w:t xml:space="preserve"> there is a rhetorical and emotive force to discussing things in terms of safety that gets lost when described in other ways. “Safety” has an urgency to it</w:t>
      </w:r>
      <w:r w:rsidR="00705946">
        <w:rPr>
          <w:rFonts w:cs="Times New Roman"/>
        </w:rPr>
        <w:t xml:space="preserve"> </w:t>
      </w:r>
      <w:r w:rsidR="00DD7A9F">
        <w:rPr>
          <w:rFonts w:cs="Times New Roman"/>
        </w:rPr>
        <w:t xml:space="preserve">that “flourishing” </w:t>
      </w:r>
      <w:r w:rsidR="00705946">
        <w:rPr>
          <w:rFonts w:cs="Times New Roman"/>
        </w:rPr>
        <w:t xml:space="preserve">or “well-being” </w:t>
      </w:r>
      <w:r w:rsidR="00DD7A9F">
        <w:rPr>
          <w:rFonts w:cs="Times New Roman"/>
        </w:rPr>
        <w:t xml:space="preserve">simply does not. </w:t>
      </w:r>
      <w:r w:rsidR="00705946">
        <w:rPr>
          <w:rFonts w:cs="Times New Roman"/>
        </w:rPr>
        <w:t>I</w:t>
      </w:r>
      <w:r w:rsidR="00DD7A9F">
        <w:rPr>
          <w:rFonts w:cs="Times New Roman"/>
        </w:rPr>
        <w:t xml:space="preserve">n the public sphere </w:t>
      </w:r>
      <w:r w:rsidR="00705946">
        <w:rPr>
          <w:rFonts w:cs="Times New Roman"/>
        </w:rPr>
        <w:t>it is precisely this sort of framing that</w:t>
      </w:r>
      <w:r w:rsidR="00DD7A9F">
        <w:rPr>
          <w:rFonts w:cs="Times New Roman"/>
        </w:rPr>
        <w:t xml:space="preserve"> drives and prioritizes what government must do. I</w:t>
      </w:r>
      <w:r w:rsidRPr="005B1095">
        <w:rPr>
          <w:rFonts w:cs="Times New Roman"/>
        </w:rPr>
        <w:t xml:space="preserve">f public safety is the </w:t>
      </w:r>
      <w:r w:rsidRPr="00624A30">
        <w:rPr>
          <w:rFonts w:cs="Times New Roman"/>
          <w:i/>
        </w:rPr>
        <w:t>first</w:t>
      </w:r>
      <w:r w:rsidRPr="005B1095">
        <w:rPr>
          <w:rFonts w:cs="Times New Roman"/>
        </w:rPr>
        <w:t xml:space="preserve"> job of government, everything else becomes secondary.  Perhaps even optional.  We privilege what we </w:t>
      </w:r>
      <w:r w:rsidR="00D66BBE">
        <w:rPr>
          <w:rFonts w:cs="Times New Roman"/>
        </w:rPr>
        <w:t>deem to be part of</w:t>
      </w:r>
      <w:r w:rsidRPr="005B1095">
        <w:rPr>
          <w:rFonts w:cs="Times New Roman"/>
        </w:rPr>
        <w:t xml:space="preserve"> public safety, and the rest must fight for its place on the agenda.</w:t>
      </w:r>
      <w:r w:rsidR="00541BA1" w:rsidRPr="005B1095">
        <w:rPr>
          <w:rStyle w:val="FootnoteReference"/>
          <w:rFonts w:cs="Times New Roman"/>
          <w:sz w:val="24"/>
        </w:rPr>
        <w:footnoteReference w:id="10"/>
      </w:r>
      <w:r w:rsidRPr="005B1095">
        <w:rPr>
          <w:rFonts w:cs="Times New Roman"/>
        </w:rPr>
        <w:t xml:space="preserve">  </w:t>
      </w:r>
    </w:p>
    <w:p w:rsidR="0049551F" w:rsidRPr="005B1095" w:rsidRDefault="0049551F" w:rsidP="0049551F">
      <w:pPr>
        <w:spacing w:line="480" w:lineRule="auto"/>
        <w:ind w:firstLine="720"/>
        <w:rPr>
          <w:rFonts w:cs="Times New Roman"/>
        </w:rPr>
      </w:pPr>
      <w:r w:rsidRPr="005B1095">
        <w:rPr>
          <w:rFonts w:cs="Times New Roman"/>
        </w:rPr>
        <w:t xml:space="preserve">From time immemorial to the present, public safety has been understood to </w:t>
      </w:r>
      <w:r w:rsidR="00D66BBE">
        <w:rPr>
          <w:rFonts w:cs="Times New Roman"/>
        </w:rPr>
        <w:t>mean</w:t>
      </w:r>
      <w:r w:rsidRPr="005B1095">
        <w:rPr>
          <w:rFonts w:cs="Times New Roman"/>
        </w:rPr>
        <w:t xml:space="preserve"> </w:t>
      </w:r>
      <w:r w:rsidR="00D66BBE">
        <w:rPr>
          <w:rFonts w:cs="Times New Roman"/>
        </w:rPr>
        <w:t xml:space="preserve">what I will call (and others have called) </w:t>
      </w:r>
      <w:r w:rsidRPr="005B1095">
        <w:rPr>
          <w:rFonts w:cs="Times New Roman"/>
        </w:rPr>
        <w:t xml:space="preserve">the </w:t>
      </w:r>
      <w:r w:rsidR="00D66BBE">
        <w:rPr>
          <w:rFonts w:cs="Times New Roman"/>
        </w:rPr>
        <w:t>“</w:t>
      </w:r>
      <w:r w:rsidRPr="005B1095">
        <w:rPr>
          <w:rFonts w:cs="Times New Roman"/>
        </w:rPr>
        <w:t>protection</w:t>
      </w:r>
      <w:r w:rsidR="009B442D">
        <w:rPr>
          <w:rFonts w:cs="Times New Roman"/>
        </w:rPr>
        <w:t>”</w:t>
      </w:r>
      <w:r w:rsidRPr="005B1095">
        <w:rPr>
          <w:rFonts w:cs="Times New Roman"/>
        </w:rPr>
        <w:t xml:space="preserve"> function – guarding people from </w:t>
      </w:r>
      <w:r w:rsidR="009B442D">
        <w:rPr>
          <w:rFonts w:cs="Times New Roman"/>
        </w:rPr>
        <w:t xml:space="preserve">violent </w:t>
      </w:r>
      <w:r w:rsidRPr="005B1095">
        <w:rPr>
          <w:rFonts w:cs="Times New Roman"/>
        </w:rPr>
        <w:t>injury to person or property caused by third parties, and perhaps by nature</w:t>
      </w:r>
      <w:r w:rsidR="009B442D">
        <w:rPr>
          <w:rFonts w:cs="Times New Roman"/>
        </w:rPr>
        <w:t>—</w:t>
      </w:r>
      <w:r w:rsidRPr="005B1095">
        <w:rPr>
          <w:rFonts w:cs="Times New Roman"/>
        </w:rPr>
        <w:t>and this has been seen as job one.</w:t>
      </w:r>
      <w:r w:rsidRPr="005B1095">
        <w:rPr>
          <w:rStyle w:val="FootnoteReference"/>
          <w:rFonts w:cs="Times New Roman"/>
          <w:sz w:val="24"/>
        </w:rPr>
        <w:footnoteReference w:id="11"/>
      </w:r>
      <w:r w:rsidRPr="005B1095">
        <w:rPr>
          <w:rFonts w:cs="Times New Roman"/>
        </w:rPr>
        <w:t xml:space="preserve">  </w:t>
      </w:r>
      <w:r w:rsidR="00D66BBE">
        <w:rPr>
          <w:rFonts w:cs="Times New Roman"/>
        </w:rPr>
        <w:t>Society</w:t>
      </w:r>
      <w:r w:rsidRPr="005B1095">
        <w:rPr>
          <w:rFonts w:cs="Times New Roman"/>
        </w:rPr>
        <w:t xml:space="preserve"> pour</w:t>
      </w:r>
      <w:r w:rsidR="00D66BBE">
        <w:rPr>
          <w:rFonts w:cs="Times New Roman"/>
        </w:rPr>
        <w:t>s</w:t>
      </w:r>
      <w:r w:rsidRPr="005B1095">
        <w:rPr>
          <w:rFonts w:cs="Times New Roman"/>
        </w:rPr>
        <w:t xml:space="preserve"> enormous resources into assuring it.  We promise it to everyone, and while there clearly are substantial shortfalls</w:t>
      </w:r>
      <w:r w:rsidR="009B442D">
        <w:rPr>
          <w:rFonts w:cs="Times New Roman"/>
        </w:rPr>
        <w:t xml:space="preserve"> in actually affording it even-handedly</w:t>
      </w:r>
      <w:r w:rsidRPr="005B1095">
        <w:rPr>
          <w:rFonts w:cs="Times New Roman"/>
        </w:rPr>
        <w:t xml:space="preserve">, no one seriously contests the universality of the guarantee. </w:t>
      </w:r>
      <w:r w:rsidR="00624A30">
        <w:rPr>
          <w:rFonts w:cs="Times New Roman"/>
        </w:rPr>
        <w:t>Society</w:t>
      </w:r>
      <w:r w:rsidRPr="005B1095">
        <w:rPr>
          <w:rFonts w:cs="Times New Roman"/>
        </w:rPr>
        <w:t xml:space="preserve"> valorize</w:t>
      </w:r>
      <w:r w:rsidR="00624A30">
        <w:rPr>
          <w:rFonts w:cs="Times New Roman"/>
        </w:rPr>
        <w:t>s</w:t>
      </w:r>
      <w:r w:rsidRPr="005B1095">
        <w:rPr>
          <w:rFonts w:cs="Times New Roman"/>
        </w:rPr>
        <w:t xml:space="preserve"> those who provide it, </w:t>
      </w:r>
      <w:r w:rsidR="009B442D">
        <w:rPr>
          <w:rFonts w:cs="Times New Roman"/>
        </w:rPr>
        <w:t xml:space="preserve">in particular the police, </w:t>
      </w:r>
      <w:r w:rsidRPr="005B1095">
        <w:rPr>
          <w:rFonts w:cs="Times New Roman"/>
        </w:rPr>
        <w:t xml:space="preserve">and until very, very recently seemed loath to second guess their choices, even when—quite frankly—doing so might make good sense.  </w:t>
      </w:r>
      <w:r w:rsidR="00D66BBE">
        <w:rPr>
          <w:rFonts w:cs="Times New Roman"/>
        </w:rPr>
        <w:t>Government</w:t>
      </w:r>
      <w:r w:rsidRPr="005B1095">
        <w:rPr>
          <w:rFonts w:cs="Times New Roman"/>
        </w:rPr>
        <w:t xml:space="preserve"> put</w:t>
      </w:r>
      <w:r w:rsidR="00D66BBE">
        <w:rPr>
          <w:rFonts w:cs="Times New Roman"/>
        </w:rPr>
        <w:t>s</w:t>
      </w:r>
      <w:r w:rsidRPr="005B1095">
        <w:rPr>
          <w:rFonts w:cs="Times New Roman"/>
        </w:rPr>
        <w:t xml:space="preserve"> so much faith </w:t>
      </w:r>
      <w:r w:rsidR="00D165FB">
        <w:rPr>
          <w:rFonts w:cs="Times New Roman"/>
        </w:rPr>
        <w:t>in</w:t>
      </w:r>
      <w:r w:rsidRPr="005B1095">
        <w:rPr>
          <w:rFonts w:cs="Times New Roman"/>
        </w:rPr>
        <w:t xml:space="preserve"> this basic function, that </w:t>
      </w:r>
      <w:r w:rsidR="00D66BBE">
        <w:rPr>
          <w:rFonts w:cs="Times New Roman"/>
        </w:rPr>
        <w:t>it</w:t>
      </w:r>
      <w:r w:rsidRPr="005B1095">
        <w:rPr>
          <w:rFonts w:cs="Times New Roman"/>
        </w:rPr>
        <w:t xml:space="preserve"> turn</w:t>
      </w:r>
      <w:r w:rsidR="00D66BBE">
        <w:rPr>
          <w:rFonts w:cs="Times New Roman"/>
        </w:rPr>
        <w:t>s</w:t>
      </w:r>
      <w:r w:rsidRPr="005B1095">
        <w:rPr>
          <w:rFonts w:cs="Times New Roman"/>
        </w:rPr>
        <w:t xml:space="preserve"> over to our </w:t>
      </w:r>
      <w:r w:rsidR="009B442D">
        <w:rPr>
          <w:rFonts w:cs="Times New Roman"/>
        </w:rPr>
        <w:t xml:space="preserve">“protection” </w:t>
      </w:r>
      <w:r w:rsidR="00624A30">
        <w:rPr>
          <w:rFonts w:cs="Times New Roman"/>
        </w:rPr>
        <w:t>workers</w:t>
      </w:r>
      <w:r w:rsidRPr="005B1095">
        <w:rPr>
          <w:rFonts w:cs="Times New Roman"/>
        </w:rPr>
        <w:t xml:space="preserve"> all sorts of </w:t>
      </w:r>
      <w:r w:rsidR="009B442D">
        <w:rPr>
          <w:rFonts w:cs="Times New Roman"/>
        </w:rPr>
        <w:t xml:space="preserve">other </w:t>
      </w:r>
      <w:r w:rsidRPr="005B1095">
        <w:rPr>
          <w:rFonts w:cs="Times New Roman"/>
        </w:rPr>
        <w:t>problems—from homelessness, to substance abuse, to mental illness—to which their skills do not seem particularly apt.  (This suggests we may already have a capacious understanding of public safety, but a narrow sense of how to achieve it.)</w:t>
      </w:r>
      <w:r w:rsidRPr="005B1095">
        <w:rPr>
          <w:rStyle w:val="FootnoteReference"/>
          <w:rFonts w:cs="Times New Roman"/>
          <w:sz w:val="24"/>
        </w:rPr>
        <w:footnoteReference w:id="12"/>
      </w:r>
    </w:p>
    <w:p w:rsidR="0049551F" w:rsidRPr="005B1095" w:rsidRDefault="0049551F" w:rsidP="0049551F">
      <w:pPr>
        <w:spacing w:line="480" w:lineRule="auto"/>
        <w:ind w:firstLine="720"/>
        <w:rPr>
          <w:rFonts w:cs="Times New Roman"/>
        </w:rPr>
      </w:pPr>
      <w:r w:rsidRPr="005B1095">
        <w:rPr>
          <w:rFonts w:cs="Times New Roman"/>
        </w:rPr>
        <w:t>On the other hand, all else beyond the protection function remain contested.  We fight over the terms of the social “safety” net (though note the name we give it).  Governments guarantee everyone an education, but struggle to avoid the obligation of funding it adequately.  Rather than thinking of housing the homeless, we criminalize them through laws banning sleeping in the park, camping, or even giving food to needy people.  Health insurance remains a political brawl.</w:t>
      </w:r>
      <w:r w:rsidR="00193954">
        <w:rPr>
          <w:rStyle w:val="FootnoteReference"/>
          <w:rFonts w:cs="Times New Roman"/>
        </w:rPr>
        <w:footnoteReference w:id="13"/>
      </w:r>
      <w:r w:rsidRPr="005B1095">
        <w:rPr>
          <w:rFonts w:cs="Times New Roman"/>
        </w:rPr>
        <w:t xml:space="preserve">  </w:t>
      </w:r>
    </w:p>
    <w:p w:rsidR="0049551F" w:rsidRDefault="0049551F" w:rsidP="0049551F">
      <w:pPr>
        <w:spacing w:line="480" w:lineRule="auto"/>
        <w:ind w:firstLine="720"/>
        <w:rPr>
          <w:rFonts w:cs="Times New Roman"/>
        </w:rPr>
      </w:pPr>
      <w:r w:rsidRPr="005B1095">
        <w:rPr>
          <w:rFonts w:cs="Times New Roman"/>
        </w:rPr>
        <w:t>If public safety is indeed government’s first job, then we cannot (and likely do not) direct government adequately, nor critique its performance appropriately, without a consensus around what is in and what is out.  And why.  Setting priorities and an agenda, evaluating progress, and correcting for failure, all depend on answering the question:  What is public safety?</w:t>
      </w:r>
    </w:p>
    <w:p w:rsidR="0049551F" w:rsidRDefault="0049551F" w:rsidP="0049551F">
      <w:pPr>
        <w:spacing w:line="480" w:lineRule="auto"/>
        <w:rPr>
          <w:rFonts w:cs="Times New Roman"/>
        </w:rPr>
      </w:pPr>
      <w:r w:rsidRPr="005B1095">
        <w:rPr>
          <w:rFonts w:cs="Times New Roman"/>
        </w:rPr>
        <w:tab/>
      </w:r>
      <w:r w:rsidR="00624A30">
        <w:rPr>
          <w:rFonts w:cs="Times New Roman"/>
        </w:rPr>
        <w:t>Despite the seeming centrality of this question</w:t>
      </w:r>
      <w:r w:rsidRPr="005B1095">
        <w:rPr>
          <w:rFonts w:cs="Times New Roman"/>
        </w:rPr>
        <w:t xml:space="preserve">, there is a paucity of </w:t>
      </w:r>
      <w:r w:rsidR="00624A30">
        <w:rPr>
          <w:rFonts w:cs="Times New Roman"/>
        </w:rPr>
        <w:t xml:space="preserve">academic </w:t>
      </w:r>
      <w:r w:rsidR="00D165FB">
        <w:rPr>
          <w:rFonts w:cs="Times New Roman"/>
        </w:rPr>
        <w:t>l</w:t>
      </w:r>
      <w:r w:rsidRPr="005B1095">
        <w:rPr>
          <w:rFonts w:cs="Times New Roman"/>
        </w:rPr>
        <w:t>iterature addressing it.  To be sure, there a great deal of talk in the public sphere about public safety, and much literature arguing this or that is a right government must provide or a benefit that it should.</w:t>
      </w:r>
      <w:r w:rsidRPr="005B1095">
        <w:rPr>
          <w:rStyle w:val="FootnoteReference"/>
          <w:rFonts w:cs="Times New Roman"/>
          <w:sz w:val="24"/>
        </w:rPr>
        <w:footnoteReference w:id="14"/>
      </w:r>
      <w:r w:rsidRPr="005B1095">
        <w:rPr>
          <w:rFonts w:cs="Times New Roman"/>
        </w:rPr>
        <w:t xml:space="preserve">  </w:t>
      </w:r>
      <w:r w:rsidR="004C3CBC" w:rsidRPr="005B1095">
        <w:rPr>
          <w:rFonts w:cs="Times New Roman"/>
        </w:rPr>
        <w:t>Indeed, in the wake of the killing of George Floyd, and widespread national protests and disorder, this very issue of what public safety means has risen to the fore, popularized by the movement to “defund” the police, and asserting that budgets should be redirected from the protection movement to community need..</w:t>
      </w:r>
      <w:r w:rsidR="004C3CBC" w:rsidRPr="005B1095">
        <w:rPr>
          <w:rStyle w:val="FootnoteReference"/>
          <w:rFonts w:cs="Times New Roman"/>
          <w:sz w:val="24"/>
        </w:rPr>
        <w:footnoteReference w:id="15"/>
      </w:r>
      <w:r w:rsidR="004C3CBC" w:rsidRPr="005B1095">
        <w:rPr>
          <w:rFonts w:cs="Times New Roman"/>
        </w:rPr>
        <w:t xml:space="preserve">  </w:t>
      </w:r>
      <w:r w:rsidRPr="005B1095">
        <w:rPr>
          <w:rFonts w:cs="Times New Roman"/>
        </w:rPr>
        <w:t xml:space="preserve">But there is almost no </w:t>
      </w:r>
      <w:r w:rsidR="00624A30">
        <w:rPr>
          <w:rFonts w:cs="Times New Roman"/>
        </w:rPr>
        <w:t>scholarship</w:t>
      </w:r>
      <w:r w:rsidRPr="005B1095">
        <w:rPr>
          <w:rFonts w:cs="Times New Roman"/>
        </w:rPr>
        <w:t xml:space="preserve"> that discusses what is meant—or should be meant—by “public safety,” and why the protection function may be on the list, but other essential items not.</w:t>
      </w:r>
      <w:r w:rsidR="00C73485" w:rsidRPr="005B1095">
        <w:rPr>
          <w:rFonts w:cs="Times New Roman"/>
        </w:rPr>
        <w:t xml:space="preserve">  </w:t>
      </w:r>
      <w:r w:rsidR="00624A30">
        <w:rPr>
          <w:rFonts w:cs="Times New Roman"/>
        </w:rPr>
        <w:t>Among other things,</w:t>
      </w:r>
      <w:r w:rsidR="004C3CBC" w:rsidRPr="005B1095">
        <w:rPr>
          <w:rFonts w:cs="Times New Roman"/>
        </w:rPr>
        <w:t xml:space="preserve"> this Article provides a theoretical undergirding for claims being made on the streets today</w:t>
      </w:r>
      <w:r w:rsidR="00537C12" w:rsidRPr="005B1095">
        <w:rPr>
          <w:rFonts w:cs="Times New Roman"/>
        </w:rPr>
        <w:t xml:space="preserve"> about the need to reallocate societal resources</w:t>
      </w:r>
      <w:r w:rsidR="004C3CBC" w:rsidRPr="005B1095">
        <w:rPr>
          <w:rFonts w:cs="Times New Roman"/>
        </w:rPr>
        <w:t>.</w:t>
      </w:r>
    </w:p>
    <w:p w:rsidR="0049551F" w:rsidRPr="005B1095" w:rsidRDefault="0049551F" w:rsidP="0049551F">
      <w:pPr>
        <w:spacing w:line="480" w:lineRule="auto"/>
        <w:rPr>
          <w:rFonts w:cs="Times New Roman"/>
        </w:rPr>
      </w:pPr>
      <w:r w:rsidRPr="005B1095">
        <w:rPr>
          <w:rFonts w:cs="Times New Roman"/>
        </w:rPr>
        <w:tab/>
      </w:r>
      <w:r w:rsidR="00D165FB">
        <w:rPr>
          <w:rFonts w:cs="Times New Roman"/>
        </w:rPr>
        <w:t>The intuition here is that our failure to talk about people’s deepest needs in terms of public safety is responsible, at least in part, for why</w:t>
      </w:r>
      <w:r w:rsidRPr="005B1095">
        <w:rPr>
          <w:rFonts w:cs="Times New Roman"/>
        </w:rPr>
        <w:t xml:space="preserve"> </w:t>
      </w:r>
      <w:r w:rsidR="00D165FB">
        <w:rPr>
          <w:rFonts w:cs="Times New Roman"/>
        </w:rPr>
        <w:t xml:space="preserve">so </w:t>
      </w:r>
      <w:r w:rsidRPr="005B1095">
        <w:rPr>
          <w:rFonts w:cs="Times New Roman"/>
        </w:rPr>
        <w:t xml:space="preserve">many people </w:t>
      </w:r>
      <w:r w:rsidR="008D1D1C">
        <w:rPr>
          <w:rFonts w:cs="Times New Roman"/>
        </w:rPr>
        <w:t xml:space="preserve">in this </w:t>
      </w:r>
      <w:r w:rsidR="00D165FB">
        <w:rPr>
          <w:rFonts w:cs="Times New Roman"/>
        </w:rPr>
        <w:t xml:space="preserve">wealthy </w:t>
      </w:r>
      <w:r w:rsidR="008D1D1C">
        <w:rPr>
          <w:rFonts w:cs="Times New Roman"/>
        </w:rPr>
        <w:t xml:space="preserve">country </w:t>
      </w:r>
      <w:r w:rsidRPr="005B1095">
        <w:rPr>
          <w:rFonts w:cs="Times New Roman"/>
        </w:rPr>
        <w:t xml:space="preserve">are not </w:t>
      </w:r>
      <w:r w:rsidR="00D165FB">
        <w:rPr>
          <w:rFonts w:cs="Times New Roman"/>
        </w:rPr>
        <w:t xml:space="preserve">in fact </w:t>
      </w:r>
      <w:r w:rsidRPr="005B1095">
        <w:rPr>
          <w:rFonts w:cs="Times New Roman"/>
        </w:rPr>
        <w:t xml:space="preserve">safe.  And many more do not feel safe.  Never mind the creeping fear of a pandemic.  </w:t>
      </w:r>
      <w:r w:rsidR="00705946">
        <w:rPr>
          <w:rFonts w:cs="Times New Roman"/>
        </w:rPr>
        <w:t>C</w:t>
      </w:r>
      <w:r w:rsidRPr="005B1095">
        <w:rPr>
          <w:rFonts w:cs="Times New Roman"/>
        </w:rPr>
        <w:t>ountless people are food insecure or homeless, millions confront an educational system so profoundly inadequate as to deny them any real chance of assuring for themselves the basic necessities of life, let alone of getting ahead, and plenty of people cannot afford basic health care.</w:t>
      </w:r>
      <w:r w:rsidRPr="005B1095">
        <w:rPr>
          <w:rStyle w:val="FootnoteReference"/>
          <w:rFonts w:cs="Times New Roman"/>
          <w:sz w:val="24"/>
        </w:rPr>
        <w:footnoteReference w:id="16"/>
      </w:r>
      <w:r w:rsidRPr="005B1095">
        <w:rPr>
          <w:rFonts w:cs="Times New Roman"/>
        </w:rPr>
        <w:t xml:space="preserve">  Some of these may be part of the public safety that government must provide, and some may not, but that is the point:  until we ask the question, we cannot know.</w:t>
      </w:r>
      <w:r w:rsidR="00D165FB">
        <w:rPr>
          <w:rFonts w:cs="Times New Roman"/>
        </w:rPr>
        <w:t xml:space="preserve"> Until we rethink what constitutes safety, we will not direct government sufficiently.</w:t>
      </w:r>
    </w:p>
    <w:p w:rsidR="0049551F" w:rsidRPr="005B1095" w:rsidRDefault="0049551F" w:rsidP="0049551F">
      <w:pPr>
        <w:spacing w:line="480" w:lineRule="auto"/>
        <w:rPr>
          <w:rFonts w:cs="Times New Roman"/>
        </w:rPr>
      </w:pPr>
      <w:r w:rsidRPr="005B1095">
        <w:rPr>
          <w:rFonts w:cs="Times New Roman"/>
        </w:rPr>
        <w:tab/>
        <w:t>The task of this Article</w:t>
      </w:r>
      <w:r w:rsidR="00D165FB">
        <w:rPr>
          <w:rFonts w:cs="Times New Roman"/>
        </w:rPr>
        <w:t>, then,</w:t>
      </w:r>
      <w:r w:rsidRPr="005B1095">
        <w:rPr>
          <w:rFonts w:cs="Times New Roman"/>
        </w:rPr>
        <w:t xml:space="preserve"> is to </w:t>
      </w:r>
      <w:r w:rsidR="00D165FB">
        <w:rPr>
          <w:rFonts w:cs="Times New Roman"/>
        </w:rPr>
        <w:t>challenge the notion that protection alone is within government’s “first job” to provide public safety, and so much vital is not</w:t>
      </w:r>
      <w:r w:rsidRPr="005B1095">
        <w:rPr>
          <w:rFonts w:cs="Times New Roman"/>
        </w:rPr>
        <w:t xml:space="preserve">.  </w:t>
      </w:r>
      <w:r w:rsidR="005A5CD9">
        <w:rPr>
          <w:rFonts w:cs="Times New Roman"/>
        </w:rPr>
        <w:t xml:space="preserve">This is </w:t>
      </w:r>
      <w:r w:rsidR="00705946">
        <w:rPr>
          <w:rFonts w:cs="Times New Roman"/>
        </w:rPr>
        <w:t>neither</w:t>
      </w:r>
      <w:r w:rsidR="005A5CD9">
        <w:rPr>
          <w:rFonts w:cs="Times New Roman"/>
        </w:rPr>
        <w:t xml:space="preserve"> a linguistic exercise in</w:t>
      </w:r>
      <w:r w:rsidR="00705946">
        <w:rPr>
          <w:rFonts w:cs="Times New Roman"/>
        </w:rPr>
        <w:t>to</w:t>
      </w:r>
      <w:r w:rsidR="005A5CD9">
        <w:rPr>
          <w:rFonts w:cs="Times New Roman"/>
        </w:rPr>
        <w:t xml:space="preserve"> what the words public and safety mean, </w:t>
      </w:r>
      <w:r w:rsidR="00466AD6">
        <w:rPr>
          <w:rFonts w:cs="Times New Roman"/>
        </w:rPr>
        <w:t>n</w:t>
      </w:r>
      <w:r w:rsidR="00D165FB">
        <w:rPr>
          <w:rFonts w:cs="Times New Roman"/>
        </w:rPr>
        <w:t xml:space="preserve">or a philosophical exploration of what </w:t>
      </w:r>
      <w:r w:rsidR="001677C9">
        <w:rPr>
          <w:rFonts w:cs="Times New Roman"/>
        </w:rPr>
        <w:t>human welfare truly involves</w:t>
      </w:r>
      <w:r w:rsidR="00705946">
        <w:rPr>
          <w:rFonts w:cs="Times New Roman"/>
        </w:rPr>
        <w:t xml:space="preserve">. </w:t>
      </w:r>
      <w:r w:rsidR="00042411">
        <w:rPr>
          <w:rFonts w:cs="Times New Roman"/>
        </w:rPr>
        <w:t xml:space="preserve">Rather, it is </w:t>
      </w:r>
      <w:r w:rsidR="005A5CD9">
        <w:rPr>
          <w:rFonts w:cs="Times New Roman"/>
        </w:rPr>
        <w:t xml:space="preserve">a legal and </w:t>
      </w:r>
      <w:r w:rsidR="00705946">
        <w:rPr>
          <w:rFonts w:cs="Times New Roman"/>
        </w:rPr>
        <w:t>theoretical</w:t>
      </w:r>
      <w:r w:rsidR="005A5CD9">
        <w:rPr>
          <w:rFonts w:cs="Times New Roman"/>
        </w:rPr>
        <w:t xml:space="preserve"> challenge to </w:t>
      </w:r>
      <w:r w:rsidR="001677C9">
        <w:rPr>
          <w:rFonts w:cs="Times New Roman"/>
        </w:rPr>
        <w:t>prevailing notions of what deserves primacy from government</w:t>
      </w:r>
      <w:r w:rsidR="005A5CD9">
        <w:rPr>
          <w:rFonts w:cs="Times New Roman"/>
        </w:rPr>
        <w:t xml:space="preserve">. </w:t>
      </w:r>
    </w:p>
    <w:p w:rsidR="005A5CD9" w:rsidRDefault="0049551F" w:rsidP="0049551F">
      <w:pPr>
        <w:spacing w:line="480" w:lineRule="auto"/>
        <w:rPr>
          <w:rFonts w:cs="Times New Roman"/>
        </w:rPr>
      </w:pPr>
      <w:r w:rsidRPr="005B1095">
        <w:rPr>
          <w:rFonts w:cs="Times New Roman"/>
        </w:rPr>
        <w:tab/>
      </w:r>
      <w:r w:rsidR="005A5CD9">
        <w:rPr>
          <w:rFonts w:cs="Times New Roman"/>
        </w:rPr>
        <w:t xml:space="preserve">In considering what is public safety, </w:t>
      </w:r>
      <w:r w:rsidR="00705946">
        <w:rPr>
          <w:rFonts w:cs="Times New Roman"/>
        </w:rPr>
        <w:t>this</w:t>
      </w:r>
      <w:r w:rsidR="005A5CD9">
        <w:rPr>
          <w:rFonts w:cs="Times New Roman"/>
        </w:rPr>
        <w:t xml:space="preserve"> discussion will seesaw between two sides of what, I will argue, ought to be the same coin: the protection function, and everything else that might plausibly be included within government’s obligation to provide public safety. </w:t>
      </w:r>
      <w:r w:rsidR="00705946">
        <w:rPr>
          <w:rFonts w:cs="Times New Roman"/>
        </w:rPr>
        <w:t>The thesis is that by privileging one side of the coin, we actually disserve both. If society</w:t>
      </w:r>
      <w:r w:rsidR="00F9390D">
        <w:rPr>
          <w:rFonts w:cs="Times New Roman"/>
        </w:rPr>
        <w:t xml:space="preserve"> prioritized </w:t>
      </w:r>
      <w:r w:rsidR="00705946">
        <w:rPr>
          <w:rFonts w:cs="Times New Roman"/>
        </w:rPr>
        <w:t xml:space="preserve">other necessities </w:t>
      </w:r>
      <w:r w:rsidR="00F9390D">
        <w:rPr>
          <w:rFonts w:cs="Times New Roman"/>
        </w:rPr>
        <w:t xml:space="preserve"> as we do protection, maybe we would do a better job of serving those in need, often desperate life-threatening need. But, ironically, the problem extends to the protection function itself, and particularly policing. Because we valorize that function and those that provide it, we are insufficiently critical of the work they do, rarely challenging their decisions, and immunizing </w:t>
      </w:r>
      <w:r w:rsidR="001677C9">
        <w:rPr>
          <w:rFonts w:cs="Times New Roman"/>
        </w:rPr>
        <w:t>their actions</w:t>
      </w:r>
      <w:r w:rsidR="00F9390D">
        <w:rPr>
          <w:rFonts w:cs="Times New Roman"/>
        </w:rPr>
        <w:t xml:space="preserve"> when they go wrong</w:t>
      </w:r>
      <w:r w:rsidR="001677C9">
        <w:rPr>
          <w:rFonts w:cs="Times New Roman"/>
        </w:rPr>
        <w:t>. That</w:t>
      </w:r>
      <w:r w:rsidR="00705946">
        <w:rPr>
          <w:rFonts w:cs="Times New Roman"/>
        </w:rPr>
        <w:t>,</w:t>
      </w:r>
      <w:r w:rsidR="001677C9">
        <w:rPr>
          <w:rFonts w:cs="Times New Roman"/>
        </w:rPr>
        <w:t xml:space="preserve"> too</w:t>
      </w:r>
      <w:r w:rsidR="00705946">
        <w:rPr>
          <w:rFonts w:cs="Times New Roman"/>
        </w:rPr>
        <w:t>,</w:t>
      </w:r>
      <w:r w:rsidR="001677C9">
        <w:rPr>
          <w:rFonts w:cs="Times New Roman"/>
        </w:rPr>
        <w:t xml:space="preserve"> makes many people unsafe. </w:t>
      </w:r>
    </w:p>
    <w:p w:rsidR="00F9390D" w:rsidRDefault="00F9390D" w:rsidP="00705946">
      <w:pPr>
        <w:spacing w:line="480" w:lineRule="auto"/>
        <w:rPr>
          <w:rFonts w:cs="Times New Roman"/>
        </w:rPr>
      </w:pPr>
      <w:r>
        <w:rPr>
          <w:rFonts w:cs="Times New Roman"/>
        </w:rPr>
        <w:tab/>
      </w:r>
      <w:r w:rsidR="00705946">
        <w:rPr>
          <w:rFonts w:cs="Times New Roman"/>
        </w:rPr>
        <w:t xml:space="preserve">To be clear, though, </w:t>
      </w:r>
      <w:r>
        <w:rPr>
          <w:rFonts w:cs="Times New Roman"/>
        </w:rPr>
        <w:t>this is not an article about how to fix policing</w:t>
      </w:r>
      <w:r w:rsidR="001677C9">
        <w:rPr>
          <w:rFonts w:cs="Times New Roman"/>
        </w:rPr>
        <w:t>—</w:t>
      </w:r>
      <w:r w:rsidR="0049551F" w:rsidRPr="005B1095">
        <w:rPr>
          <w:rFonts w:cs="Times New Roman"/>
        </w:rPr>
        <w:t xml:space="preserve">a </w:t>
      </w:r>
      <w:r w:rsidR="00705946">
        <w:rPr>
          <w:rFonts w:cs="Times New Roman"/>
        </w:rPr>
        <w:t xml:space="preserve">question I take up in </w:t>
      </w:r>
      <w:r w:rsidR="0049551F" w:rsidRPr="005B1095">
        <w:rPr>
          <w:rFonts w:cs="Times New Roman"/>
        </w:rPr>
        <w:t xml:space="preserve">companion piece, entitled </w:t>
      </w:r>
      <w:r w:rsidR="0049551F" w:rsidRPr="005B1095">
        <w:rPr>
          <w:rFonts w:cs="Times New Roman"/>
          <w:i/>
        </w:rPr>
        <w:t>Disaggregating the Policing Function</w:t>
      </w:r>
      <w:r w:rsidR="0049551F" w:rsidRPr="005B1095">
        <w:rPr>
          <w:rFonts w:cs="Times New Roman"/>
        </w:rPr>
        <w:t>.</w:t>
      </w:r>
      <w:r w:rsidR="0049551F" w:rsidRPr="005B1095">
        <w:rPr>
          <w:rStyle w:val="FootnoteReference"/>
          <w:rFonts w:cs="Times New Roman"/>
          <w:sz w:val="24"/>
        </w:rPr>
        <w:footnoteReference w:id="17"/>
      </w:r>
      <w:r w:rsidR="0049551F" w:rsidRPr="005B1095">
        <w:rPr>
          <w:rFonts w:cs="Times New Roman"/>
        </w:rPr>
        <w:t xml:space="preserve"> </w:t>
      </w:r>
      <w:r w:rsidR="00705946">
        <w:rPr>
          <w:rFonts w:cs="Times New Roman"/>
        </w:rPr>
        <w:t>Where</w:t>
      </w:r>
      <w:r>
        <w:rPr>
          <w:rFonts w:cs="Times New Roman"/>
        </w:rPr>
        <w:t xml:space="preserve"> this</w:t>
      </w:r>
      <w:r w:rsidR="0049551F" w:rsidRPr="005B1095">
        <w:rPr>
          <w:rFonts w:cs="Times New Roman"/>
        </w:rPr>
        <w:t xml:space="preserve"> </w:t>
      </w:r>
      <w:r>
        <w:rPr>
          <w:rFonts w:cs="Times New Roman"/>
        </w:rPr>
        <w:t>A</w:t>
      </w:r>
      <w:r w:rsidR="0049551F" w:rsidRPr="005B1095">
        <w:rPr>
          <w:rFonts w:cs="Times New Roman"/>
        </w:rPr>
        <w:t>rticle argues that we must define public safety more capaciously, to avoid the harms of focusing so singularly on the protection function</w:t>
      </w:r>
      <w:r>
        <w:rPr>
          <w:rFonts w:cs="Times New Roman"/>
        </w:rPr>
        <w:t xml:space="preserve">, </w:t>
      </w:r>
      <w:r w:rsidRPr="005B1095">
        <w:rPr>
          <w:rFonts w:cs="Times New Roman"/>
          <w:i/>
        </w:rPr>
        <w:t>Disaggregating the Policing Function</w:t>
      </w:r>
      <w:r w:rsidRPr="005B1095">
        <w:rPr>
          <w:rFonts w:cs="Times New Roman"/>
        </w:rPr>
        <w:t xml:space="preserve"> </w:t>
      </w:r>
      <w:r>
        <w:rPr>
          <w:rFonts w:cs="Times New Roman"/>
        </w:rPr>
        <w:t>explains</w:t>
      </w:r>
      <w:r w:rsidR="0049551F" w:rsidRPr="005B1095">
        <w:rPr>
          <w:rFonts w:cs="Times New Roman"/>
        </w:rPr>
        <w:t xml:space="preserve"> how to change policing in the United States today to ensure people are safe </w:t>
      </w:r>
      <w:r w:rsidR="0049551F" w:rsidRPr="005B1095">
        <w:rPr>
          <w:rFonts w:cs="Times New Roman"/>
          <w:i/>
        </w:rPr>
        <w:t>from</w:t>
      </w:r>
      <w:r w:rsidR="0049551F" w:rsidRPr="005B1095">
        <w:rPr>
          <w:rFonts w:cs="Times New Roman"/>
        </w:rPr>
        <w:t xml:space="preserve"> the police when police exercise the protection function.  </w:t>
      </w:r>
      <w:r w:rsidR="001677C9" w:rsidRPr="001677C9">
        <w:rPr>
          <w:rFonts w:cs="Times New Roman"/>
          <w:i/>
        </w:rPr>
        <w:t>Disaggregating</w:t>
      </w:r>
      <w:r w:rsidR="0049551F" w:rsidRPr="005B1095">
        <w:rPr>
          <w:rFonts w:cs="Times New Roman"/>
        </w:rPr>
        <w:t xml:space="preserve"> notes the mismatch between </w:t>
      </w:r>
      <w:r w:rsidR="00705946">
        <w:rPr>
          <w:rFonts w:cs="Times New Roman"/>
        </w:rPr>
        <w:t>the host of social problems</w:t>
      </w:r>
      <w:r w:rsidR="0049551F" w:rsidRPr="005B1095">
        <w:rPr>
          <w:rFonts w:cs="Times New Roman"/>
        </w:rPr>
        <w:t xml:space="preserve"> officers are </w:t>
      </w:r>
      <w:r w:rsidR="00705946">
        <w:rPr>
          <w:rFonts w:cs="Times New Roman"/>
        </w:rPr>
        <w:t>called upon daily to address,</w:t>
      </w:r>
      <w:r w:rsidR="0049551F" w:rsidRPr="005B1095">
        <w:rPr>
          <w:rFonts w:cs="Times New Roman"/>
        </w:rPr>
        <w:t xml:space="preserve"> and their training primarily as the proponents of force and law.  </w:t>
      </w:r>
      <w:r w:rsidR="001677C9">
        <w:rPr>
          <w:rFonts w:cs="Times New Roman"/>
        </w:rPr>
        <w:t>It</w:t>
      </w:r>
      <w:r w:rsidR="0049551F" w:rsidRPr="005B1095">
        <w:rPr>
          <w:rFonts w:cs="Times New Roman"/>
        </w:rPr>
        <w:t xml:space="preserve"> </w:t>
      </w:r>
      <w:r w:rsidR="00705946">
        <w:rPr>
          <w:rFonts w:cs="Times New Roman"/>
        </w:rPr>
        <w:t xml:space="preserve">suggests how we can reduce the footprint of policing substantially to avoid the harms from responding to calls for help with force and with law, and in that way better serve people in urgent need. </w:t>
      </w:r>
      <w:r w:rsidR="0049551F" w:rsidRPr="005B1095">
        <w:rPr>
          <w:rFonts w:cs="Times New Roman"/>
        </w:rPr>
        <w:t>Here, the lens is broader, on all of government</w:t>
      </w:r>
      <w:r w:rsidR="00705946">
        <w:rPr>
          <w:rFonts w:cs="Times New Roman"/>
        </w:rPr>
        <w:t xml:space="preserve">. It asks whether, in according primacy to what those responsible for the protection function do, have we defined public safety too narrowly? Have we failed to recognize government’s profound obligation to ensure that its people truly are safe. </w:t>
      </w:r>
    </w:p>
    <w:p w:rsidR="0049551F" w:rsidRPr="005B1095" w:rsidRDefault="00EB0B64" w:rsidP="0049551F">
      <w:pPr>
        <w:spacing w:line="480" w:lineRule="auto"/>
        <w:rPr>
          <w:rFonts w:cs="Times New Roman"/>
        </w:rPr>
      </w:pPr>
      <w:r>
        <w:rPr>
          <w:rFonts w:cs="Times New Roman"/>
        </w:rPr>
        <w:tab/>
      </w:r>
      <w:r w:rsidR="00E34020">
        <w:rPr>
          <w:rFonts w:cs="Times New Roman"/>
        </w:rPr>
        <w:t>The argument</w:t>
      </w:r>
      <w:r w:rsidR="0049551F" w:rsidRPr="005B1095">
        <w:rPr>
          <w:rFonts w:cs="Times New Roman"/>
        </w:rPr>
        <w:t xml:space="preserve"> begins, in Part I, by laying out two points of wide consensus</w:t>
      </w:r>
      <w:r w:rsidR="00042411">
        <w:rPr>
          <w:rFonts w:cs="Times New Roman"/>
        </w:rPr>
        <w:t>. P</w:t>
      </w:r>
      <w:r w:rsidR="0049551F" w:rsidRPr="005B1095">
        <w:rPr>
          <w:rFonts w:cs="Times New Roman"/>
        </w:rPr>
        <w:t xml:space="preserve">ublic safety is </w:t>
      </w:r>
      <w:r>
        <w:rPr>
          <w:rFonts w:cs="Times New Roman"/>
        </w:rPr>
        <w:t xml:space="preserve">the primary </w:t>
      </w:r>
      <w:r w:rsidR="00705946">
        <w:rPr>
          <w:rFonts w:cs="Times New Roman"/>
        </w:rPr>
        <w:t>responsibility</w:t>
      </w:r>
      <w:r w:rsidR="0049551F" w:rsidRPr="005B1095">
        <w:rPr>
          <w:rFonts w:cs="Times New Roman"/>
        </w:rPr>
        <w:t xml:space="preserve"> of government</w:t>
      </w:r>
      <w:r w:rsidR="00042411">
        <w:rPr>
          <w:rFonts w:cs="Times New Roman"/>
        </w:rPr>
        <w:t>. And that when people have said this—from the past to the present—</w:t>
      </w:r>
      <w:r w:rsidR="0049551F" w:rsidRPr="005B1095">
        <w:rPr>
          <w:rFonts w:cs="Times New Roman"/>
        </w:rPr>
        <w:t xml:space="preserve">public safety typically is understood as the protection function.  </w:t>
      </w:r>
    </w:p>
    <w:p w:rsidR="0049551F" w:rsidRPr="005B1095" w:rsidRDefault="0049551F" w:rsidP="0049551F">
      <w:pPr>
        <w:spacing w:line="480" w:lineRule="auto"/>
        <w:ind w:firstLine="720"/>
        <w:rPr>
          <w:rFonts w:cs="Times New Roman"/>
        </w:rPr>
      </w:pPr>
      <w:r w:rsidRPr="005B1095">
        <w:rPr>
          <w:rFonts w:cs="Times New Roman"/>
        </w:rPr>
        <w:t xml:space="preserve">Part II then </w:t>
      </w:r>
      <w:r w:rsidR="00EB0B64">
        <w:rPr>
          <w:rFonts w:cs="Times New Roman"/>
        </w:rPr>
        <w:t>raises the question of</w:t>
      </w:r>
      <w:r w:rsidRPr="005B1095">
        <w:rPr>
          <w:rFonts w:cs="Times New Roman"/>
        </w:rPr>
        <w:t xml:space="preserve"> what it means to be safe.  </w:t>
      </w:r>
      <w:r w:rsidR="00EB0B64">
        <w:rPr>
          <w:rFonts w:cs="Times New Roman"/>
        </w:rPr>
        <w:t xml:space="preserve">This is </w:t>
      </w:r>
      <w:r w:rsidR="00042411">
        <w:rPr>
          <w:rFonts w:cs="Times New Roman"/>
        </w:rPr>
        <w:t>neither</w:t>
      </w:r>
      <w:r w:rsidR="00EB0B64">
        <w:rPr>
          <w:rFonts w:cs="Times New Roman"/>
        </w:rPr>
        <w:t xml:space="preserve"> a philosophical </w:t>
      </w:r>
      <w:r w:rsidR="00042411">
        <w:rPr>
          <w:rFonts w:cs="Times New Roman"/>
        </w:rPr>
        <w:t>claim</w:t>
      </w:r>
      <w:r w:rsidR="00EB0B64">
        <w:rPr>
          <w:rFonts w:cs="Times New Roman"/>
        </w:rPr>
        <w:t xml:space="preserve">, </w:t>
      </w:r>
      <w:r w:rsidR="00042411">
        <w:rPr>
          <w:rFonts w:cs="Times New Roman"/>
        </w:rPr>
        <w:t>n</w:t>
      </w:r>
      <w:r w:rsidR="00EB0B64">
        <w:rPr>
          <w:rFonts w:cs="Times New Roman"/>
        </w:rPr>
        <w:t xml:space="preserve">or one of human rights, </w:t>
      </w:r>
      <w:r w:rsidR="00042411">
        <w:rPr>
          <w:rFonts w:cs="Times New Roman"/>
        </w:rPr>
        <w:t>arguments that have been advanced by authors more competent on those subjects than I</w:t>
      </w:r>
      <w:r w:rsidR="00EB0B64">
        <w:rPr>
          <w:rFonts w:cs="Times New Roman"/>
        </w:rPr>
        <w:t>. Rather, the question in this Part is intensely pragmatic: w</w:t>
      </w:r>
      <w:r w:rsidRPr="005B1095">
        <w:rPr>
          <w:rFonts w:cs="Times New Roman"/>
        </w:rPr>
        <w:t xml:space="preserve">hat is it that individuals </w:t>
      </w:r>
      <w:r w:rsidR="00EB0B64">
        <w:rPr>
          <w:rFonts w:cs="Times New Roman"/>
        </w:rPr>
        <w:t xml:space="preserve">actually </w:t>
      </w:r>
      <w:r w:rsidRPr="005B1095">
        <w:rPr>
          <w:rFonts w:cs="Times New Roman"/>
        </w:rPr>
        <w:t xml:space="preserve">require to be safe?  </w:t>
      </w:r>
      <w:r w:rsidR="00042411">
        <w:rPr>
          <w:rFonts w:cs="Times New Roman"/>
        </w:rPr>
        <w:t>This Part</w:t>
      </w:r>
      <w:r w:rsidRPr="005B1095">
        <w:rPr>
          <w:rFonts w:cs="Times New Roman"/>
        </w:rPr>
        <w:t xml:space="preserve"> </w:t>
      </w:r>
      <w:r w:rsidR="00705946">
        <w:rPr>
          <w:rFonts w:cs="Times New Roman"/>
        </w:rPr>
        <w:t>invites readers</w:t>
      </w:r>
      <w:r w:rsidR="00EB0B64">
        <w:rPr>
          <w:rFonts w:cs="Times New Roman"/>
        </w:rPr>
        <w:t xml:space="preserve"> to engage us in a thought experiment, asking how far </w:t>
      </w:r>
      <w:r w:rsidR="00042411">
        <w:rPr>
          <w:rFonts w:cs="Times New Roman"/>
        </w:rPr>
        <w:t>the</w:t>
      </w:r>
      <w:r w:rsidR="00EB0B64">
        <w:rPr>
          <w:rFonts w:cs="Times New Roman"/>
        </w:rPr>
        <w:t xml:space="preserve"> idea of safety </w:t>
      </w:r>
      <w:r w:rsidR="00042411">
        <w:rPr>
          <w:rFonts w:cs="Times New Roman"/>
        </w:rPr>
        <w:t xml:space="preserve">could </w:t>
      </w:r>
      <w:r w:rsidR="00EB0B64">
        <w:rPr>
          <w:rFonts w:cs="Times New Roman"/>
        </w:rPr>
        <w:t xml:space="preserve">extend. </w:t>
      </w:r>
      <w:r w:rsidR="00705946">
        <w:rPr>
          <w:rFonts w:cs="Times New Roman"/>
        </w:rPr>
        <w:t>T</w:t>
      </w:r>
      <w:r w:rsidR="00EB0B64">
        <w:rPr>
          <w:rFonts w:cs="Times New Roman"/>
        </w:rPr>
        <w:t xml:space="preserve">aken to its logical extreme, safety might </w:t>
      </w:r>
      <w:r w:rsidR="00042411">
        <w:rPr>
          <w:rFonts w:cs="Times New Roman"/>
        </w:rPr>
        <w:t>reach</w:t>
      </w:r>
      <w:r w:rsidRPr="005B1095">
        <w:rPr>
          <w:rFonts w:cs="Times New Roman"/>
        </w:rPr>
        <w:t xml:space="preserve"> more broadly</w:t>
      </w:r>
      <w:r w:rsidR="00705946">
        <w:rPr>
          <w:rFonts w:cs="Times New Roman"/>
        </w:rPr>
        <w:t xml:space="preserve"> </w:t>
      </w:r>
      <w:r w:rsidR="005E5F66">
        <w:rPr>
          <w:rFonts w:cs="Times New Roman"/>
        </w:rPr>
        <w:t>than basic necessities like food and water</w:t>
      </w:r>
      <w:r w:rsidRPr="005B1095">
        <w:rPr>
          <w:rFonts w:cs="Times New Roman"/>
        </w:rPr>
        <w:t xml:space="preserve">, to education, to jobs, and even </w:t>
      </w:r>
      <w:r w:rsidR="00042411">
        <w:rPr>
          <w:rFonts w:cs="Times New Roman"/>
        </w:rPr>
        <w:t xml:space="preserve">perhaps </w:t>
      </w:r>
      <w:r w:rsidRPr="005B1095">
        <w:rPr>
          <w:rFonts w:cs="Times New Roman"/>
        </w:rPr>
        <w:t xml:space="preserve">to public transportation to get to </w:t>
      </w:r>
      <w:r w:rsidR="005E5F66">
        <w:rPr>
          <w:rFonts w:cs="Times New Roman"/>
        </w:rPr>
        <w:t xml:space="preserve">those jobs. The hopefully inescapable point </w:t>
      </w:r>
      <w:r w:rsidR="00042411">
        <w:rPr>
          <w:rFonts w:cs="Times New Roman"/>
        </w:rPr>
        <w:t xml:space="preserve">of this Part </w:t>
      </w:r>
      <w:r w:rsidR="005E5F66">
        <w:rPr>
          <w:rFonts w:cs="Times New Roman"/>
        </w:rPr>
        <w:t xml:space="preserve">is that we as a society </w:t>
      </w:r>
      <w:r w:rsidRPr="005B1095">
        <w:rPr>
          <w:rFonts w:cs="Times New Roman"/>
        </w:rPr>
        <w:t xml:space="preserve">define </w:t>
      </w:r>
      <w:r w:rsidRPr="005B1095">
        <w:rPr>
          <w:rFonts w:cs="Times New Roman"/>
          <w:i/>
        </w:rPr>
        <w:t>public</w:t>
      </w:r>
      <w:r w:rsidRPr="005B1095">
        <w:rPr>
          <w:rFonts w:cs="Times New Roman"/>
        </w:rPr>
        <w:t xml:space="preserve"> safety</w:t>
      </w:r>
      <w:r w:rsidR="00D75EE2">
        <w:rPr>
          <w:rFonts w:cs="Times New Roman"/>
        </w:rPr>
        <w:t>—i.e., government’s obligation to provide safety—</w:t>
      </w:r>
      <w:r w:rsidRPr="005B1095">
        <w:rPr>
          <w:rFonts w:cs="Times New Roman"/>
        </w:rPr>
        <w:t xml:space="preserve"> too narrowly</w:t>
      </w:r>
      <w:r w:rsidR="005E5F66">
        <w:rPr>
          <w:rFonts w:cs="Times New Roman"/>
        </w:rPr>
        <w:t>, by focusing primarily on the protection function</w:t>
      </w:r>
      <w:r w:rsidR="00D75EE2">
        <w:rPr>
          <w:rFonts w:cs="Times New Roman"/>
        </w:rPr>
        <w:t xml:space="preserve">. </w:t>
      </w:r>
    </w:p>
    <w:p w:rsidR="0049551F" w:rsidRPr="005B1095" w:rsidRDefault="0049551F" w:rsidP="0049551F">
      <w:pPr>
        <w:spacing w:line="480" w:lineRule="auto"/>
        <w:ind w:firstLine="720"/>
        <w:rPr>
          <w:rFonts w:cs="Times New Roman"/>
        </w:rPr>
      </w:pPr>
      <w:r w:rsidRPr="005B1095">
        <w:rPr>
          <w:rFonts w:cs="Times New Roman"/>
        </w:rPr>
        <w:t xml:space="preserve">Part III </w:t>
      </w:r>
      <w:r w:rsidR="005E5F66">
        <w:rPr>
          <w:rFonts w:cs="Times New Roman"/>
        </w:rPr>
        <w:t>makes clear</w:t>
      </w:r>
      <w:r w:rsidRPr="005B1095">
        <w:rPr>
          <w:rFonts w:cs="Times New Roman"/>
        </w:rPr>
        <w:t xml:space="preserve"> </w:t>
      </w:r>
      <w:r w:rsidR="00042411">
        <w:rPr>
          <w:rFonts w:cs="Times New Roman"/>
        </w:rPr>
        <w:t xml:space="preserve">how many people are not safe, precisely because we privilege the protection function over much else.  </w:t>
      </w:r>
      <w:r w:rsidRPr="005B1095">
        <w:rPr>
          <w:rFonts w:cs="Times New Roman"/>
        </w:rPr>
        <w:t xml:space="preserve">Part III, A </w:t>
      </w:r>
      <w:r w:rsidR="005E5F66">
        <w:rPr>
          <w:rFonts w:cs="Times New Roman"/>
        </w:rPr>
        <w:t>describes</w:t>
      </w:r>
      <w:r w:rsidRPr="005B1095">
        <w:rPr>
          <w:rFonts w:cs="Times New Roman"/>
        </w:rPr>
        <w:t xml:space="preserve"> how those who perform the protection function receive vast resources, widespread support for themselves and their work, almost complete autonomy in performing it, and much more, whereas those who perform other vital societal functions do not.  Part III, B then </w:t>
      </w:r>
      <w:r w:rsidR="00042411">
        <w:rPr>
          <w:rFonts w:cs="Times New Roman"/>
        </w:rPr>
        <w:t xml:space="preserve">describes </w:t>
      </w:r>
      <w:r w:rsidR="00FB61E4">
        <w:rPr>
          <w:rFonts w:cs="Times New Roman"/>
        </w:rPr>
        <w:t>the</w:t>
      </w:r>
      <w:r w:rsidR="00042411">
        <w:rPr>
          <w:rFonts w:cs="Times New Roman"/>
        </w:rPr>
        <w:t xml:space="preserve"> many people </w:t>
      </w:r>
      <w:r w:rsidR="00FB61E4">
        <w:rPr>
          <w:rFonts w:cs="Times New Roman"/>
        </w:rPr>
        <w:t xml:space="preserve">who </w:t>
      </w:r>
      <w:r w:rsidR="00042411">
        <w:rPr>
          <w:rFonts w:cs="Times New Roman"/>
        </w:rPr>
        <w:t xml:space="preserve">are not safe </w:t>
      </w:r>
      <w:r w:rsidR="00FB61E4">
        <w:rPr>
          <w:rFonts w:cs="Times New Roman"/>
        </w:rPr>
        <w:t xml:space="preserve">because of government neglect beyond the protection function: </w:t>
      </w:r>
      <w:r w:rsidR="00042411">
        <w:rPr>
          <w:rFonts w:cs="Times New Roman"/>
        </w:rPr>
        <w:t xml:space="preserve">from hunger and malnutrition, from </w:t>
      </w:r>
      <w:r w:rsidR="00FB61E4">
        <w:rPr>
          <w:rFonts w:cs="Times New Roman"/>
        </w:rPr>
        <w:t>lack of</w:t>
      </w:r>
      <w:r w:rsidR="00042411">
        <w:rPr>
          <w:rFonts w:cs="Times New Roman"/>
        </w:rPr>
        <w:t xml:space="preserve"> housing, from subpar education, from </w:t>
      </w:r>
      <w:r w:rsidR="00FB61E4">
        <w:rPr>
          <w:rFonts w:cs="Times New Roman"/>
        </w:rPr>
        <w:t>no</w:t>
      </w:r>
      <w:r w:rsidR="00042411">
        <w:rPr>
          <w:rFonts w:cs="Times New Roman"/>
        </w:rPr>
        <w:t xml:space="preserve"> health care, and more. </w:t>
      </w:r>
    </w:p>
    <w:p w:rsidR="0049551F" w:rsidRPr="005B1095" w:rsidRDefault="0049551F" w:rsidP="0049551F">
      <w:pPr>
        <w:spacing w:line="480" w:lineRule="auto"/>
        <w:ind w:firstLine="720"/>
        <w:rPr>
          <w:rFonts w:cs="Times New Roman"/>
        </w:rPr>
      </w:pPr>
      <w:r w:rsidRPr="005B1095">
        <w:rPr>
          <w:rFonts w:cs="Times New Roman"/>
        </w:rPr>
        <w:t xml:space="preserve">Part IV does </w:t>
      </w:r>
      <w:r w:rsidR="00FB61E4">
        <w:rPr>
          <w:rFonts w:cs="Times New Roman"/>
        </w:rPr>
        <w:t>the core</w:t>
      </w:r>
      <w:r w:rsidRPr="005B1095">
        <w:rPr>
          <w:rFonts w:cs="Times New Roman"/>
        </w:rPr>
        <w:t xml:space="preserve"> analytic work of the piece, </w:t>
      </w:r>
      <w:r w:rsidR="00FB61E4">
        <w:rPr>
          <w:rFonts w:cs="Times New Roman"/>
        </w:rPr>
        <w:t>challenging the notion that the</w:t>
      </w:r>
      <w:r w:rsidRPr="005B1095">
        <w:rPr>
          <w:rFonts w:cs="Times New Roman"/>
        </w:rPr>
        <w:t xml:space="preserve"> protection function </w:t>
      </w:r>
      <w:r w:rsidR="00FB61E4">
        <w:rPr>
          <w:rFonts w:cs="Times New Roman"/>
        </w:rPr>
        <w:t>deserves</w:t>
      </w:r>
      <w:r w:rsidRPr="005B1095">
        <w:rPr>
          <w:rFonts w:cs="Times New Roman"/>
        </w:rPr>
        <w:t xml:space="preserve"> the encomium of </w:t>
      </w:r>
      <w:r w:rsidR="00FB61E4">
        <w:rPr>
          <w:rFonts w:cs="Times New Roman"/>
        </w:rPr>
        <w:t>“</w:t>
      </w:r>
      <w:r w:rsidRPr="005B1095">
        <w:rPr>
          <w:rFonts w:cs="Times New Roman"/>
        </w:rPr>
        <w:t>public safety,</w:t>
      </w:r>
      <w:r w:rsidR="00FB61E4">
        <w:rPr>
          <w:rFonts w:cs="Times New Roman"/>
        </w:rPr>
        <w:t>”</w:t>
      </w:r>
      <w:r w:rsidRPr="005B1095">
        <w:rPr>
          <w:rFonts w:cs="Times New Roman"/>
        </w:rPr>
        <w:t xml:space="preserve"> while functions of government addressed to other safety needs </w:t>
      </w:r>
      <w:r w:rsidR="00FB61E4">
        <w:rPr>
          <w:rFonts w:cs="Times New Roman"/>
        </w:rPr>
        <w:t>do not</w:t>
      </w:r>
      <w:r w:rsidRPr="005B1095">
        <w:rPr>
          <w:rFonts w:cs="Times New Roman"/>
        </w:rPr>
        <w:t xml:space="preserve">.  </w:t>
      </w:r>
      <w:r w:rsidR="00D75EE2">
        <w:rPr>
          <w:rFonts w:cs="Times New Roman"/>
        </w:rPr>
        <w:t xml:space="preserve">Its goal is not to deny that protection is important—it assuredly is—but to make clear that </w:t>
      </w:r>
      <w:r w:rsidR="00FB61E4">
        <w:rPr>
          <w:rFonts w:cs="Times New Roman"/>
        </w:rPr>
        <w:t xml:space="preserve">the primary justifications for according primacy to protection fail to explain excluding the other vital safety functions </w:t>
      </w:r>
      <w:r w:rsidR="00D75EE2">
        <w:rPr>
          <w:rFonts w:cs="Times New Roman"/>
        </w:rPr>
        <w:t xml:space="preserve">government equally could address. </w:t>
      </w:r>
      <w:r w:rsidRPr="005B1095">
        <w:rPr>
          <w:rFonts w:cs="Times New Roman"/>
        </w:rPr>
        <w:t xml:space="preserve">These </w:t>
      </w:r>
      <w:r w:rsidR="00D75EE2">
        <w:rPr>
          <w:rFonts w:cs="Times New Roman"/>
        </w:rPr>
        <w:t xml:space="preserve">justifications </w:t>
      </w:r>
      <w:r w:rsidRPr="005B1095">
        <w:rPr>
          <w:rFonts w:cs="Times New Roman"/>
        </w:rPr>
        <w:t xml:space="preserve">include (1) the foundational nature of freedom from crime and violence, in that without it, the state cannot get up and running; (2) the naked power of government; (3) the notion that protection is the “special obligation” of government; (4) the possibility that government </w:t>
      </w:r>
      <w:r w:rsidR="007858D2">
        <w:rPr>
          <w:rFonts w:cs="Times New Roman"/>
        </w:rPr>
        <w:t xml:space="preserve">ought to have </w:t>
      </w:r>
      <w:r w:rsidRPr="005B1095">
        <w:rPr>
          <w:rFonts w:cs="Times New Roman"/>
        </w:rPr>
        <w:t>a monopoly over protection, but not other aspects of individual safety</w:t>
      </w:r>
      <w:r w:rsidR="005E5F66">
        <w:rPr>
          <w:rFonts w:cs="Times New Roman"/>
        </w:rPr>
        <w:t xml:space="preserve">, </w:t>
      </w:r>
      <w:r w:rsidR="007858D2">
        <w:rPr>
          <w:rFonts w:cs="Times New Roman"/>
        </w:rPr>
        <w:t xml:space="preserve">either because </w:t>
      </w:r>
      <w:r w:rsidR="005E5F66">
        <w:rPr>
          <w:rFonts w:cs="Times New Roman"/>
        </w:rPr>
        <w:t>protection is a public good that government must provide while other aspects of public safety are n</w:t>
      </w:r>
      <w:r w:rsidR="007858D2">
        <w:rPr>
          <w:rFonts w:cs="Times New Roman"/>
        </w:rPr>
        <w:t>ot, or the because leaving protection in private hands creates externalities that other elements of public safety do no</w:t>
      </w:r>
      <w:r w:rsidR="005E5F66">
        <w:rPr>
          <w:rFonts w:cs="Times New Roman"/>
        </w:rPr>
        <w:t>t</w:t>
      </w:r>
      <w:r w:rsidRPr="005B1095">
        <w:rPr>
          <w:rFonts w:cs="Times New Roman"/>
        </w:rPr>
        <w:t xml:space="preserve">; (5) the practical capacity and capability of government; and (6) the idea that government has created a “dependence” on it for the protection function.  </w:t>
      </w:r>
    </w:p>
    <w:p w:rsidR="0049551F" w:rsidRPr="005B1095" w:rsidRDefault="0049551F" w:rsidP="0049551F">
      <w:pPr>
        <w:spacing w:line="480" w:lineRule="auto"/>
        <w:ind w:firstLine="720"/>
        <w:rPr>
          <w:rFonts w:cs="Times New Roman"/>
        </w:rPr>
      </w:pPr>
      <w:r w:rsidRPr="005B1095">
        <w:rPr>
          <w:rFonts w:cs="Times New Roman"/>
        </w:rPr>
        <w:t>Part V concludes by identifying a set of obstacles that might explain why, despite the essential nature of many other government functions, we do not prioritize them.  The</w:t>
      </w:r>
      <w:r w:rsidR="00FB61E4">
        <w:rPr>
          <w:rFonts w:cs="Times New Roman"/>
        </w:rPr>
        <w:t>se</w:t>
      </w:r>
      <w:r w:rsidRPr="005B1095">
        <w:rPr>
          <w:rFonts w:cs="Times New Roman"/>
        </w:rPr>
        <w:t xml:space="preserve"> </w:t>
      </w:r>
      <w:r w:rsidR="00FB61E4">
        <w:rPr>
          <w:rFonts w:cs="Times New Roman"/>
        </w:rPr>
        <w:t>i</w:t>
      </w:r>
      <w:r w:rsidRPr="005B1095">
        <w:rPr>
          <w:rFonts w:cs="Times New Roman"/>
        </w:rPr>
        <w:t>nclude a Constitution so outdated that it does not include affirmative rights</w:t>
      </w:r>
      <w:r w:rsidR="00FB61E4">
        <w:rPr>
          <w:rFonts w:cs="Times New Roman"/>
        </w:rPr>
        <w:t xml:space="preserve">; </w:t>
      </w:r>
      <w:r w:rsidRPr="005B1095">
        <w:rPr>
          <w:rFonts w:cs="Times New Roman"/>
        </w:rPr>
        <w:t>the fact that the more well-to-do among us can opt out of government services, lowering the general will to provide a sufficient baseline of effectiveness</w:t>
      </w:r>
      <w:r w:rsidR="00FB61E4">
        <w:rPr>
          <w:rFonts w:cs="Times New Roman"/>
        </w:rPr>
        <w:t>;</w:t>
      </w:r>
      <w:r w:rsidRPr="005B1095">
        <w:rPr>
          <w:rFonts w:cs="Times New Roman"/>
        </w:rPr>
        <w:t xml:space="preserve"> </w:t>
      </w:r>
      <w:r w:rsidR="00FB61E4">
        <w:rPr>
          <w:rFonts w:cs="Times New Roman"/>
        </w:rPr>
        <w:t>a lack of altruism toward racial minorities; and</w:t>
      </w:r>
      <w:r w:rsidRPr="005B1095">
        <w:rPr>
          <w:rFonts w:cs="Times New Roman"/>
        </w:rPr>
        <w:t xml:space="preserve"> simple individual greed.  One pervasive factor is social disagreement about the role of government, which has direct implications for how we think about public safety, including our over-reliance on criminalization, and under-reliance on much else</w:t>
      </w:r>
      <w:r w:rsidR="00FB61E4">
        <w:rPr>
          <w:rFonts w:cs="Times New Roman"/>
        </w:rPr>
        <w:t xml:space="preserve"> that people need</w:t>
      </w:r>
      <w:r w:rsidRPr="005B1095">
        <w:rPr>
          <w:rFonts w:cs="Times New Roman"/>
        </w:rPr>
        <w:t>.</w:t>
      </w:r>
      <w:r w:rsidR="00D75EE2">
        <w:rPr>
          <w:rFonts w:cs="Times New Roman"/>
        </w:rPr>
        <w:t xml:space="preserve"> Part V underscores how difficult it will be to shift societal priorities, yet makes clear that beginning to do so may require coming to think of the deep, fundamental needs of people as part of “safety,” and not some set of goods people must obtain for themselves even if they are incapable.</w:t>
      </w:r>
    </w:p>
    <w:p w:rsidR="00133F8A" w:rsidRPr="005B1095" w:rsidRDefault="0049551F" w:rsidP="00133F8A">
      <w:pPr>
        <w:spacing w:line="480" w:lineRule="auto"/>
        <w:rPr>
          <w:rFonts w:cs="Times New Roman"/>
        </w:rPr>
      </w:pPr>
      <w:r w:rsidRPr="005B1095">
        <w:rPr>
          <w:rFonts w:cs="Times New Roman"/>
        </w:rPr>
        <w:tab/>
        <w:t xml:space="preserve">Wherever one ultimately comes out on what public safety entails, what seems unacceptable to not to ask the question, to fail to be clear in our own mind about why some governmental functions are privileged over others that seem just as vital.  Public safety </w:t>
      </w:r>
      <w:r w:rsidRPr="005B1095">
        <w:rPr>
          <w:rFonts w:cs="Times New Roman"/>
          <w:i/>
        </w:rPr>
        <w:t>is</w:t>
      </w:r>
      <w:r w:rsidRPr="005B1095">
        <w:rPr>
          <w:rFonts w:cs="Times New Roman"/>
        </w:rPr>
        <w:t xml:space="preserve"> the first job of government.  It is foundational.  Government must, above all else, aspire to do this job, and do it well.  But ascribing that role to the protection function alone not only creates its own harms, it cheats many other roles government can and should be playing </w:t>
      </w:r>
      <w:r w:rsidR="005E5F66">
        <w:rPr>
          <w:rFonts w:cs="Times New Roman"/>
        </w:rPr>
        <w:t xml:space="preserve">more vigorously </w:t>
      </w:r>
      <w:r w:rsidRPr="005B1095">
        <w:rPr>
          <w:rFonts w:cs="Times New Roman"/>
        </w:rPr>
        <w:t xml:space="preserve">in assuring people are safe. </w:t>
      </w:r>
    </w:p>
    <w:p w:rsidR="00133F8A" w:rsidRPr="005B1095" w:rsidRDefault="00133F8A" w:rsidP="00133F8A">
      <w:pPr>
        <w:jc w:val="center"/>
        <w:rPr>
          <w:rFonts w:cs="Times New Roman"/>
          <w:smallCaps/>
        </w:rPr>
      </w:pPr>
      <w:r w:rsidRPr="005B1095">
        <w:rPr>
          <w:rFonts w:cs="Times New Roman"/>
          <w:smallCaps/>
        </w:rPr>
        <w:t>Part I:</w:t>
      </w:r>
      <w:r w:rsidRPr="005B1095">
        <w:rPr>
          <w:rFonts w:cs="Times New Roman"/>
          <w:smallCaps/>
        </w:rPr>
        <w:tab/>
        <w:t xml:space="preserve">  </w:t>
      </w:r>
      <w:r w:rsidR="00750AD7">
        <w:rPr>
          <w:rFonts w:cs="Times New Roman"/>
          <w:smallCaps/>
        </w:rPr>
        <w:t>The Primacy of Protection</w:t>
      </w:r>
    </w:p>
    <w:p w:rsidR="00133F8A" w:rsidRPr="005B1095" w:rsidRDefault="00133F8A" w:rsidP="00133F8A">
      <w:pPr>
        <w:jc w:val="center"/>
        <w:rPr>
          <w:rFonts w:cs="Times New Roman"/>
        </w:rPr>
      </w:pPr>
    </w:p>
    <w:p w:rsidR="00133F8A" w:rsidRPr="005B1095" w:rsidRDefault="00133F8A" w:rsidP="00133F8A">
      <w:pPr>
        <w:spacing w:line="480" w:lineRule="auto"/>
        <w:rPr>
          <w:rFonts w:cs="Times New Roman"/>
          <w:i/>
        </w:rPr>
      </w:pPr>
      <w:r w:rsidRPr="005B1095">
        <w:rPr>
          <w:rFonts w:cs="Times New Roman"/>
          <w:i/>
        </w:rPr>
        <w:t>A.</w:t>
      </w:r>
      <w:r w:rsidRPr="005B1095">
        <w:rPr>
          <w:rFonts w:cs="Times New Roman"/>
          <w:i/>
        </w:rPr>
        <w:tab/>
        <w:t>Government’s First Job is Public Safety</w:t>
      </w:r>
    </w:p>
    <w:p w:rsidR="00133F8A" w:rsidRPr="005B1095" w:rsidRDefault="00133F8A" w:rsidP="00133F8A">
      <w:pPr>
        <w:spacing w:line="480" w:lineRule="auto"/>
        <w:ind w:firstLine="720"/>
        <w:rPr>
          <w:rFonts w:cs="Times New Roman"/>
          <w:i/>
        </w:rPr>
      </w:pPr>
      <w:r w:rsidRPr="005B1095">
        <w:rPr>
          <w:rFonts w:cs="Times New Roman"/>
        </w:rPr>
        <w:t>In 1991, Steven Heyman published an article entitled</w:t>
      </w:r>
      <w:r w:rsidRPr="005B1095">
        <w:rPr>
          <w:rFonts w:cs="Times New Roman"/>
          <w:i/>
        </w:rPr>
        <w:t xml:space="preserve"> The First Duty of Government.</w:t>
      </w:r>
      <w:r w:rsidRPr="005B1095">
        <w:rPr>
          <w:rStyle w:val="FootnoteReference"/>
          <w:rFonts w:cs="Times New Roman"/>
          <w:i/>
          <w:sz w:val="24"/>
        </w:rPr>
        <w:footnoteReference w:id="18"/>
      </w:r>
      <w:r w:rsidRPr="005B1095">
        <w:rPr>
          <w:rFonts w:cs="Times New Roman"/>
          <w:i/>
        </w:rPr>
        <w:t xml:space="preserve">  </w:t>
      </w:r>
      <w:r w:rsidRPr="005B1095">
        <w:rPr>
          <w:rFonts w:cs="Times New Roman"/>
        </w:rPr>
        <w:t xml:space="preserve">The article was a stunning rebuke to the Supreme Court’s 1989 decision in </w:t>
      </w:r>
      <w:proofErr w:type="spellStart"/>
      <w:r w:rsidRPr="005B1095">
        <w:rPr>
          <w:rFonts w:cs="Times New Roman"/>
          <w:i/>
        </w:rPr>
        <w:t>DeShaney</w:t>
      </w:r>
      <w:proofErr w:type="spellEnd"/>
      <w:r w:rsidRPr="005B1095">
        <w:rPr>
          <w:rFonts w:cs="Times New Roman"/>
          <w:i/>
        </w:rPr>
        <w:t xml:space="preserve"> v. </w:t>
      </w:r>
      <w:proofErr w:type="spellStart"/>
      <w:r w:rsidRPr="005B1095">
        <w:rPr>
          <w:rFonts w:cs="Times New Roman"/>
          <w:i/>
        </w:rPr>
        <w:t>Winnebego</w:t>
      </w:r>
      <w:proofErr w:type="spellEnd"/>
      <w:r w:rsidRPr="005B1095">
        <w:rPr>
          <w:rFonts w:cs="Times New Roman"/>
        </w:rPr>
        <w:t xml:space="preserve"> </w:t>
      </w:r>
      <w:r w:rsidRPr="005B1095">
        <w:rPr>
          <w:rFonts w:cs="Times New Roman"/>
          <w:i/>
        </w:rPr>
        <w:t>County</w:t>
      </w:r>
      <w:r w:rsidRPr="005B1095">
        <w:rPr>
          <w:rFonts w:cs="Times New Roman"/>
        </w:rPr>
        <w:t xml:space="preserve">, which </w:t>
      </w:r>
      <w:r w:rsidR="00195DFB">
        <w:rPr>
          <w:rFonts w:cs="Times New Roman"/>
        </w:rPr>
        <w:t>held</w:t>
      </w:r>
      <w:r w:rsidRPr="005B1095">
        <w:rPr>
          <w:rFonts w:cs="Times New Roman"/>
        </w:rPr>
        <w:t xml:space="preserve"> that the Constitution provided only “negative” rights, but imposed no affirmative obligations on the government in the United States.</w:t>
      </w:r>
      <w:r w:rsidRPr="005B1095">
        <w:rPr>
          <w:rStyle w:val="FootnoteReference"/>
          <w:rFonts w:cs="Times New Roman"/>
          <w:sz w:val="24"/>
        </w:rPr>
        <w:footnoteReference w:id="19"/>
      </w:r>
      <w:r w:rsidRPr="005B1095">
        <w:rPr>
          <w:rFonts w:cs="Times New Roman"/>
        </w:rPr>
        <w:t xml:space="preserve">  Heyman’s is a copious account, drawing on the words of key actors and foundational texts, to show government’s fundamental and essential role in assuring </w:t>
      </w:r>
      <w:r w:rsidR="0032198A">
        <w:rPr>
          <w:rFonts w:cs="Times New Roman"/>
        </w:rPr>
        <w:t>protection for its citizens from physical violence</w:t>
      </w:r>
      <w:r w:rsidRPr="005B1095">
        <w:rPr>
          <w:rFonts w:cs="Times New Roman"/>
        </w:rPr>
        <w:t>.  Among the many he quotes is Lyman Trumbull, the author of the Thirteenth Amendment and chair of the Senate Judiciary Committee during Reconstruction, who explained the classical view that individuals traded their liberty for “the protection which civil government gives him.”</w:t>
      </w:r>
      <w:r w:rsidRPr="005B1095">
        <w:rPr>
          <w:rStyle w:val="FootnoteReference"/>
          <w:rFonts w:cs="Times New Roman"/>
          <w:sz w:val="24"/>
        </w:rPr>
        <w:footnoteReference w:id="20"/>
      </w:r>
      <w:r w:rsidRPr="005B1095">
        <w:rPr>
          <w:rFonts w:cs="Times New Roman"/>
        </w:rPr>
        <w:t xml:space="preserve">  </w:t>
      </w:r>
    </w:p>
    <w:p w:rsidR="00133F8A" w:rsidRPr="005B1095" w:rsidRDefault="00133F8A" w:rsidP="00133F8A">
      <w:pPr>
        <w:spacing w:line="480" w:lineRule="auto"/>
        <w:rPr>
          <w:rFonts w:cs="Times New Roman"/>
        </w:rPr>
      </w:pPr>
      <w:r w:rsidRPr="005B1095">
        <w:rPr>
          <w:rFonts w:cs="Times New Roman"/>
        </w:rPr>
        <w:tab/>
        <w:t xml:space="preserve">As Heyman made clear, Reconstruction was but one moment in a long lineage of recognition that the primary responsibility of government was assuring safety </w:t>
      </w:r>
      <w:r w:rsidR="0032198A">
        <w:rPr>
          <w:rFonts w:cs="Times New Roman"/>
        </w:rPr>
        <w:t>for person and property</w:t>
      </w:r>
      <w:r w:rsidRPr="005B1095">
        <w:rPr>
          <w:rFonts w:cs="Times New Roman"/>
        </w:rPr>
        <w:t xml:space="preserve"> under its jurisdiction.</w:t>
      </w:r>
      <w:r w:rsidRPr="005B1095">
        <w:rPr>
          <w:rStyle w:val="FootnoteReference"/>
          <w:rFonts w:cs="Times New Roman"/>
          <w:sz w:val="24"/>
        </w:rPr>
        <w:footnoteReference w:id="21"/>
      </w:r>
      <w:r w:rsidRPr="005B1095">
        <w:rPr>
          <w:rFonts w:cs="Times New Roman"/>
        </w:rPr>
        <w:t xml:space="preserve">  Prior to the Enlightenment, the conception of governance was one of </w:t>
      </w:r>
      <w:r w:rsidR="00676766">
        <w:rPr>
          <w:rFonts w:cs="Times New Roman"/>
        </w:rPr>
        <w:t xml:space="preserve">“reciprocal </w:t>
      </w:r>
      <w:r w:rsidR="006D475F">
        <w:rPr>
          <w:rFonts w:cs="Times New Roman"/>
        </w:rPr>
        <w:t>natural</w:t>
      </w:r>
      <w:r w:rsidRPr="005B1095">
        <w:rPr>
          <w:rFonts w:cs="Times New Roman"/>
        </w:rPr>
        <w:t xml:space="preserve"> obligation:</w:t>
      </w:r>
      <w:r w:rsidR="00676766">
        <w:rPr>
          <w:rFonts w:cs="Times New Roman"/>
        </w:rPr>
        <w:t>”</w:t>
      </w:r>
      <w:r w:rsidRPr="005B1095">
        <w:rPr>
          <w:rFonts w:cs="Times New Roman"/>
        </w:rPr>
        <w:t xml:space="preserve"> subjects owed the sovereign allegiance, for which the sovereign “was bound ‘to govern and protect his subjects.’”</w:t>
      </w:r>
      <w:r w:rsidRPr="005B1095">
        <w:rPr>
          <w:rStyle w:val="FootnoteReference"/>
          <w:rFonts w:cs="Times New Roman"/>
          <w:sz w:val="24"/>
        </w:rPr>
        <w:footnoteReference w:id="22"/>
      </w:r>
      <w:r w:rsidRPr="005B1095">
        <w:rPr>
          <w:rFonts w:cs="Times New Roman"/>
        </w:rPr>
        <w:t xml:space="preserve"> Come Enlightenment, the theory shifted from one of obligation to one of consent; people left the state of nature specifically in exchange for government guaranteeing them safety and security for themselves and their property.</w:t>
      </w:r>
      <w:r w:rsidRPr="005B1095">
        <w:rPr>
          <w:rStyle w:val="FootnoteReference"/>
          <w:rFonts w:cs="Times New Roman"/>
          <w:sz w:val="24"/>
        </w:rPr>
        <w:footnoteReference w:id="23"/>
      </w:r>
      <w:r w:rsidRPr="005B1095">
        <w:rPr>
          <w:rFonts w:cs="Times New Roman"/>
        </w:rPr>
        <w:t xml:space="preserve">  Enlightenment philosophers were unequivocal in stressing the centrality of “security.”  Bentham called security “the principal, indeed the paramount, object” of government, and the “main object of law.”</w:t>
      </w:r>
      <w:r w:rsidRPr="005B1095">
        <w:rPr>
          <w:rStyle w:val="FootnoteReference"/>
          <w:rFonts w:cs="Times New Roman"/>
          <w:sz w:val="24"/>
        </w:rPr>
        <w:footnoteReference w:id="24"/>
      </w:r>
      <w:r w:rsidRPr="005B1095">
        <w:rPr>
          <w:rFonts w:cs="Times New Roman"/>
        </w:rPr>
        <w:t xml:space="preserve">  Blackstone, the chronicler of the common law, stated that a state is simply “a collective body, composed by a multitude of individuals, united for their safety and convenience . . . .”</w:t>
      </w:r>
      <w:r w:rsidRPr="005B1095">
        <w:rPr>
          <w:rStyle w:val="FootnoteReference"/>
          <w:rFonts w:cs="Times New Roman"/>
          <w:sz w:val="24"/>
        </w:rPr>
        <w:footnoteReference w:id="25"/>
      </w:r>
    </w:p>
    <w:p w:rsidR="00133F8A" w:rsidRPr="005B1095" w:rsidRDefault="00133F8A" w:rsidP="00133F8A">
      <w:pPr>
        <w:spacing w:line="480" w:lineRule="auto"/>
        <w:ind w:firstLine="720"/>
        <w:rPr>
          <w:rFonts w:cs="Times New Roman"/>
        </w:rPr>
      </w:pPr>
      <w:r w:rsidRPr="005B1095">
        <w:rPr>
          <w:rFonts w:cs="Times New Roman"/>
        </w:rPr>
        <w:t xml:space="preserve">The Framers of our Constitution likewise recognized the primary role of government in assuring the safety and security of its subjects.  </w:t>
      </w:r>
      <w:r w:rsidRPr="005B1095">
        <w:rPr>
          <w:rFonts w:cs="Times New Roman"/>
          <w:i/>
        </w:rPr>
        <w:t>The Federalist Papers,</w:t>
      </w:r>
      <w:r w:rsidRPr="005B1095">
        <w:rPr>
          <w:rFonts w:cs="Times New Roman"/>
        </w:rPr>
        <w:t xml:space="preserve"> in explaining and defending the Constitution, made this clear.  Madison, in Federalist 10, declared “the first object of government” the “protection” of “the faculties of men” and “the rights of property.”</w:t>
      </w:r>
      <w:r w:rsidRPr="005B1095">
        <w:rPr>
          <w:rStyle w:val="FootnoteReference"/>
          <w:rFonts w:cs="Times New Roman"/>
          <w:sz w:val="24"/>
        </w:rPr>
        <w:footnoteReference w:id="26"/>
      </w:r>
      <w:r w:rsidRPr="005B1095">
        <w:rPr>
          <w:rFonts w:cs="Times New Roman"/>
        </w:rPr>
        <w:t xml:space="preserve">  Jay said the same in Federalist 3, that “[a]</w:t>
      </w:r>
      <w:proofErr w:type="spellStart"/>
      <w:r w:rsidRPr="005B1095">
        <w:rPr>
          <w:rFonts w:cs="Times New Roman"/>
        </w:rPr>
        <w:t>mong</w:t>
      </w:r>
      <w:proofErr w:type="spellEnd"/>
      <w:r w:rsidRPr="005B1095">
        <w:rPr>
          <w:rFonts w:cs="Times New Roman"/>
        </w:rPr>
        <w:t xml:space="preserve"> the many objects to which a wise and free people find it necessary to direct their attention, that of providing for their safety seems to be the first.”</w:t>
      </w:r>
      <w:r w:rsidRPr="005B1095">
        <w:rPr>
          <w:rStyle w:val="FootnoteReference"/>
          <w:rFonts w:cs="Times New Roman"/>
          <w:sz w:val="24"/>
        </w:rPr>
        <w:footnoteReference w:id="27"/>
      </w:r>
      <w:r w:rsidRPr="005B1095">
        <w:rPr>
          <w:rFonts w:cs="Times New Roman"/>
        </w:rPr>
        <w:t xml:space="preserve">  On this score the Anti-Federalists concurred.</w:t>
      </w:r>
      <w:r w:rsidRPr="005B1095">
        <w:rPr>
          <w:rStyle w:val="FootnoteReference"/>
          <w:rFonts w:cs="Times New Roman"/>
          <w:sz w:val="24"/>
        </w:rPr>
        <w:footnoteReference w:id="28"/>
      </w:r>
      <w:r w:rsidRPr="005B1095">
        <w:rPr>
          <w:rFonts w:cs="Times New Roman"/>
        </w:rPr>
        <w:t xml:space="preserve">  State constitutions similarly talked of the role of government in assuring the “security” of the people.</w:t>
      </w:r>
      <w:r w:rsidRPr="005B1095">
        <w:rPr>
          <w:rStyle w:val="FootnoteReference"/>
          <w:rFonts w:cs="Times New Roman"/>
          <w:sz w:val="24"/>
        </w:rPr>
        <w:footnoteReference w:id="29"/>
      </w:r>
      <w:r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Today it is no different; leaders in the modern era repeatedly assure us that government’s chief responsibility is keeping the people safe.  Hillary Clinton, in accepting the 2016 nomination, said “Keeping the nation safe and honoring the people who do that work will be my highest priority.”</w:t>
      </w:r>
      <w:r w:rsidRPr="005B1095">
        <w:rPr>
          <w:rStyle w:val="FootnoteReference"/>
          <w:rFonts w:cs="Times New Roman"/>
          <w:sz w:val="24"/>
        </w:rPr>
        <w:footnoteReference w:id="30"/>
      </w:r>
      <w:r w:rsidRPr="005B1095">
        <w:rPr>
          <w:rFonts w:cs="Times New Roman"/>
        </w:rPr>
        <w:t xml:space="preserve">  This theme is the same at the state and local level.  Arnold Schwarzenegger, former Governor of California, is quoted repeatedly as saying “Government’s first duty and highest obligation is public safety.”</w:t>
      </w:r>
      <w:r w:rsidRPr="005B1095">
        <w:rPr>
          <w:rStyle w:val="FootnoteReference"/>
          <w:rFonts w:cs="Times New Roman"/>
          <w:sz w:val="24"/>
        </w:rPr>
        <w:footnoteReference w:id="31"/>
      </w:r>
      <w:r w:rsidRPr="005B1095">
        <w:rPr>
          <w:rFonts w:cs="Times New Roman"/>
        </w:rPr>
        <w:t xml:space="preserve">  Jacksonville’s Mayor in 2019, published an early-year blog post, “Public safety is my first priority.”</w:t>
      </w:r>
      <w:r w:rsidRPr="005B1095">
        <w:rPr>
          <w:rStyle w:val="FootnoteReference"/>
          <w:rFonts w:cs="Times New Roman"/>
          <w:sz w:val="24"/>
        </w:rPr>
        <w:footnoteReference w:id="32"/>
      </w:r>
      <w:r w:rsidRPr="005B1095">
        <w:rPr>
          <w:rFonts w:cs="Times New Roman"/>
        </w:rPr>
        <w:t xml:space="preserve">  So too in Orlando, the “top priority is public safety.”</w:t>
      </w:r>
      <w:r w:rsidRPr="005B1095">
        <w:rPr>
          <w:rStyle w:val="FootnoteReference"/>
          <w:rFonts w:cs="Times New Roman"/>
          <w:sz w:val="24"/>
        </w:rPr>
        <w:footnoteReference w:id="33"/>
      </w:r>
      <w:r w:rsidRPr="005B1095">
        <w:rPr>
          <w:rFonts w:cs="Times New Roman"/>
        </w:rPr>
        <w:t xml:space="preserve">  </w:t>
      </w:r>
    </w:p>
    <w:p w:rsidR="00133F8A" w:rsidRPr="005B1095" w:rsidRDefault="00133F8A" w:rsidP="00133F8A">
      <w:pPr>
        <w:spacing w:line="480" w:lineRule="auto"/>
        <w:rPr>
          <w:rFonts w:cs="Times New Roman"/>
        </w:rPr>
      </w:pPr>
      <w:r w:rsidRPr="005B1095">
        <w:rPr>
          <w:rFonts w:cs="Times New Roman"/>
        </w:rPr>
        <w:tab/>
        <w:t xml:space="preserve">The point is so basic, that to go on any longer would surely be to haul coals to Newcastle.  Safety is government’s first job, and no one seems really to feel differently.  </w:t>
      </w:r>
    </w:p>
    <w:p w:rsidR="00133F8A" w:rsidRPr="005B1095" w:rsidRDefault="00133F8A" w:rsidP="00133F8A">
      <w:pPr>
        <w:spacing w:line="480" w:lineRule="auto"/>
        <w:rPr>
          <w:rFonts w:cs="Times New Roman"/>
          <w:i/>
        </w:rPr>
      </w:pPr>
      <w:r w:rsidRPr="005B1095">
        <w:rPr>
          <w:rFonts w:cs="Times New Roman"/>
          <w:i/>
        </w:rPr>
        <w:t>B.</w:t>
      </w:r>
      <w:r w:rsidRPr="005B1095">
        <w:rPr>
          <w:rFonts w:cs="Times New Roman"/>
          <w:i/>
        </w:rPr>
        <w:tab/>
        <w:t>Public Safety is Protection</w:t>
      </w:r>
    </w:p>
    <w:p w:rsidR="00133F8A" w:rsidRPr="005B1095" w:rsidRDefault="00133F8A" w:rsidP="00133F8A">
      <w:pPr>
        <w:spacing w:line="480" w:lineRule="auto"/>
        <w:rPr>
          <w:rFonts w:cs="Times New Roman"/>
        </w:rPr>
      </w:pPr>
      <w:r w:rsidRPr="005B1095">
        <w:rPr>
          <w:rFonts w:cs="Times New Roman"/>
        </w:rPr>
        <w:tab/>
        <w:t xml:space="preserve">Nor is there any doubt—and this is the important thing—that </w:t>
      </w:r>
      <w:r w:rsidR="00616E5B">
        <w:rPr>
          <w:rFonts w:cs="Times New Roman"/>
        </w:rPr>
        <w:t xml:space="preserve">when these figures speak of </w:t>
      </w:r>
      <w:r w:rsidRPr="005B1095">
        <w:rPr>
          <w:rFonts w:cs="Times New Roman"/>
        </w:rPr>
        <w:t>public safety</w:t>
      </w:r>
      <w:r w:rsidR="00616E5B">
        <w:rPr>
          <w:rFonts w:cs="Times New Roman"/>
        </w:rPr>
        <w:t>, what they have in mind</w:t>
      </w:r>
      <w:r w:rsidRPr="005B1095">
        <w:rPr>
          <w:rFonts w:cs="Times New Roman"/>
        </w:rPr>
        <w:t xml:space="preserve"> is the protection function.  There are outliers, some few who explicitly deem public safety to involve a broader set of responsibilities.</w:t>
      </w:r>
      <w:r w:rsidRPr="005B1095">
        <w:rPr>
          <w:rStyle w:val="FootnoteReference"/>
          <w:rFonts w:cs="Times New Roman"/>
          <w:sz w:val="24"/>
        </w:rPr>
        <w:footnoteReference w:id="34"/>
      </w:r>
      <w:r w:rsidRPr="005B1095">
        <w:rPr>
          <w:rFonts w:cs="Times New Roman"/>
        </w:rPr>
        <w:t xml:space="preserve">  But for the most part, when people talk about government’s first job being public safety, they mean one </w:t>
      </w:r>
      <w:r w:rsidR="00616E5B">
        <w:rPr>
          <w:rFonts w:cs="Times New Roman"/>
        </w:rPr>
        <w:t>primary</w:t>
      </w:r>
      <w:r w:rsidRPr="005B1095">
        <w:rPr>
          <w:rFonts w:cs="Times New Roman"/>
        </w:rPr>
        <w:t xml:space="preserve"> thing:  protecting people from injury to person or property, resulting </w:t>
      </w:r>
      <w:r w:rsidR="00775B10">
        <w:rPr>
          <w:rFonts w:cs="Times New Roman"/>
        </w:rPr>
        <w:t>mostly</w:t>
      </w:r>
      <w:r w:rsidRPr="005B1095">
        <w:rPr>
          <w:rFonts w:cs="Times New Roman"/>
        </w:rPr>
        <w:t xml:space="preserve"> from the actions of third parties.  </w:t>
      </w:r>
    </w:p>
    <w:p w:rsidR="00133F8A" w:rsidRPr="005B1095" w:rsidRDefault="00133F8A" w:rsidP="00133F8A">
      <w:pPr>
        <w:spacing w:line="480" w:lineRule="auto"/>
        <w:ind w:firstLine="720"/>
        <w:rPr>
          <w:rFonts w:cs="Times New Roman"/>
          <w:i/>
        </w:rPr>
      </w:pPr>
      <w:r w:rsidRPr="005B1095">
        <w:rPr>
          <w:rFonts w:cs="Times New Roman"/>
        </w:rPr>
        <w:t xml:space="preserve">Take Heyman’s article: his subtitle is </w:t>
      </w:r>
      <w:r w:rsidRPr="005B1095">
        <w:rPr>
          <w:rFonts w:cs="Times New Roman"/>
          <w:i/>
        </w:rPr>
        <w:t>Protection, Liberty, and the Fourteenth Amendment</w:t>
      </w:r>
      <w:r w:rsidRPr="005B1095">
        <w:rPr>
          <w:rFonts w:cs="Times New Roman"/>
        </w:rPr>
        <w:t xml:space="preserve">.  The </w:t>
      </w:r>
      <w:r w:rsidR="00616E5B">
        <w:rPr>
          <w:rFonts w:cs="Times New Roman"/>
        </w:rPr>
        <w:t>central</w:t>
      </w:r>
      <w:r w:rsidRPr="005B1095">
        <w:rPr>
          <w:rFonts w:cs="Times New Roman"/>
        </w:rPr>
        <w:t xml:space="preserve"> argument is that “one of the central purposes” of the Fourteenth Amendment was “the government’s duty to protect individuals from violence.”</w:t>
      </w:r>
      <w:r w:rsidRPr="005B1095">
        <w:rPr>
          <w:rStyle w:val="FootnoteReference"/>
          <w:rFonts w:cs="Times New Roman"/>
          <w:sz w:val="24"/>
        </w:rPr>
        <w:footnoteReference w:id="35"/>
      </w:r>
      <w:r w:rsidRPr="005B1095">
        <w:rPr>
          <w:rFonts w:cs="Times New Roman"/>
        </w:rPr>
        <w:t xml:space="preserve">  Perhaps no text was quoted more often in those Reconstruction debates than Justice </w:t>
      </w:r>
      <w:proofErr w:type="spellStart"/>
      <w:r w:rsidRPr="005B1095">
        <w:rPr>
          <w:rFonts w:cs="Times New Roman"/>
        </w:rPr>
        <w:t>Bushrod</w:t>
      </w:r>
      <w:proofErr w:type="spellEnd"/>
      <w:r w:rsidRPr="005B1095">
        <w:rPr>
          <w:rFonts w:cs="Times New Roman"/>
        </w:rPr>
        <w:t xml:space="preserve"> Washington’s famous statement in </w:t>
      </w:r>
      <w:r w:rsidRPr="005B1095">
        <w:rPr>
          <w:rFonts w:cs="Times New Roman"/>
          <w:i/>
        </w:rPr>
        <w:t>Corfield v. Coryell</w:t>
      </w:r>
      <w:r w:rsidRPr="005B1095">
        <w:rPr>
          <w:rFonts w:cs="Times New Roman"/>
        </w:rPr>
        <w:t xml:space="preserve"> regarding the “privileges and immunities of the citizens of the United States,” in which Washington put first and foremost “[p]</w:t>
      </w:r>
      <w:proofErr w:type="spellStart"/>
      <w:r w:rsidRPr="005B1095">
        <w:rPr>
          <w:rFonts w:cs="Times New Roman"/>
        </w:rPr>
        <w:t>rotection</w:t>
      </w:r>
      <w:proofErr w:type="spellEnd"/>
      <w:r w:rsidRPr="005B1095">
        <w:rPr>
          <w:rFonts w:cs="Times New Roman"/>
        </w:rPr>
        <w:t xml:space="preserve"> by the government” to the end of allowing people life, liberty, property, the pursuit “of happiness and safety.”</w:t>
      </w:r>
      <w:r w:rsidRPr="005B1095">
        <w:rPr>
          <w:rStyle w:val="FootnoteReference"/>
          <w:rFonts w:cs="Times New Roman"/>
          <w:sz w:val="24"/>
        </w:rPr>
        <w:footnoteReference w:id="36"/>
      </w:r>
      <w:r w:rsidRPr="005B1095">
        <w:rPr>
          <w:rFonts w:cs="Times New Roman"/>
        </w:rPr>
        <w:t xml:space="preserve"> Hence the Fourteenth Amendment’s guarantee of “equal protection of the laws” to all citizens of the United States.</w:t>
      </w:r>
      <w:r w:rsidRPr="005B1095">
        <w:rPr>
          <w:rStyle w:val="FootnoteReference"/>
          <w:rFonts w:cs="Times New Roman"/>
          <w:sz w:val="24"/>
        </w:rPr>
        <w:footnoteReference w:id="37"/>
      </w:r>
      <w:r w:rsidRPr="005B1095">
        <w:rPr>
          <w:rFonts w:cs="Times New Roman"/>
        </w:rPr>
        <w:t xml:space="preserve">  This made sense in the context of current events, in which night riders terrorized the freedmen, </w:t>
      </w:r>
      <w:r w:rsidR="00775B10">
        <w:rPr>
          <w:rFonts w:cs="Times New Roman"/>
        </w:rPr>
        <w:t xml:space="preserve">threatening </w:t>
      </w:r>
      <w:r w:rsidR="00616E5B">
        <w:rPr>
          <w:rFonts w:cs="Times New Roman"/>
        </w:rPr>
        <w:t xml:space="preserve">and </w:t>
      </w:r>
      <w:r w:rsidR="00775B10">
        <w:rPr>
          <w:rFonts w:cs="Times New Roman"/>
        </w:rPr>
        <w:t xml:space="preserve">bringing </w:t>
      </w:r>
      <w:r w:rsidR="00616E5B">
        <w:rPr>
          <w:rFonts w:cs="Times New Roman"/>
        </w:rPr>
        <w:t xml:space="preserve">physical violence, </w:t>
      </w:r>
      <w:r w:rsidRPr="005B1095">
        <w:rPr>
          <w:rFonts w:cs="Times New Roman"/>
        </w:rPr>
        <w:t>making a mockery of government’s ability to protect them.</w:t>
      </w:r>
      <w:r w:rsidR="00195DFB">
        <w:rPr>
          <w:rStyle w:val="FootnoteReference"/>
          <w:rFonts w:cs="Times New Roman"/>
        </w:rPr>
        <w:footnoteReference w:id="38"/>
      </w:r>
      <w:r w:rsidRPr="005B1095">
        <w:rPr>
          <w:rFonts w:cs="Times New Roman"/>
        </w:rPr>
        <w:t xml:space="preserve">  And it made sense for Heyman, given his target was </w:t>
      </w:r>
      <w:proofErr w:type="spellStart"/>
      <w:r w:rsidRPr="005B1095">
        <w:rPr>
          <w:rFonts w:cs="Times New Roman"/>
          <w:i/>
        </w:rPr>
        <w:t>DeShaney</w:t>
      </w:r>
      <w:proofErr w:type="spellEnd"/>
      <w:r w:rsidRPr="005B1095">
        <w:rPr>
          <w:rFonts w:cs="Times New Roman"/>
          <w:i/>
        </w:rPr>
        <w:t xml:space="preserve"> v. </w:t>
      </w:r>
      <w:proofErr w:type="spellStart"/>
      <w:r w:rsidRPr="005B1095">
        <w:rPr>
          <w:rFonts w:cs="Times New Roman"/>
          <w:i/>
        </w:rPr>
        <w:t>Winnebego</w:t>
      </w:r>
      <w:proofErr w:type="spellEnd"/>
      <w:r w:rsidRPr="005B1095">
        <w:rPr>
          <w:rFonts w:cs="Times New Roman"/>
          <w:i/>
        </w:rPr>
        <w:t xml:space="preserve"> County</w:t>
      </w:r>
      <w:r w:rsidRPr="005B1095">
        <w:rPr>
          <w:rFonts w:cs="Times New Roman"/>
        </w:rPr>
        <w:t>, a case in which the state failed to protect a young boy from his father beating him senselessly into a coma, and killing him.</w:t>
      </w:r>
      <w:r w:rsidRPr="005B1095">
        <w:rPr>
          <w:rStyle w:val="FootnoteReference"/>
          <w:rFonts w:cs="Times New Roman"/>
          <w:sz w:val="24"/>
        </w:rPr>
        <w:footnoteReference w:id="39"/>
      </w:r>
    </w:p>
    <w:p w:rsidR="00133F8A" w:rsidRPr="005B1095" w:rsidRDefault="00133F8A" w:rsidP="00133F8A">
      <w:pPr>
        <w:spacing w:line="480" w:lineRule="auto"/>
        <w:rPr>
          <w:rFonts w:cs="Times New Roman"/>
        </w:rPr>
      </w:pPr>
      <w:r w:rsidRPr="005B1095">
        <w:rPr>
          <w:rFonts w:cs="Times New Roman"/>
        </w:rPr>
        <w:tab/>
        <w:t>From the Enlightenment through adoption of our Constitution, when people spoke of public safety, they meant the protection function.   As Hobbes put it, “a man may . . . account himself in the estate of security, when he can foresee no violence to be done unto him, from which the doer may not be deterred by the power of that sovereign, to whom they have every one subjected themselves.”</w:t>
      </w:r>
      <w:r w:rsidRPr="005B1095">
        <w:rPr>
          <w:rStyle w:val="FootnoteReference"/>
          <w:rFonts w:cs="Times New Roman"/>
          <w:sz w:val="24"/>
        </w:rPr>
        <w:footnoteReference w:id="40"/>
      </w:r>
      <w:r w:rsidRPr="005B1095">
        <w:rPr>
          <w:rFonts w:cs="Times New Roman"/>
        </w:rPr>
        <w:t xml:space="preserve">  Safety involved protecting property as well as the person, of course.  Without protection from government, individuals risk spending all their time struggling to hold onto what is theirs.  Thus, the “boon beyond all price” was the law’s ability to secure to us what is ours, to know that our property is safe.</w:t>
      </w:r>
      <w:r w:rsidRPr="005B1095">
        <w:rPr>
          <w:rStyle w:val="FootnoteReference"/>
          <w:rFonts w:cs="Times New Roman"/>
          <w:sz w:val="24"/>
        </w:rPr>
        <w:footnoteReference w:id="41"/>
      </w:r>
      <w:r w:rsidRPr="005B1095">
        <w:rPr>
          <w:rFonts w:cs="Times New Roman"/>
        </w:rPr>
        <w:t xml:space="preserve"> It’s only then that we—as individuals and as a society—have the incentive to produce, to develop, to grow.</w:t>
      </w:r>
      <w:r w:rsidRPr="005B1095">
        <w:rPr>
          <w:rStyle w:val="FootnoteReference"/>
          <w:rFonts w:cs="Times New Roman"/>
          <w:sz w:val="24"/>
        </w:rPr>
        <w:footnoteReference w:id="42"/>
      </w:r>
      <w:r w:rsidRPr="005B1095">
        <w:rPr>
          <w:rFonts w:cs="Times New Roman"/>
        </w:rPr>
        <w:t xml:space="preserve">  For Locke, the “great end of men’s entering into society” was “the enjoyment of their properties in peace and safety.”</w:t>
      </w:r>
      <w:r w:rsidRPr="005B1095">
        <w:rPr>
          <w:rStyle w:val="FootnoteReference"/>
          <w:rFonts w:cs="Times New Roman"/>
          <w:sz w:val="24"/>
        </w:rPr>
        <w:footnoteReference w:id="43"/>
      </w:r>
      <w:r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 xml:space="preserve">The same was true in our founding era.  The Constitution itself was created to “insure Domestic tranquility, and provide for the common </w:t>
      </w:r>
      <w:proofErr w:type="spellStart"/>
      <w:r w:rsidRPr="005B1095">
        <w:rPr>
          <w:rFonts w:cs="Times New Roman"/>
        </w:rPr>
        <w:t>defence</w:t>
      </w:r>
      <w:proofErr w:type="spellEnd"/>
      <w:r w:rsidRPr="005B1095">
        <w:rPr>
          <w:rFonts w:cs="Times New Roman"/>
        </w:rPr>
        <w:t>.</w:t>
      </w:r>
      <w:r w:rsidRPr="005B1095">
        <w:rPr>
          <w:rStyle w:val="FootnoteReference"/>
          <w:rFonts w:cs="Times New Roman"/>
          <w:sz w:val="24"/>
        </w:rPr>
        <w:footnoteReference w:id="44"/>
      </w:r>
      <w:r w:rsidRPr="005B1095">
        <w:rPr>
          <w:rFonts w:cs="Times New Roman"/>
        </w:rPr>
        <w:t>”  Said the Anti-Federalist Brutus, “The preservation of internal peace and order, and the due administration of justice, ought to be the first care of every government.”</w:t>
      </w:r>
      <w:r w:rsidRPr="005B1095">
        <w:rPr>
          <w:rStyle w:val="FootnoteReference"/>
          <w:rFonts w:cs="Times New Roman"/>
          <w:sz w:val="24"/>
        </w:rPr>
        <w:footnoteReference w:id="45"/>
      </w:r>
      <w:r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When political figures in the modern era talk about public safety, they almost invariably are referring to the protection function as well.  Sometimes the threats are foreign ones, sometimes domestic. Goldwater, running for president in 1964, stressed the need to “keep the streets safe from bullies and marauders.”</w:t>
      </w:r>
      <w:r w:rsidRPr="005B1095">
        <w:rPr>
          <w:rStyle w:val="FootnoteReference"/>
          <w:rFonts w:cs="Times New Roman"/>
          <w:sz w:val="24"/>
        </w:rPr>
        <w:footnoteReference w:id="46"/>
      </w:r>
      <w:r w:rsidRPr="005B1095">
        <w:rPr>
          <w:rFonts w:cs="Times New Roman"/>
        </w:rPr>
        <w:t xml:space="preserve">  This was a theme Richard Nixon used to catapult himself into the White House: “the first civil right of every American is to be free from domestic violence, and that right must be guaranteed in this country.”</w:t>
      </w:r>
      <w:r w:rsidRPr="005B1095">
        <w:rPr>
          <w:rStyle w:val="FootnoteReference"/>
          <w:rFonts w:cs="Times New Roman"/>
          <w:sz w:val="24"/>
        </w:rPr>
        <w:footnoteReference w:id="47"/>
      </w:r>
      <w:r w:rsidRPr="005B1095">
        <w:rPr>
          <w:rFonts w:cs="Times New Roman"/>
        </w:rPr>
        <w:t xml:space="preserve">  When discussing his immigration policy, Donald Trump emphasized that an executive order he issued “empowers ICE officers to target and remove those who pose a threat to public safety.”</w:t>
      </w:r>
      <w:r w:rsidRPr="005B1095">
        <w:rPr>
          <w:rStyle w:val="FootnoteReference"/>
          <w:rFonts w:cs="Times New Roman"/>
          <w:sz w:val="24"/>
        </w:rPr>
        <w:footnoteReference w:id="48"/>
      </w:r>
      <w:r w:rsidRPr="005B1095">
        <w:rPr>
          <w:rFonts w:cs="Times New Roman"/>
        </w:rPr>
        <w:t xml:space="preserve"> This conception hardly came only from the right. Bill Clinton explained that criminal justice reform needed to focus on helping society “prevent crime, punish criminals, and restore a sense of safety and security to the American people.”</w:t>
      </w:r>
      <w:r w:rsidRPr="005B1095">
        <w:rPr>
          <w:rStyle w:val="FootnoteReference"/>
          <w:rFonts w:cs="Times New Roman"/>
          <w:sz w:val="24"/>
        </w:rPr>
        <w:footnoteReference w:id="49"/>
      </w:r>
    </w:p>
    <w:p w:rsidR="00133F8A" w:rsidRPr="005B1095" w:rsidRDefault="00876140" w:rsidP="00133F8A">
      <w:pPr>
        <w:spacing w:line="480" w:lineRule="auto"/>
        <w:ind w:firstLine="720"/>
        <w:rPr>
          <w:rFonts w:cs="Times New Roman"/>
        </w:rPr>
      </w:pPr>
      <w:r>
        <w:rPr>
          <w:rFonts w:cs="Times New Roman"/>
        </w:rPr>
        <w:t>W</w:t>
      </w:r>
      <w:r w:rsidR="00133F8A" w:rsidRPr="005B1095">
        <w:rPr>
          <w:rFonts w:cs="Times New Roman"/>
        </w:rPr>
        <w:t xml:space="preserve">hen we look at how government advertises itself, public safety once again </w:t>
      </w:r>
      <w:r w:rsidRPr="005B1095">
        <w:rPr>
          <w:rFonts w:cs="Times New Roman"/>
        </w:rPr>
        <w:t xml:space="preserve">is </w:t>
      </w:r>
      <w:r>
        <w:rPr>
          <w:rFonts w:cs="Times New Roman"/>
        </w:rPr>
        <w:t xml:space="preserve">equated with </w:t>
      </w:r>
      <w:r w:rsidR="00133F8A" w:rsidRPr="005B1095">
        <w:rPr>
          <w:rFonts w:cs="Times New Roman"/>
        </w:rPr>
        <w:t>the protection function. Examine the web pages of state and municipal “public safety” agencies, and what appears is the police, as well as fire departments and emergency medical services. On the “public safety” section of its website, for example, Sacramento says that “[k]</w:t>
      </w:r>
      <w:proofErr w:type="spellStart"/>
      <w:r w:rsidR="00133F8A" w:rsidRPr="005B1095">
        <w:rPr>
          <w:rFonts w:cs="Times New Roman"/>
        </w:rPr>
        <w:t>eeping</w:t>
      </w:r>
      <w:proofErr w:type="spellEnd"/>
      <w:r w:rsidR="00133F8A" w:rsidRPr="005B1095">
        <w:rPr>
          <w:rFonts w:cs="Times New Roman"/>
        </w:rPr>
        <w:t xml:space="preserve"> your family safe is a top priority for Sacramento’s public safety family – EMS, Fire, Police, and Emergency Management.”</w:t>
      </w:r>
      <w:r w:rsidR="00133F8A" w:rsidRPr="005B1095">
        <w:rPr>
          <w:rStyle w:val="FootnoteReference"/>
          <w:rFonts w:cs="Times New Roman"/>
          <w:sz w:val="24"/>
        </w:rPr>
        <w:footnoteReference w:id="50"/>
      </w:r>
      <w:r w:rsidR="00133F8A"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What constitutes the protection function itself will morph and change</w:t>
      </w:r>
      <w:r w:rsidR="00195DFB">
        <w:rPr>
          <w:rFonts w:cs="Times New Roman"/>
        </w:rPr>
        <w:t xml:space="preserve"> over time</w:t>
      </w:r>
      <w:r w:rsidRPr="005B1095">
        <w:rPr>
          <w:rFonts w:cs="Times New Roman"/>
        </w:rPr>
        <w:t>, of course</w:t>
      </w:r>
      <w:r w:rsidR="00195DFB">
        <w:rPr>
          <w:rFonts w:cs="Times New Roman"/>
        </w:rPr>
        <w:t>.</w:t>
      </w:r>
      <w:r w:rsidRPr="005B1095">
        <w:rPr>
          <w:rFonts w:cs="Times New Roman"/>
        </w:rPr>
        <w:t xml:space="preserve"> The threats we encounter will mutate, and so will our response.  Chief among them are “advances” in technology, which enhance the ability of people to bring us harm.  </w:t>
      </w:r>
      <w:r w:rsidR="00876140">
        <w:rPr>
          <w:rFonts w:cs="Times New Roman"/>
        </w:rPr>
        <w:t>T</w:t>
      </w:r>
      <w:r w:rsidRPr="005B1095">
        <w:rPr>
          <w:rFonts w:cs="Times New Roman"/>
        </w:rPr>
        <w:t>errorists can get here from far away</w:t>
      </w:r>
      <w:r w:rsidR="00876140">
        <w:rPr>
          <w:rFonts w:cs="Times New Roman"/>
        </w:rPr>
        <w:t xml:space="preserve">, </w:t>
      </w:r>
      <w:r w:rsidRPr="005B1095">
        <w:rPr>
          <w:rFonts w:cs="Times New Roman"/>
        </w:rPr>
        <w:t>as can communicable diseases.  But, it turns out, they don’t even have to make the trip:  cybercrime and cyberthreats may soon be the biggest problems we face, and for that the hackers can work from home.</w:t>
      </w:r>
      <w:r w:rsidRPr="005B1095">
        <w:rPr>
          <w:rStyle w:val="FootnoteReference"/>
          <w:rFonts w:cs="Times New Roman"/>
          <w:sz w:val="24"/>
        </w:rPr>
        <w:footnoteReference w:id="51"/>
      </w:r>
      <w:r w:rsidRPr="005B1095">
        <w:rPr>
          <w:rFonts w:cs="Times New Roman"/>
        </w:rPr>
        <w:t xml:space="preserve">  </w:t>
      </w:r>
      <w:r w:rsidR="00876140">
        <w:rPr>
          <w:rFonts w:cs="Times New Roman"/>
        </w:rPr>
        <w:t>T</w:t>
      </w:r>
      <w:r w:rsidRPr="005B1095">
        <w:rPr>
          <w:rFonts w:cs="Times New Roman"/>
        </w:rPr>
        <w:t>hreats to our safety often come in new forms.</w:t>
      </w:r>
    </w:p>
    <w:p w:rsidR="00133F8A" w:rsidRPr="005B1095" w:rsidRDefault="00133F8A" w:rsidP="00025ABC">
      <w:pPr>
        <w:spacing w:line="480" w:lineRule="auto"/>
        <w:ind w:firstLine="720"/>
        <w:rPr>
          <w:rFonts w:cs="Times New Roman"/>
        </w:rPr>
      </w:pPr>
      <w:r w:rsidRPr="005B1095">
        <w:rPr>
          <w:rFonts w:cs="Times New Roman"/>
        </w:rPr>
        <w:t xml:space="preserve">Whatever those threats, government’s </w:t>
      </w:r>
      <w:r w:rsidR="00C4298B">
        <w:rPr>
          <w:rFonts w:cs="Times New Roman"/>
        </w:rPr>
        <w:t>primary</w:t>
      </w:r>
      <w:r w:rsidRPr="005B1095">
        <w:rPr>
          <w:rFonts w:cs="Times New Roman"/>
        </w:rPr>
        <w:t xml:space="preserve"> job is public safety.  And, by common consensus, public safety means protection</w:t>
      </w:r>
      <w:r w:rsidR="00616E5B">
        <w:rPr>
          <w:rFonts w:cs="Times New Roman"/>
        </w:rPr>
        <w:t>-the protection of person and property from sudden or violent injury</w:t>
      </w:r>
      <w:r w:rsidRPr="005B1095">
        <w:rPr>
          <w:rFonts w:cs="Times New Roman"/>
        </w:rPr>
        <w:t>.  That is how we’ve seen it, for hundreds of years.</w:t>
      </w:r>
    </w:p>
    <w:p w:rsidR="00133F8A" w:rsidRPr="005B1095" w:rsidRDefault="00133F8A" w:rsidP="00616E5B">
      <w:pPr>
        <w:spacing w:line="480" w:lineRule="auto"/>
        <w:jc w:val="center"/>
        <w:rPr>
          <w:rFonts w:cs="Times New Roman"/>
        </w:rPr>
      </w:pPr>
      <w:r w:rsidRPr="005B1095">
        <w:rPr>
          <w:rFonts w:cs="Times New Roman"/>
          <w:smallCaps/>
        </w:rPr>
        <w:t>II.</w:t>
      </w:r>
      <w:r w:rsidRPr="005B1095">
        <w:rPr>
          <w:rFonts w:cs="Times New Roman"/>
          <w:smallCaps/>
        </w:rPr>
        <w:tab/>
        <w:t xml:space="preserve"> What is “safety?”</w:t>
      </w:r>
    </w:p>
    <w:p w:rsidR="00133F8A" w:rsidRPr="005B1095" w:rsidRDefault="00133F8A" w:rsidP="00133F8A">
      <w:pPr>
        <w:spacing w:line="480" w:lineRule="auto"/>
        <w:ind w:firstLine="720"/>
        <w:rPr>
          <w:rFonts w:cs="Times New Roman"/>
        </w:rPr>
      </w:pPr>
      <w:r w:rsidRPr="005B1095">
        <w:rPr>
          <w:rFonts w:cs="Times New Roman"/>
        </w:rPr>
        <w:t>Nonetheless, this single-minded fixation on the protection function ignore</w:t>
      </w:r>
      <w:r w:rsidR="003E28B5">
        <w:rPr>
          <w:rFonts w:cs="Times New Roman"/>
        </w:rPr>
        <w:t>s</w:t>
      </w:r>
      <w:r w:rsidRPr="005B1095">
        <w:rPr>
          <w:rFonts w:cs="Times New Roman"/>
        </w:rPr>
        <w:t xml:space="preserve"> many other aspects of what people consider equally important to being safe.  In a kindred piece to this one, exploring the concept of “security,” Jeremy Waldron </w:t>
      </w:r>
      <w:r w:rsidR="00644354">
        <w:rPr>
          <w:rFonts w:cs="Times New Roman"/>
        </w:rPr>
        <w:t xml:space="preserve">makes the </w:t>
      </w:r>
      <w:r w:rsidRPr="005B1095">
        <w:rPr>
          <w:rFonts w:cs="Times New Roman"/>
        </w:rPr>
        <w:t>point that “nobody wants to be blown up.”</w:t>
      </w:r>
      <w:r w:rsidRPr="005B1095">
        <w:rPr>
          <w:rStyle w:val="FootnoteReference"/>
          <w:rFonts w:cs="Times New Roman"/>
          <w:sz w:val="24"/>
        </w:rPr>
        <w:footnoteReference w:id="52"/>
      </w:r>
      <w:r w:rsidRPr="005B1095">
        <w:rPr>
          <w:rFonts w:cs="Times New Roman"/>
        </w:rPr>
        <w:t xml:space="preserve">  He’s surely correct, but they don’t particularly want to starve to death, either.  So, what does it mean to be safe, beyond the bounds of physical violence or threats to property?  The ultimate </w:t>
      </w:r>
      <w:r w:rsidR="00AD41D4">
        <w:rPr>
          <w:rFonts w:cs="Times New Roman"/>
        </w:rPr>
        <w:t>aim</w:t>
      </w:r>
      <w:r w:rsidRPr="005B1095">
        <w:rPr>
          <w:rFonts w:cs="Times New Roman"/>
        </w:rPr>
        <w:t xml:space="preserve"> of this </w:t>
      </w:r>
      <w:r w:rsidR="00644354">
        <w:rPr>
          <w:rFonts w:cs="Times New Roman"/>
        </w:rPr>
        <w:t>Article</w:t>
      </w:r>
      <w:r w:rsidRPr="005B1095">
        <w:rPr>
          <w:rFonts w:cs="Times New Roman"/>
        </w:rPr>
        <w:t xml:space="preserve"> is to talk about </w:t>
      </w:r>
      <w:r w:rsidRPr="005B1095">
        <w:rPr>
          <w:rFonts w:cs="Times New Roman"/>
          <w:i/>
        </w:rPr>
        <w:t>public</w:t>
      </w:r>
      <w:r w:rsidRPr="005B1095">
        <w:rPr>
          <w:rFonts w:cs="Times New Roman"/>
        </w:rPr>
        <w:t xml:space="preserve"> safety—</w:t>
      </w:r>
      <w:r w:rsidR="00644354">
        <w:rPr>
          <w:rFonts w:cs="Times New Roman"/>
        </w:rPr>
        <w:t xml:space="preserve">which is to say, </w:t>
      </w:r>
      <w:r w:rsidRPr="005B1095">
        <w:rPr>
          <w:rFonts w:cs="Times New Roman"/>
        </w:rPr>
        <w:t xml:space="preserve">the extent of the </w:t>
      </w:r>
      <w:r w:rsidRPr="00644354">
        <w:rPr>
          <w:rFonts w:cs="Times New Roman"/>
          <w:i/>
        </w:rPr>
        <w:t>government’s</w:t>
      </w:r>
      <w:r w:rsidRPr="005B1095">
        <w:rPr>
          <w:rFonts w:cs="Times New Roman"/>
        </w:rPr>
        <w:t xml:space="preserve"> </w:t>
      </w:r>
      <w:r w:rsidR="00644354">
        <w:rPr>
          <w:rFonts w:cs="Times New Roman"/>
        </w:rPr>
        <w:t>role</w:t>
      </w:r>
      <w:r w:rsidRPr="005B1095">
        <w:rPr>
          <w:rFonts w:cs="Times New Roman"/>
        </w:rPr>
        <w:t xml:space="preserve"> in assuring we are safe.  </w:t>
      </w:r>
      <w:r w:rsidR="00644354">
        <w:rPr>
          <w:rFonts w:cs="Times New Roman"/>
        </w:rPr>
        <w:t>There undoubtedly are some aspects of safety that are not at all the government’s responsibility. If a parent fails to supervise a child who runs into a street and is hit by a car, that’s on the parent, or the driver, not the government.</w:t>
      </w:r>
      <w:r w:rsidR="003E28B5">
        <w:rPr>
          <w:rStyle w:val="FootnoteReference"/>
          <w:rFonts w:cs="Times New Roman"/>
        </w:rPr>
        <w:footnoteReference w:id="53"/>
      </w:r>
      <w:r w:rsidR="003E28B5">
        <w:rPr>
          <w:rFonts w:cs="Times New Roman"/>
        </w:rPr>
        <w:t xml:space="preserve"> </w:t>
      </w:r>
      <w:r w:rsidR="00327FF9">
        <w:rPr>
          <w:rFonts w:cs="Times New Roman"/>
        </w:rPr>
        <w:t>Yet</w:t>
      </w:r>
      <w:r w:rsidR="00644354">
        <w:rPr>
          <w:rFonts w:cs="Times New Roman"/>
        </w:rPr>
        <w:t>, it’s</w:t>
      </w:r>
      <w:r w:rsidRPr="005B1095">
        <w:rPr>
          <w:rFonts w:cs="Times New Roman"/>
        </w:rPr>
        <w:t xml:space="preserve"> impossible to </w:t>
      </w:r>
      <w:r w:rsidR="00644354">
        <w:rPr>
          <w:rFonts w:cs="Times New Roman"/>
        </w:rPr>
        <w:t xml:space="preserve">define the </w:t>
      </w:r>
      <w:r w:rsidR="003E28B5">
        <w:rPr>
          <w:rFonts w:cs="Times New Roman"/>
        </w:rPr>
        <w:t>scope</w:t>
      </w:r>
      <w:r w:rsidR="00644354">
        <w:rPr>
          <w:rFonts w:cs="Times New Roman"/>
        </w:rPr>
        <w:t xml:space="preserve"> of</w:t>
      </w:r>
      <w:r w:rsidRPr="005B1095">
        <w:rPr>
          <w:rFonts w:cs="Times New Roman"/>
        </w:rPr>
        <w:t xml:space="preserve"> government’s obligation around safety</w:t>
      </w:r>
      <w:r w:rsidR="00644354">
        <w:rPr>
          <w:rFonts w:cs="Times New Roman"/>
        </w:rPr>
        <w:t xml:space="preserve"> </w:t>
      </w:r>
      <w:r w:rsidRPr="005B1095">
        <w:rPr>
          <w:rFonts w:cs="Times New Roman"/>
        </w:rPr>
        <w:t xml:space="preserve">without </w:t>
      </w:r>
      <w:r w:rsidR="00644354">
        <w:rPr>
          <w:rFonts w:cs="Times New Roman"/>
        </w:rPr>
        <w:t xml:space="preserve">first </w:t>
      </w:r>
      <w:r w:rsidRPr="005B1095">
        <w:rPr>
          <w:rFonts w:cs="Times New Roman"/>
        </w:rPr>
        <w:t xml:space="preserve">knowing </w:t>
      </w:r>
      <w:r w:rsidR="003E28B5">
        <w:rPr>
          <w:rFonts w:cs="Times New Roman"/>
        </w:rPr>
        <w:t>the domain of what</w:t>
      </w:r>
      <w:r w:rsidRPr="005B1095">
        <w:rPr>
          <w:rFonts w:cs="Times New Roman"/>
        </w:rPr>
        <w:t xml:space="preserve"> safety itself </w:t>
      </w:r>
      <w:r w:rsidR="00644354">
        <w:rPr>
          <w:rFonts w:cs="Times New Roman"/>
        </w:rPr>
        <w:t xml:space="preserve">might </w:t>
      </w:r>
      <w:r w:rsidR="007C0F11">
        <w:rPr>
          <w:rFonts w:cs="Times New Roman"/>
        </w:rPr>
        <w:t>include</w:t>
      </w:r>
      <w:r w:rsidRPr="005B1095">
        <w:rPr>
          <w:rFonts w:cs="Times New Roman"/>
        </w:rPr>
        <w:t xml:space="preserve">. That is the question this Part takes up. </w:t>
      </w:r>
    </w:p>
    <w:p w:rsidR="00133F8A" w:rsidRPr="005B1095" w:rsidRDefault="00133F8A" w:rsidP="00133F8A">
      <w:pPr>
        <w:spacing w:line="480" w:lineRule="auto"/>
        <w:rPr>
          <w:rFonts w:cs="Times New Roman"/>
          <w:i/>
        </w:rPr>
      </w:pPr>
      <w:r w:rsidRPr="005B1095">
        <w:rPr>
          <w:rFonts w:cs="Times New Roman"/>
          <w:i/>
        </w:rPr>
        <w:t>A.</w:t>
      </w:r>
      <w:r w:rsidRPr="005B1095">
        <w:rPr>
          <w:rFonts w:cs="Times New Roman"/>
          <w:i/>
        </w:rPr>
        <w:tab/>
        <w:t>Safety v. Security</w:t>
      </w:r>
    </w:p>
    <w:p w:rsidR="00133F8A" w:rsidRDefault="00133F8A" w:rsidP="00133F8A">
      <w:pPr>
        <w:spacing w:line="480" w:lineRule="auto"/>
        <w:ind w:firstLine="720"/>
        <w:rPr>
          <w:rFonts w:cs="Times New Roman"/>
        </w:rPr>
      </w:pPr>
      <w:r w:rsidRPr="005B1095">
        <w:rPr>
          <w:rFonts w:cs="Times New Roman"/>
        </w:rPr>
        <w:t xml:space="preserve">Writing in the aftermath of the terrorist attacks of September 11, 2001, </w:t>
      </w:r>
      <w:r w:rsidR="003E28B5">
        <w:rPr>
          <w:rFonts w:cs="Times New Roman"/>
        </w:rPr>
        <w:t xml:space="preserve">at a time of great debate about the security-liberty tradeoff, </w:t>
      </w:r>
      <w:r w:rsidR="007C0F11">
        <w:rPr>
          <w:rFonts w:cs="Times New Roman"/>
        </w:rPr>
        <w:t xml:space="preserve">Jeremy Waldron pointed out the impossibility of balancing the two without a clear understanding of what </w:t>
      </w:r>
      <w:r w:rsidR="00913CE7">
        <w:rPr>
          <w:rFonts w:cs="Times New Roman"/>
        </w:rPr>
        <w:t>is</w:t>
      </w:r>
      <w:r w:rsidR="007C0F11">
        <w:rPr>
          <w:rFonts w:cs="Times New Roman"/>
        </w:rPr>
        <w:t xml:space="preserve"> at stake on each side of the scale, and in particular what “security” encompasse</w:t>
      </w:r>
      <w:r w:rsidR="00913CE7">
        <w:rPr>
          <w:rFonts w:cs="Times New Roman"/>
        </w:rPr>
        <w:t>s</w:t>
      </w:r>
      <w:r w:rsidR="007C0F11">
        <w:rPr>
          <w:rFonts w:cs="Times New Roman"/>
        </w:rPr>
        <w:t>.</w:t>
      </w:r>
      <w:r w:rsidRPr="005B1095">
        <w:rPr>
          <w:rStyle w:val="FootnoteReference"/>
          <w:rFonts w:cs="Times New Roman"/>
          <w:sz w:val="24"/>
        </w:rPr>
        <w:footnoteReference w:id="54"/>
      </w:r>
      <w:r w:rsidRPr="005B1095">
        <w:rPr>
          <w:rFonts w:cs="Times New Roman"/>
        </w:rPr>
        <w:t xml:space="preserve">  He was surprised, when he went looking, about how few people had written, particularly in philosophy, about what the content of “security” was</w:t>
      </w:r>
      <w:r w:rsidR="007C0F11" w:rsidRPr="007C0F11">
        <w:rPr>
          <w:rFonts w:cs="Times New Roman"/>
        </w:rPr>
        <w:t xml:space="preserve"> </w:t>
      </w:r>
      <w:r w:rsidR="007C0F11" w:rsidRPr="005B1095">
        <w:rPr>
          <w:rFonts w:cs="Times New Roman"/>
        </w:rPr>
        <w:t>precisely</w:t>
      </w:r>
      <w:r w:rsidRPr="005B1095">
        <w:rPr>
          <w:rFonts w:cs="Times New Roman"/>
        </w:rPr>
        <w:t xml:space="preserve">.  </w:t>
      </w:r>
      <w:r w:rsidR="00B74101">
        <w:rPr>
          <w:rFonts w:cs="Times New Roman"/>
        </w:rPr>
        <w:t>And so j</w:t>
      </w:r>
      <w:r w:rsidR="007C0F11">
        <w:rPr>
          <w:rFonts w:cs="Times New Roman"/>
        </w:rPr>
        <w:t xml:space="preserve">ust as I </w:t>
      </w:r>
      <w:r w:rsidR="00B74101">
        <w:rPr>
          <w:rFonts w:cs="Times New Roman"/>
        </w:rPr>
        <w:t xml:space="preserve">here </w:t>
      </w:r>
      <w:r w:rsidR="007C0F11">
        <w:rPr>
          <w:rFonts w:cs="Times New Roman"/>
        </w:rPr>
        <w:t xml:space="preserve">explore what “safety” means, </w:t>
      </w:r>
      <w:r w:rsidRPr="005B1095">
        <w:rPr>
          <w:rFonts w:cs="Times New Roman"/>
        </w:rPr>
        <w:t xml:space="preserve">Waldron </w:t>
      </w:r>
      <w:r w:rsidR="007C0F11">
        <w:rPr>
          <w:rFonts w:cs="Times New Roman"/>
        </w:rPr>
        <w:t>took up</w:t>
      </w:r>
      <w:r w:rsidRPr="005B1095">
        <w:rPr>
          <w:rFonts w:cs="Times New Roman"/>
        </w:rPr>
        <w:t xml:space="preserve"> the question, “what do we mean by </w:t>
      </w:r>
      <w:r w:rsidRPr="005B1095">
        <w:rPr>
          <w:rFonts w:cs="Times New Roman"/>
          <w:i/>
        </w:rPr>
        <w:t>security</w:t>
      </w:r>
      <w:r w:rsidRPr="005B1095">
        <w:rPr>
          <w:rFonts w:cs="Times New Roman"/>
        </w:rPr>
        <w:t>?”</w:t>
      </w:r>
      <w:r w:rsidRPr="005B1095">
        <w:rPr>
          <w:rStyle w:val="FootnoteReference"/>
          <w:rFonts w:cs="Times New Roman"/>
          <w:sz w:val="24"/>
        </w:rPr>
        <w:footnoteReference w:id="55"/>
      </w:r>
      <w:r w:rsidRPr="005B1095">
        <w:rPr>
          <w:rFonts w:cs="Times New Roman"/>
        </w:rPr>
        <w:t xml:space="preserve">  </w:t>
      </w:r>
    </w:p>
    <w:p w:rsidR="00133F8A" w:rsidRDefault="00133F8A" w:rsidP="00133F8A">
      <w:pPr>
        <w:spacing w:line="480" w:lineRule="auto"/>
        <w:rPr>
          <w:rFonts w:cs="Times New Roman"/>
        </w:rPr>
      </w:pPr>
      <w:r w:rsidRPr="005B1095">
        <w:rPr>
          <w:rFonts w:cs="Times New Roman"/>
        </w:rPr>
        <w:tab/>
      </w:r>
      <w:r w:rsidR="00B74101">
        <w:rPr>
          <w:rFonts w:cs="Times New Roman"/>
        </w:rPr>
        <w:t>But</w:t>
      </w:r>
      <w:r w:rsidR="00426360">
        <w:rPr>
          <w:rFonts w:cs="Times New Roman"/>
        </w:rPr>
        <w:t xml:space="preserve"> </w:t>
      </w:r>
      <w:r w:rsidR="00913CE7">
        <w:rPr>
          <w:rFonts w:cs="Times New Roman"/>
        </w:rPr>
        <w:t>what is</w:t>
      </w:r>
      <w:r w:rsidR="007C0F11">
        <w:rPr>
          <w:rFonts w:cs="Times New Roman"/>
        </w:rPr>
        <w:t xml:space="preserve"> </w:t>
      </w:r>
      <w:r w:rsidRPr="005B1095">
        <w:rPr>
          <w:rFonts w:cs="Times New Roman"/>
        </w:rPr>
        <w:t>the relationship between safety and security</w:t>
      </w:r>
      <w:r w:rsidR="00913CE7">
        <w:rPr>
          <w:rFonts w:cs="Times New Roman"/>
        </w:rPr>
        <w:t xml:space="preserve">? </w:t>
      </w:r>
      <w:r w:rsidR="00426360">
        <w:rPr>
          <w:rFonts w:cs="Times New Roman"/>
        </w:rPr>
        <w:t>The two</w:t>
      </w:r>
      <w:r w:rsidR="007C0F11">
        <w:rPr>
          <w:rFonts w:cs="Times New Roman"/>
        </w:rPr>
        <w:t xml:space="preserve"> words often are used interchangeably. </w:t>
      </w:r>
      <w:r w:rsidR="00913CE7">
        <w:rPr>
          <w:rFonts w:cs="Times New Roman"/>
        </w:rPr>
        <w:t>Ar</w:t>
      </w:r>
      <w:r w:rsidR="007C0F11">
        <w:rPr>
          <w:rFonts w:cs="Times New Roman"/>
        </w:rPr>
        <w:t xml:space="preserve">e they </w:t>
      </w:r>
      <w:r w:rsidRPr="005B1095">
        <w:rPr>
          <w:rFonts w:cs="Times New Roman"/>
        </w:rPr>
        <w:t>the same thing?</w:t>
      </w:r>
    </w:p>
    <w:p w:rsidR="00913CE7" w:rsidRDefault="007C0F11" w:rsidP="007C0F11">
      <w:pPr>
        <w:spacing w:line="480" w:lineRule="auto"/>
        <w:rPr>
          <w:rFonts w:cs="Times New Roman"/>
        </w:rPr>
      </w:pPr>
      <w:r>
        <w:rPr>
          <w:rFonts w:cs="Times New Roman"/>
        </w:rPr>
        <w:tab/>
        <w:t xml:space="preserve">What Waldron’s discussion suggests, and I agree, </w:t>
      </w:r>
      <w:r w:rsidR="00133F8A" w:rsidRPr="005B1095">
        <w:rPr>
          <w:rFonts w:cs="Times New Roman"/>
        </w:rPr>
        <w:t>is that security is in effect a “cocoon” around safety.  Safety defines the substance of what we hope to achieve.  Security tells us in terms of temporality and probability how safe we really are with regard to the substantive core we care about.</w:t>
      </w:r>
      <w:r w:rsidR="00133F8A" w:rsidRPr="005B1095">
        <w:rPr>
          <w:rStyle w:val="FootnoteReference"/>
          <w:rFonts w:cs="Times New Roman"/>
          <w:sz w:val="24"/>
        </w:rPr>
        <w:footnoteReference w:id="56"/>
      </w:r>
      <w:r w:rsidR="00133F8A" w:rsidRPr="005B1095">
        <w:rPr>
          <w:rFonts w:cs="Times New Roman"/>
        </w:rPr>
        <w:t xml:space="preserve">  </w:t>
      </w:r>
      <w:r>
        <w:rPr>
          <w:rFonts w:cs="Times New Roman"/>
        </w:rPr>
        <w:t>As befits a discussion of preventing terrorism post 9/11, Waldron’s focus was on “pure safety,” i.e., avoiding physical harm—</w:t>
      </w:r>
      <w:r w:rsidR="00913CE7">
        <w:rPr>
          <w:rFonts w:cs="Times New Roman"/>
        </w:rPr>
        <w:t xml:space="preserve">what </w:t>
      </w:r>
      <w:r w:rsidR="00426360">
        <w:rPr>
          <w:rFonts w:cs="Times New Roman"/>
        </w:rPr>
        <w:t xml:space="preserve">I’m calling </w:t>
      </w:r>
      <w:r>
        <w:rPr>
          <w:rFonts w:cs="Times New Roman"/>
        </w:rPr>
        <w:t>the “protection” function</w:t>
      </w:r>
      <w:r w:rsidR="00913CE7">
        <w:rPr>
          <w:rFonts w:cs="Times New Roman"/>
        </w:rPr>
        <w:t xml:space="preserve"> </w:t>
      </w:r>
      <w:r w:rsidR="00426360">
        <w:rPr>
          <w:rFonts w:cs="Times New Roman"/>
        </w:rPr>
        <w:t>here</w:t>
      </w:r>
      <w:r>
        <w:rPr>
          <w:rFonts w:cs="Times New Roman"/>
        </w:rPr>
        <w:t>.</w:t>
      </w:r>
      <w:r w:rsidR="00B700E3" w:rsidRPr="005B1095">
        <w:rPr>
          <w:rStyle w:val="FootnoteReference"/>
          <w:rFonts w:cs="Times New Roman"/>
          <w:sz w:val="24"/>
        </w:rPr>
        <w:footnoteReference w:id="57"/>
      </w:r>
      <w:r>
        <w:rPr>
          <w:rFonts w:cs="Times New Roman"/>
        </w:rPr>
        <w:t xml:space="preserve"> </w:t>
      </w:r>
      <w:r w:rsidR="00913CE7">
        <w:rPr>
          <w:rFonts w:cs="Times New Roman"/>
        </w:rPr>
        <w:t xml:space="preserve">But in exploring the meaning of </w:t>
      </w:r>
      <w:r w:rsidR="00426360">
        <w:rPr>
          <w:rFonts w:cs="Times New Roman"/>
        </w:rPr>
        <w:t>“pure safety”</w:t>
      </w:r>
      <w:r w:rsidR="00913CE7">
        <w:rPr>
          <w:rFonts w:cs="Times New Roman"/>
        </w:rPr>
        <w:t xml:space="preserve"> </w:t>
      </w:r>
      <w:r>
        <w:rPr>
          <w:rFonts w:cs="Times New Roman"/>
        </w:rPr>
        <w:t>he quickly move</w:t>
      </w:r>
      <w:r w:rsidR="00533E35">
        <w:rPr>
          <w:rFonts w:cs="Times New Roman"/>
        </w:rPr>
        <w:t>s</w:t>
      </w:r>
      <w:r>
        <w:rPr>
          <w:rFonts w:cs="Times New Roman"/>
        </w:rPr>
        <w:t xml:space="preserve"> off </w:t>
      </w:r>
      <w:r w:rsidR="00913CE7">
        <w:rPr>
          <w:rFonts w:cs="Times New Roman"/>
        </w:rPr>
        <w:t>of actual harm,</w:t>
      </w:r>
      <w:r>
        <w:rPr>
          <w:rFonts w:cs="Times New Roman"/>
        </w:rPr>
        <w:t xml:space="preserve"> to </w:t>
      </w:r>
      <w:r w:rsidRPr="005B1095">
        <w:rPr>
          <w:rFonts w:cs="Times New Roman"/>
        </w:rPr>
        <w:t xml:space="preserve">the umbra around </w:t>
      </w:r>
      <w:r w:rsidR="00913CE7">
        <w:rPr>
          <w:rFonts w:cs="Times New Roman"/>
        </w:rPr>
        <w:t>it</w:t>
      </w:r>
      <w:r w:rsidRPr="005B1095">
        <w:rPr>
          <w:rFonts w:cs="Times New Roman"/>
        </w:rPr>
        <w:t>.  He talk</w:t>
      </w:r>
      <w:r w:rsidR="00533E35">
        <w:rPr>
          <w:rFonts w:cs="Times New Roman"/>
        </w:rPr>
        <w:t>s</w:t>
      </w:r>
      <w:r w:rsidRPr="005B1095">
        <w:rPr>
          <w:rFonts w:cs="Times New Roman"/>
        </w:rPr>
        <w:t xml:space="preserve"> about being free of the “fear” of violent harm occurring, of wanting some sort of “assurance or guarantee” that it will not.</w:t>
      </w:r>
      <w:r w:rsidRPr="005B1095">
        <w:rPr>
          <w:rStyle w:val="FootnoteReference"/>
          <w:rFonts w:cs="Times New Roman"/>
          <w:sz w:val="24"/>
        </w:rPr>
        <w:footnoteReference w:id="58"/>
      </w:r>
      <w:r w:rsidRPr="005B1095">
        <w:rPr>
          <w:rFonts w:cs="Times New Roman"/>
        </w:rPr>
        <w:t xml:space="preserve"> </w:t>
      </w:r>
      <w:r>
        <w:rPr>
          <w:rFonts w:cs="Times New Roman"/>
        </w:rPr>
        <w:t>In other words, one</w:t>
      </w:r>
      <w:r w:rsidR="00133F8A" w:rsidRPr="005B1095">
        <w:rPr>
          <w:rFonts w:cs="Times New Roman"/>
        </w:rPr>
        <w:t xml:space="preserve"> could be safe at this moment, but not secure if there is concern whether it will last.  And if one feels insecure about the future, then perhaps one is indeed not safe </w:t>
      </w:r>
      <w:r w:rsidR="00905B00">
        <w:rPr>
          <w:rFonts w:cs="Times New Roman"/>
        </w:rPr>
        <w:t xml:space="preserve">(or feels unsafe) </w:t>
      </w:r>
      <w:r w:rsidR="00133F8A" w:rsidRPr="005B1095">
        <w:rPr>
          <w:rFonts w:cs="Times New Roman"/>
        </w:rPr>
        <w:t xml:space="preserve">at present.  </w:t>
      </w:r>
    </w:p>
    <w:p w:rsidR="00133F8A" w:rsidRPr="005B1095" w:rsidRDefault="00913CE7" w:rsidP="00913CE7">
      <w:pPr>
        <w:spacing w:line="480" w:lineRule="auto"/>
        <w:ind w:firstLine="720"/>
        <w:rPr>
          <w:rFonts w:cs="Times New Roman"/>
        </w:rPr>
      </w:pPr>
      <w:r>
        <w:rPr>
          <w:rFonts w:cs="Times New Roman"/>
        </w:rPr>
        <w:t>Understood thus, s</w:t>
      </w:r>
      <w:r w:rsidR="00133F8A" w:rsidRPr="005B1095">
        <w:rPr>
          <w:rFonts w:cs="Times New Roman"/>
        </w:rPr>
        <w:t xml:space="preserve">afety is the nut, and security its shell.  As in the nuts-and-shells of real life, the two often go together.  For that reason, </w:t>
      </w:r>
      <w:r w:rsidR="00426360">
        <w:rPr>
          <w:rFonts w:cs="Times New Roman"/>
        </w:rPr>
        <w:t>al</w:t>
      </w:r>
      <w:r w:rsidR="00133F8A" w:rsidRPr="005B1095">
        <w:rPr>
          <w:rFonts w:cs="Times New Roman"/>
        </w:rPr>
        <w:t xml:space="preserve">though I </w:t>
      </w:r>
      <w:r w:rsidR="00426360">
        <w:rPr>
          <w:rFonts w:cs="Times New Roman"/>
        </w:rPr>
        <w:t>will speak</w:t>
      </w:r>
      <w:r w:rsidR="00133F8A" w:rsidRPr="005B1095">
        <w:rPr>
          <w:rFonts w:cs="Times New Roman"/>
        </w:rPr>
        <w:t xml:space="preserve"> primarily about safety, and what constitutes safety, I will at times refer to security as well, capturing both the nut, and the shell that protects it.</w:t>
      </w:r>
    </w:p>
    <w:p w:rsidR="00133F8A" w:rsidRPr="005B1095" w:rsidRDefault="00133F8A" w:rsidP="00133F8A">
      <w:pPr>
        <w:spacing w:line="480" w:lineRule="auto"/>
        <w:rPr>
          <w:rFonts w:cs="Times New Roman"/>
          <w:i/>
        </w:rPr>
      </w:pPr>
      <w:r w:rsidRPr="005B1095">
        <w:rPr>
          <w:rFonts w:cs="Times New Roman"/>
          <w:i/>
        </w:rPr>
        <w:t>B.</w:t>
      </w:r>
      <w:r w:rsidRPr="005B1095">
        <w:rPr>
          <w:rFonts w:cs="Times New Roman"/>
          <w:i/>
        </w:rPr>
        <w:tab/>
        <w:t>The Elements of Safety and Security</w:t>
      </w:r>
    </w:p>
    <w:p w:rsidR="00133F8A" w:rsidRPr="005B1095" w:rsidRDefault="00133F8A" w:rsidP="00133F8A">
      <w:pPr>
        <w:spacing w:line="480" w:lineRule="auto"/>
        <w:ind w:firstLine="720"/>
        <w:rPr>
          <w:rFonts w:cs="Times New Roman"/>
        </w:rPr>
      </w:pPr>
      <w:r w:rsidRPr="005B1095">
        <w:rPr>
          <w:rFonts w:cs="Times New Roman"/>
        </w:rPr>
        <w:t xml:space="preserve">We’ve seen that historically the core of safety is understood as </w:t>
      </w:r>
      <w:r w:rsidR="00184909">
        <w:rPr>
          <w:rFonts w:cs="Times New Roman"/>
        </w:rPr>
        <w:t>avoiding</w:t>
      </w:r>
      <w:r w:rsidRPr="005B1095">
        <w:rPr>
          <w:rFonts w:cs="Times New Roman"/>
        </w:rPr>
        <w:t xml:space="preserve"> injury to person or property on account of the actions of others.  It’s not just threats to person and property from third parties of course; natural disasters jeopardize our safety too.</w:t>
      </w:r>
      <w:r w:rsidRPr="005B1095">
        <w:rPr>
          <w:rStyle w:val="FootnoteReference"/>
          <w:rFonts w:cs="Times New Roman"/>
          <w:sz w:val="24"/>
        </w:rPr>
        <w:footnoteReference w:id="59"/>
      </w:r>
      <w:r w:rsidRPr="005B1095">
        <w:rPr>
          <w:rFonts w:cs="Times New Roman"/>
        </w:rPr>
        <w:t xml:space="preserve"> One’s house can be destroyed as easily by lightening as by arson.  Floods and </w:t>
      </w:r>
      <w:r w:rsidR="00B74101">
        <w:rPr>
          <w:rFonts w:cs="Times New Roman"/>
        </w:rPr>
        <w:t>wildfires</w:t>
      </w:r>
      <w:r w:rsidRPr="005B1095">
        <w:rPr>
          <w:rFonts w:cs="Times New Roman"/>
        </w:rPr>
        <w:t xml:space="preserve"> and earthquakes and wind; all of nature is at times our enemy, and safety requires holding it back, finding refuge, or fortifying against it.  </w:t>
      </w:r>
    </w:p>
    <w:p w:rsidR="00133F8A" w:rsidRPr="00D43B60" w:rsidRDefault="00133F8A" w:rsidP="00426360">
      <w:pPr>
        <w:spacing w:line="480" w:lineRule="auto"/>
        <w:ind w:firstLine="720"/>
        <w:rPr>
          <w:rFonts w:cs="Times New Roman"/>
        </w:rPr>
      </w:pPr>
      <w:r w:rsidRPr="005B1095">
        <w:rPr>
          <w:rFonts w:cs="Times New Roman"/>
        </w:rPr>
        <w:t xml:space="preserve">But what else is on the list?  </w:t>
      </w:r>
      <w:r w:rsidR="00B74101">
        <w:rPr>
          <w:rFonts w:cs="Times New Roman"/>
        </w:rPr>
        <w:t>What follows is a thought experiment, and r</w:t>
      </w:r>
      <w:r w:rsidR="00184909">
        <w:rPr>
          <w:rFonts w:cs="Times New Roman"/>
        </w:rPr>
        <w:t xml:space="preserve">eaders can draw the line anywhere they </w:t>
      </w:r>
      <w:r w:rsidR="00426360">
        <w:rPr>
          <w:rFonts w:cs="Times New Roman"/>
        </w:rPr>
        <w:t>choose</w:t>
      </w:r>
      <w:r w:rsidR="00184909">
        <w:rPr>
          <w:rFonts w:cs="Times New Roman"/>
        </w:rPr>
        <w:t xml:space="preserve">. </w:t>
      </w:r>
      <w:r w:rsidR="00D43B60">
        <w:rPr>
          <w:rFonts w:cs="Times New Roman"/>
        </w:rPr>
        <w:t xml:space="preserve"> Wherever that line is drawn, however, it is</w:t>
      </w:r>
      <w:r w:rsidR="00426360">
        <w:rPr>
          <w:rFonts w:cs="Times New Roman"/>
        </w:rPr>
        <w:t xml:space="preserve"> </w:t>
      </w:r>
      <w:r w:rsidR="00B74101">
        <w:rPr>
          <w:rFonts w:cs="Times New Roman"/>
        </w:rPr>
        <w:t>difficult</w:t>
      </w:r>
      <w:r w:rsidR="00426360">
        <w:rPr>
          <w:rFonts w:cs="Times New Roman"/>
        </w:rPr>
        <w:t xml:space="preserve"> to believe </w:t>
      </w:r>
      <w:r w:rsidR="00184909">
        <w:rPr>
          <w:rFonts w:cs="Times New Roman"/>
        </w:rPr>
        <w:t xml:space="preserve">that </w:t>
      </w:r>
      <w:r w:rsidRPr="005B1095">
        <w:rPr>
          <w:rFonts w:cs="Times New Roman"/>
        </w:rPr>
        <w:t xml:space="preserve">protection is the be all and end all of </w:t>
      </w:r>
      <w:r w:rsidR="00426360">
        <w:rPr>
          <w:rFonts w:cs="Times New Roman"/>
        </w:rPr>
        <w:t xml:space="preserve">assuring human </w:t>
      </w:r>
      <w:r w:rsidRPr="005B1095">
        <w:rPr>
          <w:rFonts w:cs="Times New Roman"/>
        </w:rPr>
        <w:t>safety.</w:t>
      </w:r>
      <w:r w:rsidR="00D43B60">
        <w:rPr>
          <w:rFonts w:cs="Times New Roman"/>
        </w:rPr>
        <w:t xml:space="preserve"> </w:t>
      </w:r>
      <w:r w:rsidR="00D43B60" w:rsidRPr="00D43B60">
        <w:rPr>
          <w:rFonts w:cs="Times New Roman"/>
        </w:rPr>
        <w:t xml:space="preserve">As </w:t>
      </w:r>
      <w:r w:rsidR="00D43B60" w:rsidRPr="00D43B60">
        <w:t xml:space="preserve">Minneapolis Council Member Alondra Cano </w:t>
      </w:r>
      <w:r w:rsidR="00D43B60">
        <w:t>put it, distinguishing</w:t>
      </w:r>
      <w:r w:rsidR="00D43B60" w:rsidRPr="00D43B60">
        <w:t xml:space="preserve"> between a policing system and community safety</w:t>
      </w:r>
      <w:r w:rsidR="00D43B60">
        <w:t>:</w:t>
      </w:r>
      <w:r w:rsidR="00D43B60" w:rsidRPr="00D43B60">
        <w:t xml:space="preserve"> “They are not one and the same. For many families </w:t>
      </w:r>
      <w:r w:rsidR="00D43B60">
        <w:t xml:space="preserve">. . . </w:t>
      </w:r>
      <w:r w:rsidR="00D43B60" w:rsidRPr="00D43B60">
        <w:t>being safe means having a stable and affordable home to live in. It means having access to good schools; working a respectable job with a dignified wage; getting the proper care and support when facing relationship problems and mental-health challenges; or obtaining help when struggling with chemical dependency.”</w:t>
      </w:r>
      <w:r w:rsidR="00D43B60" w:rsidRPr="00D43B60">
        <w:rPr>
          <w:rStyle w:val="FootnoteReference"/>
          <w:rFonts w:cs="Times New Roman"/>
          <w:sz w:val="24"/>
        </w:rPr>
        <w:t xml:space="preserve"> </w:t>
      </w:r>
      <w:r w:rsidR="00D43B60" w:rsidRPr="005B1095">
        <w:rPr>
          <w:rStyle w:val="FootnoteReference"/>
          <w:rFonts w:cs="Times New Roman"/>
          <w:sz w:val="24"/>
        </w:rPr>
        <w:footnoteReference w:id="60"/>
      </w:r>
    </w:p>
    <w:p w:rsidR="00133F8A" w:rsidRPr="005B1095" w:rsidRDefault="00133F8A" w:rsidP="00133F8A">
      <w:pPr>
        <w:spacing w:line="480" w:lineRule="auto"/>
        <w:rPr>
          <w:rFonts w:cs="Times New Roman"/>
        </w:rPr>
      </w:pPr>
      <w:r w:rsidRPr="005B1095">
        <w:rPr>
          <w:rFonts w:cs="Times New Roman"/>
        </w:rPr>
        <w:tab/>
        <w:t>1.</w:t>
      </w:r>
      <w:r w:rsidRPr="005B1095">
        <w:rPr>
          <w:rFonts w:cs="Times New Roman"/>
        </w:rPr>
        <w:tab/>
        <w:t>Basic subsistence</w:t>
      </w:r>
    </w:p>
    <w:p w:rsidR="00133F8A" w:rsidRPr="005B1095" w:rsidRDefault="00184909" w:rsidP="00133F8A">
      <w:pPr>
        <w:spacing w:line="480" w:lineRule="auto"/>
        <w:ind w:firstLine="720"/>
        <w:rPr>
          <w:rFonts w:cs="Times New Roman"/>
        </w:rPr>
      </w:pPr>
      <w:r>
        <w:rPr>
          <w:rFonts w:cs="Times New Roman"/>
        </w:rPr>
        <w:t>T</w:t>
      </w:r>
      <w:r w:rsidR="00133F8A" w:rsidRPr="005B1095">
        <w:rPr>
          <w:rFonts w:cs="Times New Roman"/>
        </w:rPr>
        <w:t>here are a set of human needs that transcend even physical safety from violence, and without which there is no sense in which we are safe.  The psychologist A.H. Maslow is noted for creating a hierarchical pyramid of human needs.</w:t>
      </w:r>
      <w:r w:rsidR="00133F8A" w:rsidRPr="005B1095">
        <w:rPr>
          <w:rStyle w:val="FootnoteReference"/>
          <w:rFonts w:cs="Times New Roman"/>
          <w:sz w:val="24"/>
        </w:rPr>
        <w:footnoteReference w:id="61"/>
      </w:r>
      <w:r w:rsidR="00133F8A" w:rsidRPr="005B1095">
        <w:rPr>
          <w:rFonts w:cs="Times New Roman"/>
        </w:rPr>
        <w:t xml:space="preserve">  As the needs at one level are satisfied, we seek out the next.  The sort of concern about violence to which the protection function is directed </w:t>
      </w:r>
      <w:r>
        <w:rPr>
          <w:rFonts w:cs="Times New Roman"/>
        </w:rPr>
        <w:t>obviously</w:t>
      </w:r>
      <w:r w:rsidR="00133F8A" w:rsidRPr="005B1095">
        <w:rPr>
          <w:rFonts w:cs="Times New Roman"/>
        </w:rPr>
        <w:t xml:space="preserve"> is on Maslow’s pyramid.  It is what he refers to simply as “safety.”</w:t>
      </w:r>
      <w:r w:rsidR="00133F8A" w:rsidRPr="005B1095">
        <w:rPr>
          <w:rStyle w:val="FootnoteReference"/>
          <w:rFonts w:cs="Times New Roman"/>
          <w:sz w:val="24"/>
        </w:rPr>
        <w:footnoteReference w:id="62"/>
      </w:r>
    </w:p>
    <w:p w:rsidR="00133F8A" w:rsidRPr="005B1095" w:rsidRDefault="00133F8A" w:rsidP="00184909">
      <w:pPr>
        <w:spacing w:line="480" w:lineRule="auto"/>
        <w:rPr>
          <w:rFonts w:cs="Times New Roman"/>
        </w:rPr>
      </w:pPr>
      <w:r w:rsidRPr="005B1095">
        <w:rPr>
          <w:rFonts w:cs="Times New Roman"/>
        </w:rPr>
        <w:tab/>
        <w:t>But safety is second on Maslow’s list, behind what he calls “’physiological’ needs,” or what we might think of as basic subsistence.</w:t>
      </w:r>
      <w:r w:rsidRPr="005B1095">
        <w:rPr>
          <w:rStyle w:val="FootnoteReference"/>
          <w:rFonts w:cs="Times New Roman"/>
          <w:sz w:val="24"/>
        </w:rPr>
        <w:footnoteReference w:id="63"/>
      </w:r>
      <w:r w:rsidRPr="005B1095">
        <w:rPr>
          <w:rFonts w:cs="Times New Roman"/>
        </w:rPr>
        <w:t xml:space="preserve"> “A person who is lacking food, safety, love, and esteem would most probably hunger for food more strongly than anything else.”</w:t>
      </w:r>
      <w:r w:rsidRPr="005B1095">
        <w:rPr>
          <w:rStyle w:val="FootnoteReference"/>
          <w:rFonts w:cs="Times New Roman"/>
          <w:sz w:val="24"/>
        </w:rPr>
        <w:footnoteReference w:id="64"/>
      </w:r>
      <w:r w:rsidRPr="005B1095">
        <w:rPr>
          <w:rFonts w:cs="Times New Roman"/>
        </w:rPr>
        <w:t xml:space="preserve"> That much seems obvious</w:t>
      </w:r>
      <w:r w:rsidR="00184909">
        <w:rPr>
          <w:rFonts w:cs="Times New Roman"/>
        </w:rPr>
        <w:t>: o</w:t>
      </w:r>
      <w:r w:rsidRPr="005B1095">
        <w:rPr>
          <w:rFonts w:cs="Times New Roman"/>
        </w:rPr>
        <w:t xml:space="preserve">ur bodies simply cannot survive without food.  </w:t>
      </w:r>
      <w:proofErr w:type="spellStart"/>
      <w:r w:rsidRPr="005B1095">
        <w:rPr>
          <w:rFonts w:cs="Times New Roman"/>
        </w:rPr>
        <w:t>Eritha</w:t>
      </w:r>
      <w:proofErr w:type="spellEnd"/>
      <w:r w:rsidRPr="005B1095">
        <w:rPr>
          <w:rFonts w:cs="Times New Roman"/>
        </w:rPr>
        <w:t xml:space="preserve"> ‘</w:t>
      </w:r>
      <w:proofErr w:type="spellStart"/>
      <w:r w:rsidRPr="005B1095">
        <w:rPr>
          <w:rFonts w:cs="Times New Roman"/>
        </w:rPr>
        <w:t>Akile</w:t>
      </w:r>
      <w:proofErr w:type="spellEnd"/>
      <w:r w:rsidRPr="005B1095">
        <w:rPr>
          <w:rFonts w:cs="Times New Roman"/>
        </w:rPr>
        <w:t xml:space="preserve">’ </w:t>
      </w:r>
      <w:proofErr w:type="spellStart"/>
      <w:r w:rsidRPr="005B1095">
        <w:rPr>
          <w:rFonts w:cs="Times New Roman"/>
        </w:rPr>
        <w:t>Cainion</w:t>
      </w:r>
      <w:proofErr w:type="spellEnd"/>
      <w:r w:rsidRPr="005B1095">
        <w:rPr>
          <w:rFonts w:cs="Times New Roman"/>
        </w:rPr>
        <w:t xml:space="preserve">, a candidate for City Council in St. Petersburg, Florida, took issue with the notion that “public safety” was or ought to be all about policing (particularly when it was </w:t>
      </w:r>
      <w:r w:rsidR="00184909">
        <w:rPr>
          <w:rFonts w:cs="Times New Roman"/>
        </w:rPr>
        <w:t>B</w:t>
      </w:r>
      <w:r w:rsidRPr="005B1095">
        <w:rPr>
          <w:rFonts w:cs="Times New Roman"/>
        </w:rPr>
        <w:t xml:space="preserve">lack communities being policed).  </w:t>
      </w:r>
      <w:r w:rsidR="00184909">
        <w:rPr>
          <w:rFonts w:cs="Times New Roman"/>
        </w:rPr>
        <w:t>“W</w:t>
      </w:r>
      <w:r w:rsidRPr="005B1095">
        <w:rPr>
          <w:rFonts w:cs="Times New Roman"/>
        </w:rPr>
        <w:t>hen there’s a situation of the south side, starving, homeless . . . there’s nothing about that environment that is safe.”</w:t>
      </w:r>
      <w:r w:rsidRPr="005B1095">
        <w:rPr>
          <w:rStyle w:val="FootnoteReference"/>
          <w:rFonts w:cs="Times New Roman"/>
          <w:sz w:val="24"/>
        </w:rPr>
        <w:footnoteReference w:id="65"/>
      </w:r>
      <w:r w:rsidRPr="005B1095">
        <w:rPr>
          <w:rFonts w:cs="Times New Roman"/>
        </w:rPr>
        <w:t xml:space="preserve"> </w:t>
      </w:r>
    </w:p>
    <w:p w:rsidR="00BC1BE5" w:rsidRDefault="00133F8A" w:rsidP="00133F8A">
      <w:pPr>
        <w:spacing w:line="480" w:lineRule="auto"/>
        <w:ind w:firstLine="720"/>
        <w:rPr>
          <w:rFonts w:eastAsia="Calibri" w:cs="Times New Roman"/>
          <w:color w:val="000000" w:themeColor="text1"/>
        </w:rPr>
      </w:pPr>
      <w:r w:rsidRPr="005B1095">
        <w:rPr>
          <w:rFonts w:cs="Times New Roman"/>
        </w:rPr>
        <w:t>If food is on the list, though, isn’t clean water as well?  In 2014, the Mayor of Flint, Michigan declared “[w]</w:t>
      </w:r>
      <w:proofErr w:type="spellStart"/>
      <w:r w:rsidRPr="005B1095">
        <w:rPr>
          <w:rFonts w:cs="Times New Roman"/>
        </w:rPr>
        <w:t>ater</w:t>
      </w:r>
      <w:proofErr w:type="spellEnd"/>
      <w:r w:rsidRPr="005B1095">
        <w:rPr>
          <w:rFonts w:cs="Times New Roman"/>
        </w:rPr>
        <w:t xml:space="preserve"> is an absolute vital service that most everyone takes for granted.”</w:t>
      </w:r>
      <w:r w:rsidRPr="005B1095">
        <w:rPr>
          <w:rStyle w:val="FootnoteReference"/>
          <w:rFonts w:cs="Times New Roman"/>
          <w:sz w:val="24"/>
        </w:rPr>
        <w:footnoteReference w:id="66"/>
      </w:r>
      <w:r w:rsidRPr="005B1095">
        <w:rPr>
          <w:rFonts w:cs="Times New Roman"/>
        </w:rPr>
        <w:t xml:space="preserve">  He did this while announcing that to save money, Flint was disconnecting from Detroit’s water supply and turning to the Flint River. Soon thereafter evidence emerged that Flint’s water was dangerous to drink.</w:t>
      </w:r>
      <w:r w:rsidRPr="005B1095">
        <w:rPr>
          <w:rStyle w:val="FootnoteReference"/>
          <w:rFonts w:cs="Times New Roman"/>
          <w:sz w:val="24"/>
        </w:rPr>
        <w:footnoteReference w:id="67"/>
      </w:r>
      <w:r w:rsidRPr="005B1095">
        <w:rPr>
          <w:rFonts w:cs="Times New Roman"/>
        </w:rPr>
        <w:t xml:space="preserve"> The approximately 96,000 residents of Flint were subjected to lead levels in their water supply more than ten times the national action level set by the Environmental Protection Agency.</w:t>
      </w:r>
      <w:r w:rsidRPr="005B1095">
        <w:rPr>
          <w:rStyle w:val="FootnoteReference"/>
          <w:rFonts w:cs="Times New Roman"/>
          <w:sz w:val="24"/>
        </w:rPr>
        <w:footnoteReference w:id="68"/>
      </w:r>
      <w:r w:rsidR="00D43B60">
        <w:rPr>
          <w:rFonts w:eastAsia="Calibri" w:cs="Times New Roman"/>
          <w:color w:val="FF0000"/>
        </w:rPr>
        <w:t xml:space="preserve"> </w:t>
      </w:r>
      <w:r w:rsidRPr="005B1095">
        <w:rPr>
          <w:rFonts w:eastAsia="Calibri" w:cs="Times New Roman"/>
          <w:color w:val="000000" w:themeColor="text1"/>
        </w:rPr>
        <w:t xml:space="preserve">There is </w:t>
      </w:r>
      <w:r w:rsidRPr="00426360">
        <w:rPr>
          <w:rFonts w:eastAsia="Calibri" w:cs="Times New Roman"/>
          <w:color w:val="000000" w:themeColor="text1"/>
        </w:rPr>
        <w:t>no</w:t>
      </w:r>
      <w:r w:rsidRPr="005B1095">
        <w:rPr>
          <w:rFonts w:eastAsia="Calibri" w:cs="Times New Roman"/>
          <w:color w:val="000000" w:themeColor="text1"/>
        </w:rPr>
        <w:t xml:space="preserve"> </w:t>
      </w:r>
      <w:r w:rsidRPr="00426360">
        <w:rPr>
          <w:rFonts w:eastAsia="Calibri" w:cs="Times New Roman"/>
          <w:i/>
          <w:color w:val="000000" w:themeColor="text1"/>
        </w:rPr>
        <w:t>safe</w:t>
      </w:r>
      <w:r w:rsidRPr="005B1095">
        <w:rPr>
          <w:rFonts w:eastAsia="Calibri" w:cs="Times New Roman"/>
          <w:color w:val="000000" w:themeColor="text1"/>
        </w:rPr>
        <w:t xml:space="preserve"> level of lead in drinking water.</w:t>
      </w:r>
      <w:r w:rsidRPr="005B1095">
        <w:rPr>
          <w:rStyle w:val="FootnoteReference"/>
          <w:rFonts w:eastAsia="Calibri" w:cs="Times New Roman"/>
          <w:color w:val="000000" w:themeColor="text1"/>
          <w:sz w:val="24"/>
        </w:rPr>
        <w:footnoteReference w:id="69"/>
      </w:r>
      <w:r w:rsidR="00D43B60">
        <w:rPr>
          <w:rFonts w:eastAsia="Calibri" w:cs="Times New Roman"/>
          <w:color w:val="000000" w:themeColor="text1"/>
        </w:rPr>
        <w:t xml:space="preserve"> </w:t>
      </w:r>
      <w:r w:rsidRPr="005B1095">
        <w:rPr>
          <w:rFonts w:eastAsia="Calibri" w:cs="Times New Roman"/>
          <w:color w:val="000000" w:themeColor="text1"/>
        </w:rPr>
        <w:t xml:space="preserve"> Lead poses particular risks to children and their long-term development.</w:t>
      </w:r>
      <w:r w:rsidRPr="005B1095">
        <w:rPr>
          <w:rStyle w:val="FootnoteReference"/>
          <w:rFonts w:eastAsia="Calibri" w:cs="Times New Roman"/>
          <w:color w:val="000000" w:themeColor="text1"/>
          <w:sz w:val="24"/>
        </w:rPr>
        <w:footnoteReference w:id="70"/>
      </w:r>
      <w:r w:rsidRPr="005B1095">
        <w:rPr>
          <w:rFonts w:eastAsia="Calibri" w:cs="Times New Roman"/>
          <w:color w:val="000000" w:themeColor="text1"/>
        </w:rPr>
        <w:t xml:space="preserve">  As a consequence, “the city’s lead crisis has migrated from its homes to its schools, where neurological and behavioral problems . . . threaten[] to overwhelm the education system.”</w:t>
      </w:r>
      <w:r w:rsidRPr="005B1095">
        <w:rPr>
          <w:rStyle w:val="FootnoteReference"/>
          <w:rFonts w:eastAsia="Calibri" w:cs="Times New Roman"/>
          <w:color w:val="000000" w:themeColor="text1"/>
          <w:sz w:val="24"/>
        </w:rPr>
        <w:footnoteReference w:id="71"/>
      </w:r>
      <w:r w:rsidRPr="005B1095">
        <w:rPr>
          <w:rFonts w:eastAsia="Calibri" w:cs="Times New Roman"/>
          <w:color w:val="000000" w:themeColor="text1"/>
        </w:rPr>
        <w:t xml:space="preserve"> </w:t>
      </w:r>
      <w:r w:rsidR="00184909">
        <w:rPr>
          <w:rFonts w:eastAsia="Calibri" w:cs="Times New Roman"/>
          <w:color w:val="000000" w:themeColor="text1"/>
        </w:rPr>
        <w:t xml:space="preserve"> </w:t>
      </w:r>
      <w:r w:rsidRPr="005B1095">
        <w:rPr>
          <w:rFonts w:eastAsia="Calibri" w:cs="Times New Roman"/>
          <w:color w:val="000000" w:themeColor="text1"/>
        </w:rPr>
        <w:t xml:space="preserve">People without clean water are destined to become ill, if they survive at all.  </w:t>
      </w:r>
    </w:p>
    <w:p w:rsidR="00133F8A" w:rsidRPr="005B1095" w:rsidRDefault="00133F8A" w:rsidP="00133F8A">
      <w:pPr>
        <w:spacing w:line="480" w:lineRule="auto"/>
        <w:ind w:firstLine="720"/>
        <w:rPr>
          <w:rFonts w:cs="Times New Roman"/>
          <w:color w:val="000000" w:themeColor="text1"/>
        </w:rPr>
      </w:pPr>
      <w:r w:rsidRPr="005B1095">
        <w:rPr>
          <w:rFonts w:cs="Times New Roman"/>
          <w:color w:val="000000" w:themeColor="text1"/>
        </w:rPr>
        <w:t>2.</w:t>
      </w:r>
      <w:r w:rsidRPr="005B1095">
        <w:rPr>
          <w:rFonts w:cs="Times New Roman"/>
          <w:color w:val="000000" w:themeColor="text1"/>
        </w:rPr>
        <w:tab/>
        <w:t>Housing</w:t>
      </w:r>
    </w:p>
    <w:p w:rsidR="00133F8A" w:rsidRPr="005B1095" w:rsidRDefault="00133F8A" w:rsidP="00133F8A">
      <w:pPr>
        <w:spacing w:line="480" w:lineRule="auto"/>
        <w:rPr>
          <w:rFonts w:cs="Times New Roman"/>
        </w:rPr>
      </w:pPr>
      <w:r w:rsidRPr="005B1095">
        <w:rPr>
          <w:rFonts w:cs="Times New Roman"/>
        </w:rPr>
        <w:tab/>
        <w:t>Housing, too, would seem pretty basic to any conception of safety.</w:t>
      </w:r>
      <w:r w:rsidRPr="005B1095">
        <w:rPr>
          <w:rStyle w:val="FootnoteReference"/>
          <w:rFonts w:cs="Times New Roman"/>
          <w:sz w:val="24"/>
        </w:rPr>
        <w:footnoteReference w:id="72"/>
      </w:r>
      <w:r w:rsidRPr="005B1095">
        <w:rPr>
          <w:rFonts w:cs="Times New Roman"/>
        </w:rPr>
        <w:t xml:space="preserve">  Admittedly, unlike food or water, one can live without housing.  Plenty of people do.  As we will see, in this country they number at least in the hundreds of thousands.</w:t>
      </w:r>
      <w:r w:rsidRPr="005B1095">
        <w:rPr>
          <w:rStyle w:val="FootnoteReference"/>
          <w:rFonts w:cs="Times New Roman"/>
          <w:sz w:val="24"/>
        </w:rPr>
        <w:footnoteReference w:id="73"/>
      </w:r>
    </w:p>
    <w:p w:rsidR="00025ABC" w:rsidRPr="005B1095" w:rsidRDefault="00133F8A" w:rsidP="00133F8A">
      <w:pPr>
        <w:spacing w:line="480" w:lineRule="auto"/>
        <w:ind w:firstLine="720"/>
        <w:rPr>
          <w:rFonts w:cs="Times New Roman"/>
        </w:rPr>
      </w:pPr>
      <w:r w:rsidRPr="005B1095">
        <w:rPr>
          <w:rFonts w:cs="Times New Roman"/>
        </w:rPr>
        <w:t xml:space="preserve">But without housing, people fall prey to the elements, and also to those that would do them ill, the very things the protection function is designed to protect against. </w:t>
      </w:r>
      <w:r w:rsidR="00BC1BE5">
        <w:rPr>
          <w:rFonts w:cs="Times New Roman"/>
        </w:rPr>
        <w:t>There’s a reason</w:t>
      </w:r>
      <w:r w:rsidRPr="005B1095">
        <w:rPr>
          <w:rFonts w:cs="Times New Roman"/>
        </w:rPr>
        <w:t xml:space="preserve"> </w:t>
      </w:r>
      <w:proofErr w:type="spellStart"/>
      <w:r w:rsidRPr="005B1095">
        <w:rPr>
          <w:rFonts w:cs="Times New Roman"/>
        </w:rPr>
        <w:t>Akile</w:t>
      </w:r>
      <w:proofErr w:type="spellEnd"/>
      <w:r w:rsidRPr="005B1095">
        <w:rPr>
          <w:rFonts w:cs="Times New Roman"/>
        </w:rPr>
        <w:t xml:space="preserve"> </w:t>
      </w:r>
      <w:proofErr w:type="spellStart"/>
      <w:r w:rsidRPr="005B1095">
        <w:rPr>
          <w:rFonts w:cs="Times New Roman"/>
        </w:rPr>
        <w:t>Cainion</w:t>
      </w:r>
      <w:proofErr w:type="spellEnd"/>
      <w:r w:rsidRPr="005B1095">
        <w:rPr>
          <w:rFonts w:cs="Times New Roman"/>
        </w:rPr>
        <w:t xml:space="preserve"> referred to a lack of food and of housing in the same breath. The noun “shelter” refers to “temporary protection from bad weather or danger;” as a verb it is to “protect or shield from something harmful.”</w:t>
      </w:r>
      <w:r w:rsidRPr="005B1095">
        <w:rPr>
          <w:rStyle w:val="FootnoteReference"/>
          <w:rFonts w:cs="Times New Roman"/>
          <w:sz w:val="24"/>
        </w:rPr>
        <w:footnoteReference w:id="74"/>
      </w:r>
      <w:r w:rsidRPr="005B1095">
        <w:rPr>
          <w:rFonts w:cs="Times New Roman"/>
        </w:rPr>
        <w:t xml:space="preserve"> People who live on the street are victimized more often, and become ill or die more frequently and quickly than others.</w:t>
      </w:r>
      <w:r w:rsidRPr="005B1095">
        <w:rPr>
          <w:rStyle w:val="FootnoteReference"/>
          <w:rFonts w:cs="Times New Roman"/>
          <w:sz w:val="24"/>
        </w:rPr>
        <w:footnoteReference w:id="75"/>
      </w:r>
      <w:r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3.</w:t>
      </w:r>
      <w:r w:rsidRPr="005B1095">
        <w:rPr>
          <w:rFonts w:cs="Times New Roman"/>
        </w:rPr>
        <w:tab/>
        <w:t>Health and Well-Being</w:t>
      </w:r>
    </w:p>
    <w:p w:rsidR="00133F8A" w:rsidRPr="005B1095" w:rsidRDefault="00133F8A" w:rsidP="00133F8A">
      <w:pPr>
        <w:spacing w:line="480" w:lineRule="auto"/>
        <w:ind w:firstLine="720"/>
        <w:rPr>
          <w:rFonts w:cs="Times New Roman"/>
        </w:rPr>
      </w:pPr>
      <w:r w:rsidRPr="005B1095">
        <w:rPr>
          <w:rFonts w:cs="Times New Roman"/>
        </w:rPr>
        <w:t xml:space="preserve">If food and water are basic to safety—and it is difficult to see how they are not—there are extensions of these that also jeopardize our well-being.  </w:t>
      </w:r>
    </w:p>
    <w:p w:rsidR="00133F8A" w:rsidRPr="005B1095" w:rsidRDefault="00133F8A" w:rsidP="00133F8A">
      <w:pPr>
        <w:spacing w:line="480" w:lineRule="auto"/>
        <w:ind w:firstLine="720"/>
        <w:rPr>
          <w:rFonts w:cs="Times New Roman"/>
        </w:rPr>
      </w:pPr>
      <w:r w:rsidRPr="005B1095">
        <w:rPr>
          <w:rFonts w:cs="Times New Roman"/>
        </w:rPr>
        <w:t xml:space="preserve">We’ve seen how the lack of food is a threat to safety, but so too is malnourishment, even if food is sufficiently plentiful.  </w:t>
      </w:r>
      <w:r w:rsidR="00BC1BE5">
        <w:rPr>
          <w:rFonts w:cs="Times New Roman"/>
        </w:rPr>
        <w:t>In</w:t>
      </w:r>
      <w:r w:rsidRPr="005B1095">
        <w:rPr>
          <w:rFonts w:cs="Times New Roman"/>
        </w:rPr>
        <w:t xml:space="preserve"> many places in the United States</w:t>
      </w:r>
      <w:r w:rsidR="00BC1BE5">
        <w:rPr>
          <w:rFonts w:cs="Times New Roman"/>
        </w:rPr>
        <w:t>—prior to the pandemic at least—t</w:t>
      </w:r>
      <w:r w:rsidRPr="005B1095">
        <w:rPr>
          <w:rFonts w:cs="Times New Roman"/>
        </w:rPr>
        <w:t xml:space="preserve">his may </w:t>
      </w:r>
      <w:r w:rsidR="00BC1BE5">
        <w:rPr>
          <w:rFonts w:cs="Times New Roman"/>
        </w:rPr>
        <w:t>have been</w:t>
      </w:r>
      <w:r w:rsidRPr="005B1095">
        <w:rPr>
          <w:rFonts w:cs="Times New Roman"/>
        </w:rPr>
        <w:t xml:space="preserve"> the biggest threat around food.</w:t>
      </w:r>
      <w:r w:rsidRPr="005B1095">
        <w:rPr>
          <w:rStyle w:val="FootnoteReference"/>
          <w:rFonts w:cs="Times New Roman"/>
          <w:sz w:val="24"/>
        </w:rPr>
        <w:footnoteReference w:id="76"/>
      </w:r>
      <w:r w:rsidRPr="005B1095">
        <w:rPr>
          <w:rFonts w:cs="Times New Roman"/>
        </w:rPr>
        <w:t xml:space="preserve"> High calorie unhealthy food is cheap, heavily-marketed, and oftentimes all that is available in marginalized communities that effectively are food deserts – i.e., there is no full service grocery stores within a reasonable distance, and as a result less access to fruits, vegetables, and healthy food, but in their place purveyors of high fat low-nutrition substitutes.</w:t>
      </w:r>
      <w:r w:rsidRPr="005B1095">
        <w:rPr>
          <w:rStyle w:val="FootnoteReference"/>
          <w:rFonts w:cs="Times New Roman"/>
          <w:sz w:val="24"/>
        </w:rPr>
        <w:footnoteReference w:id="77"/>
      </w:r>
      <w:r w:rsidRPr="005B1095">
        <w:rPr>
          <w:rFonts w:cs="Times New Roman"/>
        </w:rPr>
        <w:t xml:space="preserve">  Unlike the past, where obesity was a marker of wealth, now obesity is the hallmark of poverty.  With weight issues comes a host of health problems from type-2 diabetes and heart disease to infant mortality, all threatening individual’s lives and thus their basic safety.</w:t>
      </w:r>
      <w:r w:rsidRPr="005B1095">
        <w:rPr>
          <w:rStyle w:val="FootnoteReference"/>
          <w:rFonts w:cs="Times New Roman"/>
          <w:sz w:val="24"/>
        </w:rPr>
        <w:footnoteReference w:id="78"/>
      </w:r>
      <w:r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Similarly, if clean water is an issue, what about the air we breathe?  Clean air may seem more remote and immediate than water—perhaps that is why it consistently has been a contentious regulatory issue—but breathing’s pretty basic.</w:t>
      </w:r>
      <w:r w:rsidRPr="005B1095">
        <w:rPr>
          <w:rStyle w:val="FootnoteReference"/>
          <w:rFonts w:cs="Times New Roman"/>
          <w:sz w:val="24"/>
        </w:rPr>
        <w:footnoteReference w:id="79"/>
      </w:r>
      <w:r w:rsidRPr="005B1095">
        <w:rPr>
          <w:rFonts w:cs="Times New Roman"/>
        </w:rPr>
        <w:t xml:space="preserve">  Air pollution not only threatens long-term health, it can make functioning in the short term well-nigh impossible.  In 1952, smog shut London down for four days and killed thousands of people.</w:t>
      </w:r>
      <w:r w:rsidRPr="005B1095">
        <w:rPr>
          <w:rStyle w:val="FootnoteReference"/>
          <w:rFonts w:cs="Times New Roman"/>
          <w:sz w:val="24"/>
        </w:rPr>
        <w:footnoteReference w:id="80"/>
      </w:r>
      <w:r w:rsidRPr="005B1095">
        <w:rPr>
          <w:rFonts w:cs="Times New Roman"/>
        </w:rPr>
        <w:t xml:space="preserve">  Similarly, during Thanksgiving weekend of 1966, ground-level smog in New York City caused an estimated 168 people deaths and health problems for some ten percent of city residents.</w:t>
      </w:r>
      <w:r w:rsidRPr="005B1095">
        <w:rPr>
          <w:rStyle w:val="FootnoteReference"/>
          <w:rFonts w:cs="Times New Roman"/>
          <w:sz w:val="24"/>
        </w:rPr>
        <w:footnoteReference w:id="81"/>
      </w:r>
      <w:r w:rsidRPr="005B1095">
        <w:rPr>
          <w:rFonts w:cs="Times New Roman"/>
        </w:rPr>
        <w:t xml:space="preserve">  </w:t>
      </w:r>
    </w:p>
    <w:p w:rsidR="00133F8A" w:rsidRPr="005B1095" w:rsidRDefault="00133F8A" w:rsidP="00133F8A">
      <w:pPr>
        <w:spacing w:line="480" w:lineRule="auto"/>
        <w:rPr>
          <w:rFonts w:cs="Times New Roman"/>
        </w:rPr>
      </w:pPr>
      <w:r w:rsidRPr="005B1095">
        <w:rPr>
          <w:rFonts w:cs="Times New Roman"/>
        </w:rPr>
        <w:tab/>
        <w:t xml:space="preserve">Likewise, if a lack of wholesome food or water threatens our health, what about our health itself?  </w:t>
      </w:r>
      <w:r w:rsidR="00BC1BE5" w:rsidRPr="005B1095">
        <w:rPr>
          <w:rFonts w:cs="Times New Roman"/>
        </w:rPr>
        <w:t xml:space="preserve">Those facing life-threatening illnesses are unlikely to deem themselves safe and </w:t>
      </w:r>
      <w:r w:rsidR="00426360" w:rsidRPr="005B1095">
        <w:rPr>
          <w:rFonts w:cs="Times New Roman"/>
        </w:rPr>
        <w:t>secure. The</w:t>
      </w:r>
      <w:r w:rsidRPr="005B1095">
        <w:rPr>
          <w:rFonts w:cs="Times New Roman"/>
        </w:rPr>
        <w:t xml:space="preserve"> threat of imminent, and perhaps painful, death and its accompanying dread, make many more people insecure on a daily basis than does a home invader or an attack on the street</w:t>
      </w:r>
      <w:r w:rsidR="00BC1BE5" w:rsidRPr="005B1095">
        <w:rPr>
          <w:rFonts w:cs="Times New Roman"/>
        </w:rPr>
        <w:t>.</w:t>
      </w:r>
      <w:r w:rsidR="00BC1BE5" w:rsidRPr="005B1095">
        <w:rPr>
          <w:rStyle w:val="FootnoteReference"/>
          <w:rFonts w:cs="Times New Roman"/>
          <w:sz w:val="24"/>
        </w:rPr>
        <w:footnoteReference w:id="82"/>
      </w:r>
      <w:r w:rsidR="00BC1BE5"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If health is basic to safety, what about the health care required to maintain it</w:t>
      </w:r>
      <w:r w:rsidR="00BC1BE5">
        <w:rPr>
          <w:rFonts w:cs="Times New Roman"/>
        </w:rPr>
        <w:t xml:space="preserve">? </w:t>
      </w:r>
      <w:r w:rsidRPr="005B1095">
        <w:rPr>
          <w:rFonts w:cs="Times New Roman"/>
        </w:rPr>
        <w:t>Although how access to health care ought to be guaranteed is a matter of deep political disagreement, there is a growing consensus that personal safety and security requires that access.</w:t>
      </w:r>
      <w:r w:rsidRPr="005B1095">
        <w:rPr>
          <w:rStyle w:val="FootnoteReference"/>
          <w:rFonts w:cs="Times New Roman"/>
          <w:sz w:val="24"/>
        </w:rPr>
        <w:footnoteReference w:id="83"/>
      </w:r>
      <w:r w:rsidRPr="005B1095">
        <w:rPr>
          <w:rFonts w:cs="Times New Roman"/>
        </w:rPr>
        <w:t xml:space="preserve"> </w:t>
      </w:r>
      <w:r w:rsidR="00BC1BE5">
        <w:rPr>
          <w:rFonts w:cs="Times New Roman"/>
        </w:rPr>
        <w:t>Besides, without</w:t>
      </w:r>
      <w:r w:rsidRPr="005B1095">
        <w:rPr>
          <w:rFonts w:cs="Times New Roman"/>
        </w:rPr>
        <w:t xml:space="preserve"> health insurance, or other access to health providers, people are forced to forego necessary care, or trade it against other necessities such as food</w:t>
      </w:r>
      <w:r w:rsidR="00BC1BE5">
        <w:rPr>
          <w:rFonts w:cs="Times New Roman"/>
        </w:rPr>
        <w:t xml:space="preserve"> and </w:t>
      </w:r>
      <w:r w:rsidRPr="005B1095">
        <w:rPr>
          <w:rFonts w:cs="Times New Roman"/>
        </w:rPr>
        <w:t>housing.</w:t>
      </w:r>
      <w:r w:rsidRPr="005B1095">
        <w:rPr>
          <w:rStyle w:val="FootnoteReference"/>
          <w:rFonts w:cs="Times New Roman"/>
          <w:sz w:val="24"/>
        </w:rPr>
        <w:footnoteReference w:id="84"/>
      </w:r>
      <w:r w:rsidRPr="005B1095">
        <w:rPr>
          <w:rFonts w:cs="Times New Roman"/>
        </w:rPr>
        <w:t xml:space="preserve"> </w:t>
      </w:r>
    </w:p>
    <w:p w:rsidR="00133F8A" w:rsidRPr="005B1095" w:rsidRDefault="00133F8A" w:rsidP="00133F8A">
      <w:pPr>
        <w:spacing w:line="480" w:lineRule="auto"/>
        <w:ind w:firstLine="720"/>
        <w:rPr>
          <w:rFonts w:cs="Times New Roman"/>
        </w:rPr>
      </w:pPr>
      <w:r w:rsidRPr="005B1095">
        <w:rPr>
          <w:rFonts w:cs="Times New Roman"/>
        </w:rPr>
        <w:t>4.</w:t>
      </w:r>
      <w:r w:rsidRPr="005B1095">
        <w:rPr>
          <w:rFonts w:cs="Times New Roman"/>
        </w:rPr>
        <w:tab/>
        <w:t>Opportunity</w:t>
      </w:r>
    </w:p>
    <w:p w:rsidR="00B1487D" w:rsidRDefault="00133F8A" w:rsidP="00133F8A">
      <w:pPr>
        <w:spacing w:line="480" w:lineRule="auto"/>
        <w:rPr>
          <w:rFonts w:cs="Times New Roman"/>
        </w:rPr>
      </w:pPr>
      <w:r w:rsidRPr="005B1095">
        <w:rPr>
          <w:rFonts w:cs="Times New Roman"/>
        </w:rPr>
        <w:tab/>
        <w:t xml:space="preserve">Are people safe </w:t>
      </w:r>
      <w:r w:rsidR="00BC1BE5">
        <w:rPr>
          <w:rFonts w:cs="Times New Roman"/>
        </w:rPr>
        <w:t>i</w:t>
      </w:r>
      <w:r w:rsidRPr="005B1095">
        <w:rPr>
          <w:rFonts w:cs="Times New Roman"/>
        </w:rPr>
        <w:t>f they are condemned to live in poverty, with little hope of betterment for themselves and their offspring?  It’s difficult to obtain food and housing without money</w:t>
      </w:r>
      <w:r w:rsidR="00B1487D">
        <w:rPr>
          <w:rFonts w:cs="Times New Roman"/>
        </w:rPr>
        <w:t>. A</w:t>
      </w:r>
      <w:r w:rsidRPr="005B1095">
        <w:rPr>
          <w:rFonts w:cs="Times New Roman"/>
        </w:rPr>
        <w:t xml:space="preserve">nd it’s difficult to obtain money without some of the basic building blocks of opportunity.  </w:t>
      </w:r>
    </w:p>
    <w:p w:rsidR="00133F8A" w:rsidRPr="005B1095" w:rsidRDefault="00B1487D" w:rsidP="00B1487D">
      <w:pPr>
        <w:spacing w:line="480" w:lineRule="auto"/>
        <w:ind w:firstLine="720"/>
        <w:rPr>
          <w:rFonts w:cs="Times New Roman"/>
        </w:rPr>
      </w:pPr>
      <w:r>
        <w:rPr>
          <w:rFonts w:cs="Times New Roman"/>
        </w:rPr>
        <w:t>H</w:t>
      </w:r>
      <w:r w:rsidR="00133F8A" w:rsidRPr="005B1095">
        <w:rPr>
          <w:rFonts w:cs="Times New Roman"/>
        </w:rPr>
        <w:t xml:space="preserve">ere, consensus </w:t>
      </w:r>
      <w:r>
        <w:rPr>
          <w:rFonts w:cs="Times New Roman"/>
        </w:rPr>
        <w:t>around what constitutes safety may</w:t>
      </w:r>
      <w:r w:rsidR="00133F8A" w:rsidRPr="005B1095">
        <w:rPr>
          <w:rFonts w:cs="Times New Roman"/>
        </w:rPr>
        <w:t xml:space="preserve"> begin to crumble—the question being whether it should.</w:t>
      </w:r>
      <w:r w:rsidR="00BC1BE5">
        <w:rPr>
          <w:rFonts w:cs="Times New Roman"/>
        </w:rPr>
        <w:t xml:space="preserve"> Many of the elements </w:t>
      </w:r>
      <w:r>
        <w:rPr>
          <w:rFonts w:cs="Times New Roman"/>
        </w:rPr>
        <w:t xml:space="preserve">from </w:t>
      </w:r>
      <w:r w:rsidR="00BC1BE5">
        <w:rPr>
          <w:rFonts w:cs="Times New Roman"/>
        </w:rPr>
        <w:t xml:space="preserve">here </w:t>
      </w:r>
      <w:r>
        <w:rPr>
          <w:rFonts w:cs="Times New Roman"/>
        </w:rPr>
        <w:t xml:space="preserve">on out many not themselves be within the definition of safety, but they </w:t>
      </w:r>
      <w:r w:rsidR="00BC1BE5">
        <w:rPr>
          <w:rFonts w:cs="Times New Roman"/>
        </w:rPr>
        <w:t>are essential means</w:t>
      </w:r>
      <w:r w:rsidR="00C62B73">
        <w:rPr>
          <w:rFonts w:cs="Times New Roman"/>
        </w:rPr>
        <w:t xml:space="preserve"> </w:t>
      </w:r>
      <w:r w:rsidR="00BC1BE5">
        <w:rPr>
          <w:rFonts w:cs="Times New Roman"/>
        </w:rPr>
        <w:t>to incontestable safety ends.</w:t>
      </w:r>
    </w:p>
    <w:p w:rsidR="00133F8A" w:rsidRPr="005B1095" w:rsidRDefault="00133F8A" w:rsidP="00133F8A">
      <w:pPr>
        <w:spacing w:line="480" w:lineRule="auto"/>
        <w:rPr>
          <w:rFonts w:cs="Times New Roman"/>
        </w:rPr>
      </w:pPr>
      <w:r w:rsidRPr="005B1095">
        <w:rPr>
          <w:rFonts w:cs="Times New Roman"/>
        </w:rPr>
        <w:tab/>
        <w:t>Is it possible to be safe today without an education?  It is education that allows people to be gainfully employed, to provide for themselves rather than exist on the government’s dole.  Education serves other valuable purposes, of course—building citizens, supporting personal growth.  But without education it is a challenge, if not impossible, to make one’s way in the world, to provide even basic subsistence for oneself and one’s dependents.</w:t>
      </w:r>
    </w:p>
    <w:p w:rsidR="00133F8A" w:rsidRPr="005B1095" w:rsidRDefault="00133F8A" w:rsidP="00133F8A">
      <w:pPr>
        <w:spacing w:line="480" w:lineRule="auto"/>
        <w:ind w:firstLine="720"/>
        <w:rPr>
          <w:rFonts w:cs="Times New Roman"/>
        </w:rPr>
      </w:pPr>
      <w:r w:rsidRPr="005B1095">
        <w:rPr>
          <w:rFonts w:cs="Times New Roman"/>
        </w:rPr>
        <w:t xml:space="preserve">But if education is on the list, then what about jobs themselves?  Without work </w:t>
      </w:r>
      <w:r w:rsidR="00C62B73">
        <w:rPr>
          <w:rFonts w:cs="Times New Roman"/>
        </w:rPr>
        <w:t>people</w:t>
      </w:r>
      <w:r w:rsidRPr="005B1095">
        <w:rPr>
          <w:rFonts w:cs="Times New Roman"/>
        </w:rPr>
        <w:t xml:space="preserve"> cannot feed, clothe, or house </w:t>
      </w:r>
      <w:r w:rsidR="00C62B73">
        <w:rPr>
          <w:rFonts w:cs="Times New Roman"/>
        </w:rPr>
        <w:t>themselves</w:t>
      </w:r>
      <w:r w:rsidRPr="005B1095">
        <w:rPr>
          <w:rFonts w:cs="Times New Roman"/>
        </w:rPr>
        <w:t xml:space="preserve">, let alone </w:t>
      </w:r>
      <w:r w:rsidR="00C62B73">
        <w:rPr>
          <w:rFonts w:cs="Times New Roman"/>
        </w:rPr>
        <w:t>their</w:t>
      </w:r>
      <w:r w:rsidRPr="005B1095">
        <w:rPr>
          <w:rFonts w:cs="Times New Roman"/>
        </w:rPr>
        <w:t xml:space="preserve"> dependents.  In his memoir, </w:t>
      </w:r>
      <w:r w:rsidR="0088478D">
        <w:rPr>
          <w:rFonts w:cs="Times New Roman"/>
        </w:rPr>
        <w:t xml:space="preserve">former Speaker of the House of Representatives </w:t>
      </w:r>
      <w:r w:rsidRPr="005B1095">
        <w:rPr>
          <w:rFonts w:cs="Times New Roman"/>
        </w:rPr>
        <w:t xml:space="preserve">Paul Ryan describes </w:t>
      </w:r>
      <w:r w:rsidR="0088478D" w:rsidRPr="005B1095">
        <w:rPr>
          <w:rFonts w:cs="Times New Roman"/>
        </w:rPr>
        <w:t xml:space="preserve">the feeling </w:t>
      </w:r>
      <w:r w:rsidR="0088478D">
        <w:rPr>
          <w:rFonts w:cs="Times New Roman"/>
        </w:rPr>
        <w:t xml:space="preserve">in </w:t>
      </w:r>
      <w:r w:rsidRPr="005B1095">
        <w:rPr>
          <w:rFonts w:cs="Times New Roman"/>
        </w:rPr>
        <w:t>his hometown of Janesville, Wisconsin, of “uncertainty, insecurity, and the sense that something has gone wrong,” as jobs slip away and people face bleak economic futures.</w:t>
      </w:r>
      <w:r w:rsidRPr="005B1095">
        <w:rPr>
          <w:rStyle w:val="FootnoteReference"/>
          <w:rFonts w:cs="Times New Roman"/>
          <w:sz w:val="24"/>
        </w:rPr>
        <w:footnoteReference w:id="85"/>
      </w:r>
      <w:r w:rsidRPr="005B1095">
        <w:rPr>
          <w:rFonts w:cs="Times New Roman"/>
        </w:rPr>
        <w:t xml:space="preserve">  Note his use of the word “insecurity” – it is difficult to be or feel safe without work.</w:t>
      </w:r>
    </w:p>
    <w:p w:rsidR="00133F8A" w:rsidRPr="005B1095" w:rsidRDefault="00133F8A" w:rsidP="0088478D">
      <w:pPr>
        <w:spacing w:line="480" w:lineRule="auto"/>
        <w:ind w:firstLine="720"/>
        <w:rPr>
          <w:rFonts w:cs="Times New Roman"/>
        </w:rPr>
      </w:pPr>
      <w:r w:rsidRPr="005B1095">
        <w:rPr>
          <w:rFonts w:cs="Times New Roman"/>
        </w:rPr>
        <w:t>Safety entails not just any job, but a job sufficient to earn a real living, and provide personal and family security.  The Hamilton Project, a division of the Brookings Institute, estimates that four out of ten people among the working-age group living below the poverty level are employed, but still can’t make enough to break out of poverty.</w:t>
      </w:r>
      <w:r w:rsidRPr="005B1095">
        <w:rPr>
          <w:rStyle w:val="FootnoteReference"/>
          <w:rFonts w:cs="Times New Roman"/>
          <w:sz w:val="24"/>
        </w:rPr>
        <w:footnoteReference w:id="86"/>
      </w:r>
      <w:r w:rsidR="0088478D">
        <w:rPr>
          <w:rFonts w:cs="Times New Roman"/>
        </w:rPr>
        <w:t xml:space="preserve"> </w:t>
      </w:r>
      <w:r w:rsidRPr="005B1095">
        <w:rPr>
          <w:rFonts w:cs="Times New Roman"/>
        </w:rPr>
        <w:t xml:space="preserve"> </w:t>
      </w:r>
      <w:r w:rsidR="0088478D">
        <w:rPr>
          <w:rFonts w:cs="Times New Roman"/>
        </w:rPr>
        <w:t>P</w:t>
      </w:r>
      <w:r w:rsidRPr="005B1095">
        <w:rPr>
          <w:rFonts w:cs="Times New Roman"/>
        </w:rPr>
        <w:t>eople who cannot afford the very basic necessities of life, such as food and housing, are not safe.</w:t>
      </w:r>
    </w:p>
    <w:p w:rsidR="00133F8A" w:rsidRPr="005B1095" w:rsidRDefault="00133F8A" w:rsidP="00133F8A">
      <w:pPr>
        <w:spacing w:line="480" w:lineRule="auto"/>
        <w:ind w:firstLine="720"/>
        <w:rPr>
          <w:rFonts w:cs="Times New Roman"/>
        </w:rPr>
      </w:pPr>
      <w:r w:rsidRPr="005B1095">
        <w:rPr>
          <w:rFonts w:cs="Times New Roman"/>
        </w:rPr>
        <w:t>Indeed, safety’s tentacles reach beyond poverty to the many people who live one emergency away from financial disaster.  Poverty is a precarious thing, as is evident from the whiplash of the coronavirus pandemic.  People who are getting by can tumble quickly when confronted with a sudden need that was unanticipated, or for which they lacked the means to save.</w:t>
      </w:r>
      <w:r w:rsidRPr="005B1095">
        <w:rPr>
          <w:rStyle w:val="FootnoteReference"/>
          <w:rFonts w:cs="Times New Roman"/>
          <w:sz w:val="24"/>
        </w:rPr>
        <w:footnoteReference w:id="87"/>
      </w:r>
    </w:p>
    <w:p w:rsidR="00133F8A" w:rsidRPr="005B1095" w:rsidRDefault="00133F8A" w:rsidP="00133F8A">
      <w:pPr>
        <w:spacing w:line="480" w:lineRule="auto"/>
        <w:rPr>
          <w:rFonts w:cs="Times New Roman"/>
        </w:rPr>
      </w:pPr>
      <w:r w:rsidRPr="005B1095">
        <w:rPr>
          <w:rFonts w:cs="Times New Roman"/>
        </w:rPr>
        <w:t xml:space="preserve"> </w:t>
      </w:r>
      <w:r w:rsidRPr="005B1095">
        <w:rPr>
          <w:rFonts w:cs="Times New Roman"/>
        </w:rPr>
        <w:tab/>
        <w:t>5.</w:t>
      </w:r>
      <w:r w:rsidRPr="005B1095">
        <w:rPr>
          <w:rFonts w:cs="Times New Roman"/>
        </w:rPr>
        <w:tab/>
        <w:t xml:space="preserve">Evolving Notions of Safety </w:t>
      </w:r>
    </w:p>
    <w:p w:rsidR="00133F8A" w:rsidRDefault="00133F8A" w:rsidP="00A1415A">
      <w:pPr>
        <w:spacing w:line="480" w:lineRule="auto"/>
        <w:rPr>
          <w:rFonts w:cs="Times New Roman"/>
        </w:rPr>
      </w:pPr>
      <w:r w:rsidRPr="005B1095">
        <w:rPr>
          <w:rFonts w:cs="Times New Roman"/>
        </w:rPr>
        <w:tab/>
      </w:r>
      <w:r w:rsidR="00A1415A">
        <w:rPr>
          <w:rFonts w:cs="Times New Roman"/>
        </w:rPr>
        <w:t xml:space="preserve">When asked what safety entails, transportation might not appear on most people’s list. </w:t>
      </w:r>
      <w:r w:rsidRPr="005B1095">
        <w:rPr>
          <w:rFonts w:cs="Times New Roman"/>
        </w:rPr>
        <w:t xml:space="preserve">We tend to think of getting around as our own problem.  </w:t>
      </w:r>
      <w:r w:rsidR="00A1415A">
        <w:rPr>
          <w:rFonts w:cs="Times New Roman"/>
        </w:rPr>
        <w:t>Yet, in s</w:t>
      </w:r>
      <w:r w:rsidRPr="005B1095">
        <w:rPr>
          <w:rFonts w:cs="Times New Roman"/>
        </w:rPr>
        <w:t>peaking to the collapse of municipal services in Detroit, Mayor David Bing lumped together the classic aspects of the protection function—police, fire and emergency medical services, streetlights—with . . . buses.  “[Y]</w:t>
      </w:r>
      <w:proofErr w:type="spellStart"/>
      <w:r w:rsidRPr="005B1095">
        <w:rPr>
          <w:rFonts w:cs="Times New Roman"/>
        </w:rPr>
        <w:t>ou</w:t>
      </w:r>
      <w:proofErr w:type="spellEnd"/>
      <w:r w:rsidRPr="005B1095">
        <w:rPr>
          <w:rFonts w:cs="Times New Roman"/>
        </w:rPr>
        <w:t xml:space="preserve"> need a bus system that you can rely on to get to work, to school and to the doctor on time.”</w:t>
      </w:r>
      <w:r w:rsidRPr="005B1095">
        <w:rPr>
          <w:rStyle w:val="FootnoteReference"/>
          <w:rFonts w:cs="Times New Roman"/>
          <w:sz w:val="24"/>
        </w:rPr>
        <w:footnoteReference w:id="88"/>
      </w:r>
      <w:r w:rsidRPr="005B1095">
        <w:rPr>
          <w:rFonts w:cs="Times New Roman"/>
        </w:rPr>
        <w:t xml:space="preserve">  Note how he tied transportation to the very basic elements of safety:  jobs, education, and medical care.</w:t>
      </w:r>
      <w:r w:rsidR="00895A2E">
        <w:rPr>
          <w:rFonts w:cs="Times New Roman"/>
        </w:rPr>
        <w:t xml:space="preserve"> </w:t>
      </w:r>
    </w:p>
    <w:p w:rsidR="00133F8A" w:rsidRPr="005B1095" w:rsidRDefault="00A1415A" w:rsidP="00A1415A">
      <w:pPr>
        <w:spacing w:line="480" w:lineRule="auto"/>
        <w:rPr>
          <w:rFonts w:cs="Times New Roman"/>
        </w:rPr>
      </w:pPr>
      <w:r>
        <w:rPr>
          <w:rFonts w:cs="Times New Roman"/>
        </w:rPr>
        <w:tab/>
      </w:r>
      <w:r w:rsidR="00895A2E">
        <w:rPr>
          <w:rFonts w:cs="Times New Roman"/>
        </w:rPr>
        <w:t>Just</w:t>
      </w:r>
      <w:r>
        <w:rPr>
          <w:rFonts w:cs="Times New Roman"/>
        </w:rPr>
        <w:t xml:space="preserve"> as the notion of the protection function itself will evolve—there weren’t organized police at the time the country was founded—so too will the understanding of what safety encompasses. </w:t>
      </w:r>
      <w:r w:rsidR="00895A2E">
        <w:rPr>
          <w:rFonts w:cs="Times New Roman"/>
        </w:rPr>
        <w:t>The Americans With Disabilities Act signaled national recognition that for too many people, basic necessities, from elevators to telephones, to transportation, remained out of reach.</w:t>
      </w:r>
      <w:r w:rsidR="00895A2E">
        <w:rPr>
          <w:rStyle w:val="FootnoteReference"/>
          <w:rFonts w:cs="Times New Roman"/>
        </w:rPr>
        <w:footnoteReference w:id="89"/>
      </w:r>
      <w:r w:rsidR="00895A2E">
        <w:rPr>
          <w:rFonts w:cs="Times New Roman"/>
        </w:rPr>
        <w:t xml:space="preserve"> People exposed to online hate do not feel safe.</w:t>
      </w:r>
      <w:r w:rsidR="00895A2E">
        <w:rPr>
          <w:rStyle w:val="FootnoteReference"/>
          <w:rFonts w:cs="Times New Roman"/>
        </w:rPr>
        <w:footnoteReference w:id="90"/>
      </w:r>
      <w:r w:rsidR="00895A2E">
        <w:rPr>
          <w:rFonts w:cs="Times New Roman"/>
        </w:rPr>
        <w:t xml:space="preserve"> </w:t>
      </w:r>
      <w:r w:rsidR="00133F8A" w:rsidRPr="005B1095">
        <w:rPr>
          <w:rFonts w:cs="Times New Roman"/>
        </w:rPr>
        <w:t>The ancestors spoke of physical threats to person and property, but what of emotional and dignitary harms?</w:t>
      </w:r>
      <w:r w:rsidR="00676766">
        <w:rPr>
          <w:rStyle w:val="FootnoteReference"/>
          <w:rFonts w:cs="Times New Roman"/>
        </w:rPr>
        <w:footnoteReference w:id="91"/>
      </w:r>
      <w:r w:rsidR="00133F8A" w:rsidRPr="005B1095">
        <w:rPr>
          <w:rFonts w:cs="Times New Roman"/>
        </w:rPr>
        <w:t xml:space="preserve"> We’ve vastly expanded our sense of self and of what it takes to make us feel secure.  </w:t>
      </w:r>
      <w:r>
        <w:rPr>
          <w:rFonts w:cs="Times New Roman"/>
        </w:rPr>
        <w:t>D</w:t>
      </w:r>
      <w:r w:rsidR="00133F8A" w:rsidRPr="005B1095">
        <w:rPr>
          <w:rFonts w:cs="Times New Roman"/>
        </w:rPr>
        <w:t>iscrimination threatens our safety.</w:t>
      </w:r>
      <w:r w:rsidR="00133F8A" w:rsidRPr="005B1095">
        <w:rPr>
          <w:rStyle w:val="FootnoteReference"/>
          <w:rFonts w:cs="Times New Roman"/>
          <w:sz w:val="24"/>
        </w:rPr>
        <w:footnoteReference w:id="92"/>
      </w:r>
      <w:r w:rsidR="00133F8A" w:rsidRPr="005B1095">
        <w:rPr>
          <w:rFonts w:cs="Times New Roman"/>
        </w:rPr>
        <w:t xml:space="preserve"> History has seen an upward arc of claims to protection by groups subject to special harm. Concerns about discrimination extend to people of color, to women, to the disabled, to LGBTQ individuals.  People feel threatened if they are treated unequally because of their identity.</w:t>
      </w:r>
      <w:r w:rsidR="00F341B9">
        <w:rPr>
          <w:rStyle w:val="FootnoteReference"/>
          <w:rFonts w:cs="Times New Roman"/>
        </w:rPr>
        <w:footnoteReference w:id="93"/>
      </w:r>
      <w:r w:rsidR="00133F8A" w:rsidRPr="005B1095">
        <w:rPr>
          <w:rFonts w:cs="Times New Roman"/>
        </w:rPr>
        <w:t xml:space="preserve">  Are </w:t>
      </w:r>
      <w:r w:rsidR="00C62B73">
        <w:rPr>
          <w:rFonts w:cs="Times New Roman"/>
        </w:rPr>
        <w:t xml:space="preserve">all </w:t>
      </w:r>
      <w:r w:rsidR="00133F8A" w:rsidRPr="005B1095">
        <w:rPr>
          <w:rFonts w:cs="Times New Roman"/>
        </w:rPr>
        <w:t xml:space="preserve">these now part of the safety we all wish to enjoy—to be free of such concerns?    </w:t>
      </w:r>
    </w:p>
    <w:p w:rsidR="00133F8A" w:rsidRPr="005B1095" w:rsidRDefault="00133F8A" w:rsidP="00133F8A">
      <w:pPr>
        <w:spacing w:line="480" w:lineRule="auto"/>
        <w:jc w:val="center"/>
        <w:rPr>
          <w:rFonts w:cs="Times New Roman"/>
        </w:rPr>
      </w:pPr>
      <w:r w:rsidRPr="005B1095">
        <w:rPr>
          <w:rFonts w:cs="Times New Roman"/>
        </w:rPr>
        <w:t>*</w:t>
      </w:r>
      <w:r w:rsidRPr="005B1095">
        <w:rPr>
          <w:rFonts w:cs="Times New Roman"/>
        </w:rPr>
        <w:tab/>
        <w:t>*</w:t>
      </w:r>
      <w:r w:rsidRPr="005B1095">
        <w:rPr>
          <w:rFonts w:cs="Times New Roman"/>
        </w:rPr>
        <w:tab/>
        <w:t>*</w:t>
      </w:r>
    </w:p>
    <w:p w:rsidR="00885EB6" w:rsidRDefault="00133F8A" w:rsidP="00133F8A">
      <w:pPr>
        <w:spacing w:line="480" w:lineRule="auto"/>
        <w:rPr>
          <w:rFonts w:cs="Times New Roman"/>
        </w:rPr>
      </w:pPr>
      <w:r w:rsidRPr="005B1095">
        <w:rPr>
          <w:rFonts w:cs="Times New Roman"/>
        </w:rPr>
        <w:tab/>
      </w:r>
      <w:r w:rsidR="00885EB6">
        <w:rPr>
          <w:rFonts w:cs="Times New Roman"/>
        </w:rPr>
        <w:t>S</w:t>
      </w:r>
      <w:r w:rsidRPr="005B1095">
        <w:rPr>
          <w:rFonts w:cs="Times New Roman"/>
        </w:rPr>
        <w:t xml:space="preserve">ome aspects of this list may seem to be reaching </w:t>
      </w:r>
      <w:r w:rsidR="00664454">
        <w:rPr>
          <w:rFonts w:cs="Times New Roman"/>
        </w:rPr>
        <w:t xml:space="preserve">too </w:t>
      </w:r>
      <w:r w:rsidRPr="005B1095">
        <w:rPr>
          <w:rFonts w:cs="Times New Roman"/>
        </w:rPr>
        <w:t xml:space="preserve">far as to what </w:t>
      </w:r>
      <w:r w:rsidR="00664454">
        <w:rPr>
          <w:rFonts w:cs="Times New Roman"/>
        </w:rPr>
        <w:t>“</w:t>
      </w:r>
      <w:r w:rsidRPr="005B1095">
        <w:rPr>
          <w:rFonts w:cs="Times New Roman"/>
        </w:rPr>
        <w:t>safety</w:t>
      </w:r>
      <w:r w:rsidR="00664454">
        <w:rPr>
          <w:rFonts w:cs="Times New Roman"/>
        </w:rPr>
        <w:t>”</w:t>
      </w:r>
      <w:r w:rsidRPr="005B1095">
        <w:rPr>
          <w:rFonts w:cs="Times New Roman"/>
        </w:rPr>
        <w:t xml:space="preserve"> requires</w:t>
      </w:r>
      <w:r w:rsidR="00885EB6">
        <w:rPr>
          <w:rFonts w:cs="Times New Roman"/>
        </w:rPr>
        <w:t>; other things may appear to be missing. S</w:t>
      </w:r>
      <w:r w:rsidRPr="005B1095">
        <w:rPr>
          <w:rFonts w:cs="Times New Roman"/>
        </w:rPr>
        <w:t xml:space="preserve">top on the list wherever you </w:t>
      </w:r>
      <w:r w:rsidR="00885EB6">
        <w:rPr>
          <w:rFonts w:cs="Times New Roman"/>
        </w:rPr>
        <w:t>wish</w:t>
      </w:r>
      <w:r w:rsidRPr="005B1095">
        <w:rPr>
          <w:rFonts w:cs="Times New Roman"/>
        </w:rPr>
        <w:t xml:space="preserve">, or add to it as you choose:  the point is simply that there are many things that threaten us in similar ways, and with the same ultimate effects, as physical violence.  </w:t>
      </w:r>
    </w:p>
    <w:p w:rsidR="00133F8A" w:rsidRDefault="00133F8A" w:rsidP="00CA5D59">
      <w:pPr>
        <w:spacing w:line="480" w:lineRule="auto"/>
        <w:ind w:firstLine="720"/>
        <w:rPr>
          <w:rFonts w:cs="Times New Roman"/>
        </w:rPr>
      </w:pPr>
      <w:r w:rsidRPr="005B1095">
        <w:rPr>
          <w:rFonts w:cs="Times New Roman"/>
        </w:rPr>
        <w:t>The</w:t>
      </w:r>
      <w:r w:rsidR="00885EB6">
        <w:rPr>
          <w:rFonts w:cs="Times New Roman"/>
        </w:rPr>
        <w:t>re</w:t>
      </w:r>
      <w:r w:rsidR="00877EB8">
        <w:rPr>
          <w:rFonts w:cs="Times New Roman"/>
        </w:rPr>
        <w:t xml:space="preserve"> </w:t>
      </w:r>
      <w:r w:rsidR="00664454">
        <w:rPr>
          <w:rFonts w:cs="Times New Roman"/>
        </w:rPr>
        <w:t xml:space="preserve">also </w:t>
      </w:r>
      <w:r w:rsidR="00877EB8">
        <w:rPr>
          <w:rFonts w:cs="Times New Roman"/>
        </w:rPr>
        <w:t>are</w:t>
      </w:r>
      <w:r w:rsidR="00664454">
        <w:rPr>
          <w:rFonts w:cs="Times New Roman"/>
        </w:rPr>
        <w:t xml:space="preserve">, concededly, </w:t>
      </w:r>
      <w:r w:rsidR="00885EB6">
        <w:rPr>
          <w:rFonts w:cs="Times New Roman"/>
        </w:rPr>
        <w:t>difference</w:t>
      </w:r>
      <w:r w:rsidR="00877EB8">
        <w:rPr>
          <w:rFonts w:cs="Times New Roman"/>
        </w:rPr>
        <w:t xml:space="preserve">s between some of the items on this list—though only some of them—and protection.  </w:t>
      </w:r>
      <w:r w:rsidR="00664454">
        <w:rPr>
          <w:rFonts w:cs="Times New Roman"/>
        </w:rPr>
        <w:t>It may be</w:t>
      </w:r>
      <w:r w:rsidR="00877EB8">
        <w:rPr>
          <w:rFonts w:cs="Times New Roman"/>
        </w:rPr>
        <w:t xml:space="preserve"> </w:t>
      </w:r>
      <w:r w:rsidRPr="005B1095">
        <w:rPr>
          <w:rFonts w:cs="Times New Roman"/>
        </w:rPr>
        <w:t xml:space="preserve">the immediacy of the harm.  </w:t>
      </w:r>
      <w:r w:rsidR="00877EB8">
        <w:rPr>
          <w:rFonts w:cs="Times New Roman"/>
        </w:rPr>
        <w:t xml:space="preserve">Or </w:t>
      </w:r>
      <w:r w:rsidR="00664454">
        <w:rPr>
          <w:rFonts w:cs="Times New Roman"/>
        </w:rPr>
        <w:t>the</w:t>
      </w:r>
      <w:r w:rsidR="00877EB8">
        <w:rPr>
          <w:rFonts w:cs="Times New Roman"/>
        </w:rPr>
        <w:t xml:space="preserve"> malign nature</w:t>
      </w:r>
      <w:r w:rsidR="00664454">
        <w:rPr>
          <w:rFonts w:cs="Times New Roman"/>
        </w:rPr>
        <w:t xml:space="preserve"> of the threat. </w:t>
      </w:r>
      <w:r w:rsidR="00877EB8">
        <w:rPr>
          <w:rFonts w:cs="Times New Roman"/>
        </w:rPr>
        <w:t>The question, though, is why things like immediacy or the nature of the cause should matter</w:t>
      </w:r>
      <w:r w:rsidR="00CA5D59">
        <w:rPr>
          <w:rFonts w:cs="Times New Roman"/>
        </w:rPr>
        <w:t xml:space="preserve"> to government’s response</w:t>
      </w:r>
      <w:r w:rsidR="00877EB8">
        <w:rPr>
          <w:rFonts w:cs="Times New Roman"/>
        </w:rPr>
        <w:t xml:space="preserve">. </w:t>
      </w:r>
      <w:r w:rsidRPr="005B1095">
        <w:rPr>
          <w:rFonts w:cs="Times New Roman"/>
        </w:rPr>
        <w:t>People equally are concerned with freezing to death from lack of housing as they are from physical violence, and for many people the former is more immediate than the latter.  Besides, immediacy is a curse but also a blessing:  economists whose work has them measuring the damages from injuries and death recognize that an important element is “dread.”</w:t>
      </w:r>
      <w:r w:rsidRPr="005B1095">
        <w:rPr>
          <w:rStyle w:val="FootnoteReference"/>
          <w:rFonts w:cs="Times New Roman"/>
          <w:sz w:val="24"/>
        </w:rPr>
        <w:footnoteReference w:id="94"/>
      </w:r>
      <w:r w:rsidRPr="005B1095">
        <w:rPr>
          <w:rFonts w:cs="Times New Roman"/>
        </w:rPr>
        <w:t xml:space="preserve">  Sometimes drawn-out threats to our well-being are even more deleterious than immediate ones.  </w:t>
      </w:r>
      <w:r w:rsidR="00877EB8">
        <w:rPr>
          <w:rFonts w:cs="Times New Roman"/>
        </w:rPr>
        <w:t xml:space="preserve">And we don’t really believe malign threats are </w:t>
      </w:r>
      <w:r w:rsidR="00CA5D59">
        <w:rPr>
          <w:rFonts w:cs="Times New Roman"/>
        </w:rPr>
        <w:t xml:space="preserve">the only ones worthy of “protection,” as within </w:t>
      </w:r>
      <w:r w:rsidR="00B1487D">
        <w:rPr>
          <w:rFonts w:cs="Times New Roman"/>
        </w:rPr>
        <w:t>the protection</w:t>
      </w:r>
      <w:r w:rsidR="00CA5D59">
        <w:rPr>
          <w:rFonts w:cs="Times New Roman"/>
        </w:rPr>
        <w:t xml:space="preserve"> function often falls natural disaster relief. </w:t>
      </w:r>
    </w:p>
    <w:p w:rsidR="00C01143" w:rsidRPr="005B1095" w:rsidRDefault="00C01143" w:rsidP="00C01143">
      <w:pPr>
        <w:spacing w:line="480" w:lineRule="auto"/>
        <w:jc w:val="center"/>
        <w:rPr>
          <w:rFonts w:cs="Times New Roman"/>
          <w:smallCaps/>
        </w:rPr>
      </w:pPr>
      <w:r w:rsidRPr="005B1095">
        <w:rPr>
          <w:rFonts w:cs="Times New Roman"/>
          <w:smallCaps/>
        </w:rPr>
        <w:t>III.</w:t>
      </w:r>
      <w:r w:rsidRPr="005B1095">
        <w:rPr>
          <w:rFonts w:cs="Times New Roman"/>
          <w:smallCaps/>
        </w:rPr>
        <w:tab/>
        <w:t>What’s In A Name?</w:t>
      </w:r>
    </w:p>
    <w:p w:rsidR="00C01143" w:rsidRPr="005B1095" w:rsidRDefault="00C01143" w:rsidP="00C01143">
      <w:pPr>
        <w:spacing w:line="480" w:lineRule="auto"/>
        <w:ind w:firstLine="720"/>
        <w:rPr>
          <w:rFonts w:cs="Times New Roman"/>
        </w:rPr>
      </w:pPr>
      <w:r w:rsidRPr="005B1095">
        <w:rPr>
          <w:rFonts w:cs="Times New Roman"/>
        </w:rPr>
        <w:t xml:space="preserve">One might agree on the importance or centrality of many things on the safety list, and even believe government bears responsibility for them, and yet resist the notion that there’s any need to change our understanding of what constitutes “public safety.”  After all, government already attends in some fashion to many of the </w:t>
      </w:r>
      <w:r w:rsidR="00664454">
        <w:rPr>
          <w:rFonts w:cs="Times New Roman"/>
        </w:rPr>
        <w:t>things just discussed.</w:t>
      </w:r>
      <w:r w:rsidRPr="005B1095">
        <w:rPr>
          <w:rFonts w:cs="Times New Roman"/>
        </w:rPr>
        <w:t xml:space="preserve">  It provides education</w:t>
      </w:r>
      <w:r w:rsidR="00664454">
        <w:rPr>
          <w:rFonts w:cs="Times New Roman"/>
        </w:rPr>
        <w:t xml:space="preserve">; </w:t>
      </w:r>
      <w:r w:rsidRPr="005B1095">
        <w:rPr>
          <w:rFonts w:cs="Times New Roman"/>
        </w:rPr>
        <w:t>in many places it supplies clean water</w:t>
      </w:r>
      <w:r w:rsidR="00664454">
        <w:rPr>
          <w:rFonts w:cs="Times New Roman"/>
        </w:rPr>
        <w:t>; i</w:t>
      </w:r>
      <w:r w:rsidRPr="005B1095">
        <w:rPr>
          <w:rFonts w:cs="Times New Roman"/>
        </w:rPr>
        <w:t>t regulates pollution into the air, maintains transportation systems, and so on. Why can’t we have separate departments of government for these various functions, and who cares if one of them—and only one—is called “public safety.”</w:t>
      </w:r>
    </w:p>
    <w:p w:rsidR="00C01143" w:rsidRPr="005B1095" w:rsidRDefault="00C01143" w:rsidP="00C01143">
      <w:pPr>
        <w:spacing w:line="480" w:lineRule="auto"/>
        <w:rPr>
          <w:rFonts w:cs="Times New Roman"/>
        </w:rPr>
      </w:pPr>
      <w:r w:rsidRPr="005B1095">
        <w:rPr>
          <w:rFonts w:cs="Times New Roman"/>
        </w:rPr>
        <w:tab/>
        <w:t xml:space="preserve">It’s because, as this Part explains, </w:t>
      </w:r>
      <w:r w:rsidR="0093644A">
        <w:rPr>
          <w:rFonts w:cs="Times New Roman"/>
        </w:rPr>
        <w:t xml:space="preserve">being a, if not the, primary focus of government matters. </w:t>
      </w:r>
      <w:r w:rsidRPr="005B1095">
        <w:rPr>
          <w:rFonts w:cs="Times New Roman"/>
        </w:rPr>
        <w:t>We pursue it single-mindedly</w:t>
      </w:r>
      <w:r w:rsidR="0093644A">
        <w:rPr>
          <w:rFonts w:cs="Times New Roman"/>
        </w:rPr>
        <w:t>, w</w:t>
      </w:r>
      <w:r w:rsidRPr="005B1095">
        <w:rPr>
          <w:rFonts w:cs="Times New Roman"/>
        </w:rPr>
        <w:t>hile we contest the importance of government in most if not all of the other dimensions</w:t>
      </w:r>
      <w:r w:rsidR="0093644A">
        <w:rPr>
          <w:rFonts w:cs="Times New Roman"/>
        </w:rPr>
        <w:t xml:space="preserve">. And because of this imbalance, </w:t>
      </w:r>
      <w:r w:rsidR="001277BB">
        <w:rPr>
          <w:rFonts w:cs="Times New Roman"/>
        </w:rPr>
        <w:t xml:space="preserve">we see </w:t>
      </w:r>
      <w:r w:rsidRPr="005B1095">
        <w:rPr>
          <w:rFonts w:cs="Times New Roman"/>
        </w:rPr>
        <w:t>palpably negative results</w:t>
      </w:r>
      <w:r w:rsidR="001277BB">
        <w:rPr>
          <w:rFonts w:cs="Times New Roman"/>
        </w:rPr>
        <w:t>—real harm for countless people—on both accounts.</w:t>
      </w:r>
      <w:r w:rsidRPr="005B1095">
        <w:rPr>
          <w:rFonts w:cs="Times New Roman"/>
        </w:rPr>
        <w:t xml:space="preserve"> </w:t>
      </w:r>
    </w:p>
    <w:p w:rsidR="00C01143" w:rsidRPr="005B1095" w:rsidRDefault="00C01143" w:rsidP="00C01143">
      <w:pPr>
        <w:spacing w:line="480" w:lineRule="auto"/>
        <w:rPr>
          <w:rFonts w:cs="Times New Roman"/>
          <w:i/>
        </w:rPr>
      </w:pPr>
      <w:r w:rsidRPr="005B1095">
        <w:rPr>
          <w:rFonts w:cs="Times New Roman"/>
          <w:i/>
        </w:rPr>
        <w:t>A.</w:t>
      </w:r>
      <w:r w:rsidRPr="005B1095">
        <w:rPr>
          <w:rFonts w:cs="Times New Roman"/>
          <w:i/>
        </w:rPr>
        <w:tab/>
        <w:t>The Importance of Being Public Safety</w:t>
      </w:r>
    </w:p>
    <w:p w:rsidR="00C01143" w:rsidRPr="005B1095" w:rsidRDefault="00C01143" w:rsidP="00C01143">
      <w:pPr>
        <w:spacing w:line="480" w:lineRule="auto"/>
        <w:ind w:firstLine="720"/>
        <w:rPr>
          <w:rFonts w:cs="Times New Roman"/>
          <w:i/>
        </w:rPr>
      </w:pPr>
      <w:r w:rsidRPr="005B1095">
        <w:rPr>
          <w:rFonts w:cs="Times New Roman"/>
        </w:rPr>
        <w:t>We’ve already seen how, in popular discourse, the protection function is job one of government.  But this is not a simple matter of rhetoric.  When it comes to protection and public safety, we talk the talk, and walk the walk.</w:t>
      </w:r>
    </w:p>
    <w:p w:rsidR="00C01143" w:rsidRDefault="00C01143" w:rsidP="00C01143">
      <w:pPr>
        <w:spacing w:line="480" w:lineRule="auto"/>
        <w:rPr>
          <w:rFonts w:cs="Times New Roman"/>
        </w:rPr>
      </w:pPr>
      <w:r w:rsidRPr="005B1095">
        <w:rPr>
          <w:rFonts w:cs="Times New Roman"/>
        </w:rPr>
        <w:tab/>
        <w:t>We do that with ample resources.  We spend over $100 billion annually on public safety.</w:t>
      </w:r>
      <w:r w:rsidRPr="005B1095">
        <w:rPr>
          <w:rStyle w:val="FootnoteReference"/>
          <w:rFonts w:cs="Times New Roman"/>
          <w:sz w:val="24"/>
        </w:rPr>
        <w:footnoteReference w:id="95"/>
      </w:r>
      <w:r w:rsidRPr="005B1095">
        <w:rPr>
          <w:rFonts w:cs="Times New Roman"/>
        </w:rPr>
        <w:t xml:space="preserve">  That number excludes the military, and domestic anti-terrorism measures.</w:t>
      </w:r>
      <w:r w:rsidRPr="005B1095">
        <w:rPr>
          <w:rStyle w:val="FootnoteReference"/>
          <w:rFonts w:cs="Times New Roman"/>
          <w:sz w:val="24"/>
        </w:rPr>
        <w:footnoteReference w:id="96"/>
      </w:r>
      <w:r w:rsidRPr="005B1095">
        <w:rPr>
          <w:rFonts w:cs="Times New Roman"/>
        </w:rPr>
        <w:t xml:space="preserve">  Municipal governments in many places devote twenty percent or more of their operating budgets to public safety, while other vital functions are cheated.</w:t>
      </w:r>
      <w:r w:rsidRPr="005B1095">
        <w:rPr>
          <w:rStyle w:val="FootnoteReference"/>
          <w:rFonts w:cs="Times New Roman"/>
          <w:sz w:val="24"/>
        </w:rPr>
        <w:footnoteReference w:id="97"/>
      </w:r>
      <w:r w:rsidRPr="005B1095" w:rsidDel="004C4FA5">
        <w:rPr>
          <w:rFonts w:cs="Times New Roman"/>
        </w:rPr>
        <w:t xml:space="preserve"> </w:t>
      </w:r>
    </w:p>
    <w:p w:rsidR="0093644A" w:rsidRPr="005B1095" w:rsidRDefault="0093644A" w:rsidP="00C01143">
      <w:pPr>
        <w:spacing w:line="480" w:lineRule="auto"/>
        <w:rPr>
          <w:rFonts w:cs="Times New Roman"/>
        </w:rPr>
      </w:pPr>
      <w:r>
        <w:rPr>
          <w:rFonts w:cs="Times New Roman"/>
        </w:rPr>
        <w:tab/>
        <w:t>It’s not necessarily the relative amount of spending</w:t>
      </w:r>
      <w:r w:rsidR="001277BB">
        <w:rPr>
          <w:rFonts w:cs="Times New Roman"/>
        </w:rPr>
        <w:t xml:space="preserve"> that matters</w:t>
      </w:r>
      <w:r>
        <w:rPr>
          <w:rFonts w:cs="Times New Roman"/>
        </w:rPr>
        <w:t>. In some places more is spent on education than protection. In Durham, North Carolina, sanitation takes a bigger part of the budget. But raw numbers say nothing about right-sizing. We may spend far more than is necessary on protection, and far less on other things</w:t>
      </w:r>
      <w:r w:rsidR="00D11762">
        <w:rPr>
          <w:rFonts w:cs="Times New Roman"/>
        </w:rPr>
        <w:t xml:space="preserve"> than the require</w:t>
      </w:r>
      <w:r>
        <w:rPr>
          <w:rFonts w:cs="Times New Roman"/>
        </w:rPr>
        <w:t xml:space="preserve">. </w:t>
      </w:r>
      <w:r w:rsidR="001277BB">
        <w:rPr>
          <w:rFonts w:cs="Times New Roman"/>
        </w:rPr>
        <w:t>Still,</w:t>
      </w:r>
      <w:r>
        <w:rPr>
          <w:rFonts w:cs="Times New Roman"/>
        </w:rPr>
        <w:t xml:space="preserve"> protection sucks up a lot of tax dollars, and touching that budget can be a lot like touching a third rail.</w:t>
      </w:r>
      <w:r>
        <w:rPr>
          <w:rStyle w:val="FootnoteReference"/>
          <w:rFonts w:cs="Times New Roman"/>
        </w:rPr>
        <w:footnoteReference w:id="98"/>
      </w:r>
    </w:p>
    <w:p w:rsidR="00C01143" w:rsidRPr="005B1095" w:rsidRDefault="00C01143" w:rsidP="00C01143">
      <w:pPr>
        <w:spacing w:line="480" w:lineRule="auto"/>
        <w:rPr>
          <w:rFonts w:cs="Times New Roman"/>
        </w:rPr>
      </w:pPr>
      <w:r w:rsidRPr="005B1095">
        <w:rPr>
          <w:rFonts w:cs="Times New Roman"/>
        </w:rPr>
        <w:tab/>
        <w:t>We valorize those who provide us with public safety</w:t>
      </w:r>
      <w:r w:rsidR="0093644A">
        <w:rPr>
          <w:rFonts w:cs="Times New Roman"/>
        </w:rPr>
        <w:t xml:space="preserve"> in ways we rarely do other government employees</w:t>
      </w:r>
      <w:r w:rsidRPr="005B1095">
        <w:rPr>
          <w:rFonts w:cs="Times New Roman"/>
        </w:rPr>
        <w:t>. President Trump told the Fraternal Order of Police: “We will always support – and you people know that better than anybody, you know – the incredible men and women of law enforcement. I will always have your back.”</w:t>
      </w:r>
      <w:r w:rsidRPr="005B1095">
        <w:rPr>
          <w:rStyle w:val="FootnoteReference"/>
          <w:rFonts w:cs="Times New Roman"/>
          <w:sz w:val="24"/>
        </w:rPr>
        <w:footnoteReference w:id="99"/>
      </w:r>
      <w:r w:rsidRPr="005B1095">
        <w:rPr>
          <w:rFonts w:cs="Times New Roman"/>
        </w:rPr>
        <w:t xml:space="preserve"> That valorization of the police comes from both sides of the aisle. At a 1996 speech to the International Association of Chiefs of Police, former U.S. Attorney General Janet Reno stated: “You all are just miracle workers. You do so very much to bring communities together, to protect this nation, to build trust, and it is an honor and a privilege to work with you.”</w:t>
      </w:r>
      <w:r w:rsidRPr="005B1095">
        <w:rPr>
          <w:rStyle w:val="FootnoteReference"/>
          <w:rFonts w:cs="Times New Roman"/>
          <w:sz w:val="24"/>
        </w:rPr>
        <w:footnoteReference w:id="100"/>
      </w:r>
      <w:r w:rsidRPr="005B1095">
        <w:rPr>
          <w:rFonts w:cs="Times New Roman"/>
        </w:rPr>
        <w:t xml:space="preserve"> In a speech at the New York City Patrolmen’s Benevolent Association annual convention, N.Y. Governor Andrew Cuomo recalled the reverence he had for his childhood neighbor, who was a cop: “I believed Pete the cop was a super hero because he was a super hero . . . . I will always stand with you [the NYPD]. And I have the highest respect and admiration for what you have done for the City of New York . . . .”</w:t>
      </w:r>
      <w:r w:rsidRPr="005B1095">
        <w:rPr>
          <w:rStyle w:val="FootnoteReference"/>
          <w:rFonts w:cs="Times New Roman"/>
          <w:sz w:val="24"/>
        </w:rPr>
        <w:footnoteReference w:id="101"/>
      </w:r>
      <w:r w:rsidRPr="005B1095">
        <w:rPr>
          <w:rFonts w:cs="Times New Roman"/>
        </w:rPr>
        <w:t xml:space="preserve"> This reverence reaches almost religious fervor for some.  Attorney General</w:t>
      </w:r>
      <w:r w:rsidR="001277BB">
        <w:rPr>
          <w:rFonts w:cs="Times New Roman"/>
        </w:rPr>
        <w:t xml:space="preserve"> </w:t>
      </w:r>
      <w:r w:rsidRPr="005B1095">
        <w:rPr>
          <w:rFonts w:cs="Times New Roman"/>
        </w:rPr>
        <w:t>Jeff Sessions told the Fraternal Order: “You [the police] are the thin blue line that stands between law-abiding people and criminals ---- between sanctity and lawlessness . . . . We have your back. We ‘BACK THE BLUE.’”</w:t>
      </w:r>
      <w:r w:rsidRPr="005B1095">
        <w:rPr>
          <w:rStyle w:val="FootnoteReference"/>
          <w:rFonts w:cs="Times New Roman"/>
          <w:sz w:val="24"/>
        </w:rPr>
        <w:footnoteReference w:id="102"/>
      </w:r>
      <w:r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 xml:space="preserve">There’s nothing wrong with praise, of course, except </w:t>
      </w:r>
      <w:r w:rsidR="00C211E8">
        <w:rPr>
          <w:rFonts w:cs="Times New Roman"/>
        </w:rPr>
        <w:t>when</w:t>
      </w:r>
      <w:r w:rsidRPr="005B1095">
        <w:rPr>
          <w:rFonts w:cs="Times New Roman"/>
        </w:rPr>
        <w:t xml:space="preserve"> this valorization turns into a kind of unthinking deference, whether deserved or not. </w:t>
      </w:r>
      <w:r w:rsidR="0093644A">
        <w:rPr>
          <w:rFonts w:cs="Times New Roman"/>
        </w:rPr>
        <w:t>T</w:t>
      </w:r>
      <w:r w:rsidRPr="005B1095">
        <w:rPr>
          <w:rFonts w:cs="Times New Roman"/>
        </w:rPr>
        <w:t>hose responsible for the protection function tout their expertise</w:t>
      </w:r>
      <w:r w:rsidR="0093644A">
        <w:rPr>
          <w:rFonts w:cs="Times New Roman"/>
        </w:rPr>
        <w:t xml:space="preserve"> but then </w:t>
      </w:r>
      <w:r w:rsidRPr="005B1095">
        <w:rPr>
          <w:rFonts w:cs="Times New Roman"/>
        </w:rPr>
        <w:t>defend it behind a wall of non-transparency.</w:t>
      </w:r>
      <w:r w:rsidRPr="005B1095">
        <w:rPr>
          <w:rStyle w:val="FootnoteReference"/>
          <w:rFonts w:cs="Times New Roman"/>
          <w:sz w:val="24"/>
        </w:rPr>
        <w:footnoteReference w:id="103"/>
      </w:r>
      <w:r w:rsidRPr="005B1095">
        <w:rPr>
          <w:rFonts w:cs="Times New Roman"/>
        </w:rPr>
        <w:t xml:space="preserve">  And, as many have documented, we tend not to second-guess </w:t>
      </w:r>
      <w:r w:rsidR="00676766">
        <w:rPr>
          <w:rFonts w:cs="Times New Roman"/>
        </w:rPr>
        <w:t>protection</w:t>
      </w:r>
      <w:r w:rsidRPr="005B1095">
        <w:rPr>
          <w:rFonts w:cs="Times New Roman"/>
        </w:rPr>
        <w:t xml:space="preserve"> officials.</w:t>
      </w:r>
      <w:r w:rsidRPr="005B1095">
        <w:rPr>
          <w:rStyle w:val="FootnoteReference"/>
          <w:rFonts w:cs="Times New Roman"/>
          <w:sz w:val="24"/>
        </w:rPr>
        <w:footnoteReference w:id="104"/>
      </w:r>
      <w:r w:rsidRPr="005B1095">
        <w:rPr>
          <w:rFonts w:cs="Times New Roman"/>
        </w:rPr>
        <w:t xml:space="preserve">  The Supreme Court even has suggested a certain degree of deference is mandatory.</w:t>
      </w:r>
      <w:r w:rsidRPr="005B1095">
        <w:rPr>
          <w:rStyle w:val="FootnoteReference"/>
          <w:rFonts w:cs="Times New Roman"/>
          <w:sz w:val="24"/>
        </w:rPr>
        <w:footnoteReference w:id="105"/>
      </w:r>
      <w:r w:rsidRPr="005B1095">
        <w:rPr>
          <w:rFonts w:cs="Times New Roman"/>
        </w:rPr>
        <w:t xml:space="preserve"> Whether this is deserved is another question altogether.  Scholars make the same point </w:t>
      </w:r>
      <w:r w:rsidR="006F2108">
        <w:rPr>
          <w:rFonts w:cs="Times New Roman"/>
        </w:rPr>
        <w:t>that</w:t>
      </w:r>
      <w:r w:rsidRPr="005B1095">
        <w:rPr>
          <w:rFonts w:cs="Times New Roman"/>
        </w:rPr>
        <w:t xml:space="preserve"> policing</w:t>
      </w:r>
      <w:r w:rsidR="006F2108">
        <w:rPr>
          <w:rFonts w:cs="Times New Roman"/>
        </w:rPr>
        <w:t xml:space="preserve"> is</w:t>
      </w:r>
      <w:r w:rsidRPr="005B1095">
        <w:rPr>
          <w:rFonts w:cs="Times New Roman"/>
        </w:rPr>
        <w:t xml:space="preserve"> a culture largely immune to scientific testing, reading, and learning, i.e., to the very things we deem essential to being called a “profession.”</w:t>
      </w:r>
      <w:r w:rsidRPr="005B1095">
        <w:rPr>
          <w:rStyle w:val="FootnoteReference"/>
          <w:rFonts w:cs="Times New Roman"/>
          <w:sz w:val="24"/>
        </w:rPr>
        <w:footnoteReference w:id="106"/>
      </w:r>
      <w:r w:rsidRPr="005B1095">
        <w:rPr>
          <w:rFonts w:cs="Times New Roman"/>
        </w:rPr>
        <w:t xml:space="preserve">  Police continue to engage in tactics </w:t>
      </w:r>
      <w:r w:rsidR="006F2108">
        <w:rPr>
          <w:rFonts w:cs="Times New Roman"/>
        </w:rPr>
        <w:t>t</w:t>
      </w:r>
      <w:r w:rsidRPr="005B1095">
        <w:rPr>
          <w:rFonts w:cs="Times New Roman"/>
        </w:rPr>
        <w:t xml:space="preserve">hat have been proven not to work, and fail to follow </w:t>
      </w:r>
      <w:r w:rsidR="0093644A">
        <w:rPr>
          <w:rFonts w:cs="Times New Roman"/>
        </w:rPr>
        <w:t xml:space="preserve">basic </w:t>
      </w:r>
      <w:r w:rsidR="00043DC5">
        <w:rPr>
          <w:rFonts w:cs="Times New Roman"/>
        </w:rPr>
        <w:t>p</w:t>
      </w:r>
      <w:r w:rsidRPr="005B1095">
        <w:rPr>
          <w:rFonts w:cs="Times New Roman"/>
        </w:rPr>
        <w:t>rotocols hat do.</w:t>
      </w:r>
      <w:r w:rsidRPr="005B1095">
        <w:rPr>
          <w:rStyle w:val="FootnoteReference"/>
          <w:rFonts w:cs="Times New Roman"/>
          <w:sz w:val="24"/>
        </w:rPr>
        <w:footnoteReference w:id="107"/>
      </w:r>
      <w:r w:rsidRPr="005B1095">
        <w:rPr>
          <w:rFonts w:cs="Times New Roman"/>
        </w:rPr>
        <w:t xml:space="preserve">  They adopt tactics and technologies with little consideration of social costs.</w:t>
      </w:r>
      <w:r w:rsidRPr="005B1095">
        <w:rPr>
          <w:rStyle w:val="FootnoteReference"/>
          <w:rFonts w:cs="Times New Roman"/>
          <w:sz w:val="24"/>
        </w:rPr>
        <w:footnoteReference w:id="108"/>
      </w:r>
    </w:p>
    <w:p w:rsidR="00C01143" w:rsidRPr="005B1095" w:rsidRDefault="0093644A" w:rsidP="00C01143">
      <w:pPr>
        <w:spacing w:line="480" w:lineRule="auto"/>
        <w:ind w:firstLine="720"/>
        <w:rPr>
          <w:rFonts w:cs="Times New Roman"/>
        </w:rPr>
      </w:pPr>
      <w:r>
        <w:rPr>
          <w:rFonts w:cs="Times New Roman"/>
        </w:rPr>
        <w:t>There is virtually no supervision of protection agencies.</w:t>
      </w:r>
      <w:r w:rsidR="00C01143" w:rsidRPr="005B1095">
        <w:rPr>
          <w:rFonts w:cs="Times New Roman"/>
        </w:rPr>
        <w:t xml:space="preserve"> </w:t>
      </w:r>
      <w:r>
        <w:rPr>
          <w:rFonts w:cs="Times New Roman"/>
        </w:rPr>
        <w:t>They</w:t>
      </w:r>
      <w:r w:rsidR="00C01143" w:rsidRPr="005B1095">
        <w:rPr>
          <w:rFonts w:cs="Times New Roman"/>
        </w:rPr>
        <w:t xml:space="preserve"> resist any sort of control; it took widespread protests in all fifty states to begin to achieve reforms that those in the know have been demanding for decades.</w:t>
      </w:r>
      <w:r w:rsidR="00C01143" w:rsidRPr="005B1095">
        <w:rPr>
          <w:rStyle w:val="FootnoteReference"/>
          <w:rFonts w:cs="Times New Roman"/>
          <w:sz w:val="24"/>
        </w:rPr>
        <w:footnoteReference w:id="109"/>
      </w:r>
      <w:r w:rsidR="00C01143" w:rsidRPr="005B1095">
        <w:rPr>
          <w:rFonts w:cs="Times New Roman"/>
        </w:rPr>
        <w:t xml:space="preserve">  What has passed for oversight are a wave of civilian review boards and auditors of various sorts, but they are notoriously ineffective.</w:t>
      </w:r>
      <w:r w:rsidR="00C01143" w:rsidRPr="005B1095">
        <w:rPr>
          <w:rStyle w:val="FootnoteReference"/>
          <w:rFonts w:cs="Times New Roman"/>
          <w:sz w:val="24"/>
        </w:rPr>
        <w:footnoteReference w:id="110"/>
      </w:r>
      <w:r w:rsidR="00C01143" w:rsidRPr="005B1095">
        <w:rPr>
          <w:rFonts w:cs="Times New Roman"/>
        </w:rPr>
        <w:t xml:space="preserve">  Unlike other agencies of government, there is very little “front-end” supervision of the police, which is to say legislative or administrative rulemaking, standard-setting, and the like.</w:t>
      </w:r>
      <w:r w:rsidR="00C01143" w:rsidRPr="005B1095">
        <w:rPr>
          <w:rStyle w:val="FootnoteReference"/>
          <w:rFonts w:cs="Times New Roman"/>
          <w:sz w:val="24"/>
        </w:rPr>
        <w:footnoteReference w:id="111"/>
      </w:r>
      <w:r w:rsidR="00C01143" w:rsidRPr="005B1095">
        <w:rPr>
          <w:rFonts w:cs="Times New Roman"/>
        </w:rPr>
        <w:t xml:space="preserve">  It is at best ironic that those who have the power to do the most harm in society are controlled and reviewed the least.</w:t>
      </w:r>
    </w:p>
    <w:p w:rsidR="00C01143" w:rsidRPr="005B1095" w:rsidRDefault="00C01143" w:rsidP="00C01143">
      <w:pPr>
        <w:spacing w:line="480" w:lineRule="auto"/>
        <w:ind w:firstLine="720"/>
        <w:rPr>
          <w:rFonts w:cs="Times New Roman"/>
        </w:rPr>
      </w:pPr>
      <w:r w:rsidRPr="005B1095">
        <w:rPr>
          <w:rFonts w:cs="Times New Roman"/>
        </w:rPr>
        <w:t xml:space="preserve">So ingrained </w:t>
      </w:r>
      <w:r w:rsidR="006F2108">
        <w:rPr>
          <w:rFonts w:cs="Times New Roman"/>
        </w:rPr>
        <w:t>is</w:t>
      </w:r>
      <w:r w:rsidRPr="005B1095">
        <w:rPr>
          <w:rFonts w:cs="Times New Roman"/>
        </w:rPr>
        <w:t xml:space="preserve"> the mindset that public safety = protection, that we turn over many real problems of public safety—the kinds of basic safety described in the last Part—to police, who simply </w:t>
      </w:r>
      <w:r w:rsidR="00350453">
        <w:rPr>
          <w:rFonts w:cs="Times New Roman"/>
        </w:rPr>
        <w:t>do not have the skills</w:t>
      </w:r>
      <w:r w:rsidRPr="005B1095">
        <w:rPr>
          <w:rFonts w:cs="Times New Roman"/>
        </w:rPr>
        <w:t xml:space="preserve"> to do the job.</w:t>
      </w:r>
      <w:r w:rsidRPr="005B1095">
        <w:rPr>
          <w:rStyle w:val="FootnoteReference"/>
          <w:rFonts w:cs="Times New Roman"/>
          <w:sz w:val="24"/>
        </w:rPr>
        <w:footnoteReference w:id="112"/>
      </w:r>
      <w:r w:rsidRPr="005B1095">
        <w:rPr>
          <w:rFonts w:cs="Times New Roman"/>
        </w:rPr>
        <w:t xml:space="preserve">  Police are first responders, and too often the only responders, and so we ask them to deal with substance abuse, with mental illness, and with homelessness, along with other social ills</w:t>
      </w:r>
      <w:r w:rsidR="00350453">
        <w:rPr>
          <w:rFonts w:cs="Times New Roman"/>
        </w:rPr>
        <w:t xml:space="preserve"> to which they are not suited</w:t>
      </w:r>
      <w:r w:rsidRPr="005B1095">
        <w:rPr>
          <w:rFonts w:cs="Times New Roman"/>
        </w:rPr>
        <w:t>.</w:t>
      </w:r>
      <w:r w:rsidRPr="005B1095">
        <w:rPr>
          <w:rStyle w:val="FootnoteReference"/>
          <w:rFonts w:cs="Times New Roman"/>
          <w:sz w:val="24"/>
        </w:rPr>
        <w:footnoteReference w:id="113"/>
      </w:r>
      <w:r w:rsidRPr="005B1095">
        <w:rPr>
          <w:rFonts w:cs="Times New Roman"/>
        </w:rPr>
        <w:t xml:space="preserve">  This is one of the primary complaints of the movement to defund the police.</w:t>
      </w:r>
      <w:r w:rsidRPr="005B1095">
        <w:rPr>
          <w:rStyle w:val="FootnoteReference"/>
          <w:rFonts w:cs="Times New Roman"/>
          <w:sz w:val="24"/>
        </w:rPr>
        <w:footnoteReference w:id="114"/>
      </w:r>
      <w:r w:rsidR="00043DC5">
        <w:rPr>
          <w:rFonts w:cs="Times New Roman"/>
        </w:rPr>
        <w:t xml:space="preserve"> </w:t>
      </w:r>
      <w:r w:rsidR="00350453">
        <w:rPr>
          <w:rFonts w:cs="Times New Roman"/>
        </w:rPr>
        <w:t>Endemic of our privileging of the protection function is t</w:t>
      </w:r>
      <w:r w:rsidRPr="005B1095">
        <w:rPr>
          <w:rFonts w:cs="Times New Roman"/>
        </w:rPr>
        <w:t xml:space="preserve">he nation’s struggle with addictive substances, which </w:t>
      </w:r>
      <w:r w:rsidR="00350453">
        <w:rPr>
          <w:rFonts w:cs="Times New Roman"/>
        </w:rPr>
        <w:t>successive presidents</w:t>
      </w:r>
      <w:r w:rsidRPr="005B1095">
        <w:rPr>
          <w:rFonts w:cs="Times New Roman"/>
        </w:rPr>
        <w:t xml:space="preserve"> dealt with by turning it into a “war.”</w:t>
      </w:r>
      <w:r w:rsidR="00350453" w:rsidRPr="00350453">
        <w:rPr>
          <w:rStyle w:val="FootnoteReference"/>
          <w:rFonts w:cs="Times New Roman"/>
          <w:sz w:val="24"/>
        </w:rPr>
        <w:t xml:space="preserve"> </w:t>
      </w:r>
      <w:r w:rsidR="00350453" w:rsidRPr="005B1095">
        <w:rPr>
          <w:rStyle w:val="FootnoteReference"/>
          <w:rFonts w:cs="Times New Roman"/>
          <w:sz w:val="24"/>
        </w:rPr>
        <w:footnoteReference w:id="115"/>
      </w:r>
      <w:r w:rsidR="00350453">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 xml:space="preserve">This tendency to turn all matter of social ills over </w:t>
      </w:r>
      <w:r w:rsidR="00350453">
        <w:rPr>
          <w:rFonts w:cs="Times New Roman"/>
        </w:rPr>
        <w:t>protection</w:t>
      </w:r>
      <w:r w:rsidRPr="005B1095">
        <w:rPr>
          <w:rFonts w:cs="Times New Roman"/>
        </w:rPr>
        <w:t xml:space="preserve"> agencies, and at the same time not to question their tactics, to </w:t>
      </w:r>
      <w:r w:rsidR="006F2108">
        <w:rPr>
          <w:rFonts w:cs="Times New Roman"/>
        </w:rPr>
        <w:t xml:space="preserve">fail to </w:t>
      </w:r>
      <w:r w:rsidRPr="005B1095">
        <w:rPr>
          <w:rFonts w:cs="Times New Roman"/>
        </w:rPr>
        <w:t xml:space="preserve">examine carefully what they do, to supervise or critique </w:t>
      </w:r>
      <w:r w:rsidR="006F2108">
        <w:rPr>
          <w:rFonts w:cs="Times New Roman"/>
        </w:rPr>
        <w:t>them,</w:t>
      </w:r>
      <w:r w:rsidR="00043DC5">
        <w:rPr>
          <w:rFonts w:cs="Times New Roman"/>
        </w:rPr>
        <w:t xml:space="preserve"> </w:t>
      </w:r>
      <w:r w:rsidRPr="005B1095">
        <w:rPr>
          <w:rFonts w:cs="Times New Roman"/>
        </w:rPr>
        <w:t>leads to considerable harm.  Some are the harms of commission—the stops, searches, uses of force, and extreme surveillance, that impose serious costs with dubious benefits.</w:t>
      </w:r>
      <w:r w:rsidRPr="005B1095">
        <w:rPr>
          <w:rStyle w:val="FootnoteReference"/>
          <w:rFonts w:cs="Times New Roman"/>
          <w:sz w:val="24"/>
        </w:rPr>
        <w:footnoteReference w:id="116"/>
      </w:r>
      <w:r w:rsidRPr="005B1095">
        <w:rPr>
          <w:rFonts w:cs="Times New Roman"/>
        </w:rPr>
        <w:t xml:space="preserve">  Some are the harms of omission, the failure to learn or police well that leave many communities ultimately unprotected, even from tragic crime and gun violence.</w:t>
      </w:r>
      <w:r w:rsidRPr="005B1095">
        <w:rPr>
          <w:rStyle w:val="FootnoteReference"/>
          <w:rFonts w:cs="Times New Roman"/>
          <w:sz w:val="24"/>
        </w:rPr>
        <w:footnoteReference w:id="117"/>
      </w:r>
    </w:p>
    <w:p w:rsidR="00C01143" w:rsidRPr="005B1095" w:rsidRDefault="00C01143" w:rsidP="00C01143">
      <w:pPr>
        <w:spacing w:line="480" w:lineRule="auto"/>
        <w:ind w:firstLine="720"/>
        <w:rPr>
          <w:rFonts w:cs="Times New Roman"/>
        </w:rPr>
      </w:pPr>
      <w:r w:rsidRPr="005B1095">
        <w:rPr>
          <w:rFonts w:cs="Times New Roman"/>
        </w:rPr>
        <w:t>Yet, in the face of all these failings, what we do finally is immunize public safety agencies, so that neither they nor individual officers pay a price for the errors they make and misdeeds they commit.</w:t>
      </w:r>
      <w:r w:rsidRPr="005B1095">
        <w:rPr>
          <w:rStyle w:val="FootnoteReference"/>
          <w:rFonts w:cs="Times New Roman"/>
          <w:sz w:val="24"/>
        </w:rPr>
        <w:footnoteReference w:id="118"/>
      </w:r>
      <w:r w:rsidRPr="005B1095">
        <w:rPr>
          <w:rFonts w:cs="Times New Roman"/>
        </w:rPr>
        <w:t xml:space="preserve">  </w:t>
      </w:r>
      <w:r w:rsidR="00350453" w:rsidRPr="005B1095">
        <w:rPr>
          <w:rFonts w:cs="Times New Roman"/>
        </w:rPr>
        <w:t>In the rare instance in which officers are held accountable, they always are indemnified.</w:t>
      </w:r>
      <w:r w:rsidR="00350453" w:rsidRPr="005B1095">
        <w:rPr>
          <w:rStyle w:val="FootnoteReference"/>
          <w:rFonts w:cs="Times New Roman"/>
          <w:sz w:val="24"/>
        </w:rPr>
        <w:footnoteReference w:id="119"/>
      </w:r>
      <w:r w:rsidR="00350453">
        <w:rPr>
          <w:rFonts w:cs="Times New Roman"/>
        </w:rPr>
        <w:t xml:space="preserve"> Not that officers are necessarily the right ones to hold responsible</w:t>
      </w:r>
      <w:r w:rsidR="006F2108">
        <w:rPr>
          <w:rFonts w:cs="Times New Roman"/>
        </w:rPr>
        <w:t xml:space="preserve"> anyway</w:t>
      </w:r>
      <w:r w:rsidR="00350453">
        <w:rPr>
          <w:rFonts w:cs="Times New Roman"/>
        </w:rPr>
        <w:t xml:space="preserve">, absent egregious conduct, in a sane liability system. Other workers are let off the hook for harms they create, but their employers are responsible in </w:t>
      </w:r>
      <w:proofErr w:type="spellStart"/>
      <w:r w:rsidR="00350453">
        <w:rPr>
          <w:rFonts w:cs="Times New Roman"/>
        </w:rPr>
        <w:t>respondeat</w:t>
      </w:r>
      <w:proofErr w:type="spellEnd"/>
      <w:r w:rsidR="00350453">
        <w:rPr>
          <w:rFonts w:cs="Times New Roman"/>
        </w:rPr>
        <w:t xml:space="preserve"> superior, the hope being to create a feedback loop of better conduct.</w:t>
      </w:r>
      <w:r w:rsidR="00350453">
        <w:rPr>
          <w:rStyle w:val="FootnoteReference"/>
          <w:rFonts w:cs="Times New Roman"/>
        </w:rPr>
        <w:footnoteReference w:id="120"/>
      </w:r>
      <w:r w:rsidR="00350453">
        <w:rPr>
          <w:rFonts w:cs="Times New Roman"/>
        </w:rPr>
        <w:t xml:space="preserve"> Not so for the protection function: u</w:t>
      </w:r>
      <w:r w:rsidRPr="005B1095">
        <w:rPr>
          <w:rFonts w:cs="Times New Roman"/>
        </w:rPr>
        <w:t xml:space="preserve">nder governing constitutional law, </w:t>
      </w:r>
      <w:r w:rsidR="00350453">
        <w:rPr>
          <w:rFonts w:cs="Times New Roman"/>
        </w:rPr>
        <w:t xml:space="preserve">states never are held responsible, and </w:t>
      </w:r>
      <w:r w:rsidRPr="005B1095">
        <w:rPr>
          <w:rFonts w:cs="Times New Roman"/>
        </w:rPr>
        <w:t xml:space="preserve">municipalities are liable </w:t>
      </w:r>
      <w:r w:rsidR="00350453">
        <w:rPr>
          <w:rFonts w:cs="Times New Roman"/>
        </w:rPr>
        <w:t xml:space="preserve">only </w:t>
      </w:r>
      <w:r w:rsidRPr="005B1095">
        <w:rPr>
          <w:rFonts w:cs="Times New Roman"/>
        </w:rPr>
        <w:t>under limited circumstances.</w:t>
      </w:r>
      <w:r w:rsidRPr="005B1095">
        <w:rPr>
          <w:rStyle w:val="FootnoteReference"/>
          <w:rFonts w:cs="Times New Roman"/>
          <w:sz w:val="24"/>
        </w:rPr>
        <w:footnoteReference w:id="121"/>
      </w:r>
      <w:r w:rsidRPr="005B1095">
        <w:rPr>
          <w:rFonts w:cs="Times New Roman"/>
        </w:rPr>
        <w:t xml:space="preserve">    Agencies usually do not even learn about huge payouts by municipal governments for their actions, and almost never suffer budgetary consequences</w:t>
      </w:r>
      <w:r w:rsidR="006F2108">
        <w:rPr>
          <w:rFonts w:cs="Times New Roman"/>
        </w:rPr>
        <w:t>, so reform never happens</w:t>
      </w:r>
      <w:r w:rsidRPr="005B1095">
        <w:rPr>
          <w:rFonts w:cs="Times New Roman"/>
        </w:rPr>
        <w:t>.</w:t>
      </w:r>
      <w:r w:rsidRPr="005B1095">
        <w:rPr>
          <w:rStyle w:val="FootnoteReference"/>
          <w:rFonts w:cs="Times New Roman"/>
          <w:sz w:val="24"/>
        </w:rPr>
        <w:footnoteReference w:id="122"/>
      </w:r>
      <w:r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 xml:space="preserve">In short, devote enormous resources to </w:t>
      </w:r>
      <w:r w:rsidR="00350453">
        <w:rPr>
          <w:rFonts w:cs="Times New Roman"/>
        </w:rPr>
        <w:t>protection</w:t>
      </w:r>
      <w:r w:rsidRPr="005B1095">
        <w:rPr>
          <w:rFonts w:cs="Times New Roman"/>
        </w:rPr>
        <w:t xml:space="preserve">, assign a wide variety of tasks to protection workers that they are ill-equipped to perform, </w:t>
      </w:r>
      <w:r w:rsidR="008837C8">
        <w:rPr>
          <w:rFonts w:cs="Times New Roman"/>
        </w:rPr>
        <w:t>rarely hold those responsible for protection liable when things go wrong, and provide almost no supervision. You have to be regarded as pretty special to get this sort of deference in life.</w:t>
      </w:r>
    </w:p>
    <w:p w:rsidR="00C01143" w:rsidRPr="005B1095" w:rsidRDefault="00C01143" w:rsidP="00C01143">
      <w:pPr>
        <w:spacing w:line="480" w:lineRule="auto"/>
        <w:rPr>
          <w:rFonts w:cs="Times New Roman"/>
          <w:i/>
        </w:rPr>
      </w:pPr>
      <w:r w:rsidRPr="005B1095">
        <w:rPr>
          <w:rFonts w:cs="Times New Roman"/>
          <w:i/>
        </w:rPr>
        <w:t>B.</w:t>
      </w:r>
      <w:r w:rsidRPr="005B1095">
        <w:rPr>
          <w:rFonts w:cs="Times New Roman"/>
          <w:i/>
        </w:rPr>
        <w:tab/>
        <w:t>Second Fiddle for the Rest of Safety</w:t>
      </w:r>
    </w:p>
    <w:p w:rsidR="00C01143" w:rsidRPr="005B1095" w:rsidRDefault="00C01143" w:rsidP="00C01143">
      <w:pPr>
        <w:spacing w:line="480" w:lineRule="auto"/>
        <w:ind w:firstLine="720"/>
        <w:rPr>
          <w:rFonts w:cs="Times New Roman"/>
        </w:rPr>
      </w:pPr>
      <w:r w:rsidRPr="005B1095">
        <w:rPr>
          <w:rFonts w:cs="Times New Roman"/>
        </w:rPr>
        <w:t xml:space="preserve">Yet, when it comes to </w:t>
      </w:r>
      <w:r w:rsidR="008837C8">
        <w:rPr>
          <w:rFonts w:cs="Times New Roman"/>
        </w:rPr>
        <w:t>the</w:t>
      </w:r>
      <w:r w:rsidRPr="005B1095">
        <w:rPr>
          <w:rFonts w:cs="Times New Roman"/>
        </w:rPr>
        <w:t xml:space="preserve"> other aspects of what people might consider critical to their safety, </w:t>
      </w:r>
      <w:r w:rsidR="008837C8">
        <w:rPr>
          <w:rFonts w:cs="Times New Roman"/>
        </w:rPr>
        <w:t>not only is this sort of deference not show</w:t>
      </w:r>
      <w:r w:rsidR="006F2108">
        <w:rPr>
          <w:rFonts w:cs="Times New Roman"/>
        </w:rPr>
        <w:t>n</w:t>
      </w:r>
      <w:r w:rsidR="008837C8">
        <w:rPr>
          <w:rFonts w:cs="Times New Roman"/>
        </w:rPr>
        <w:t xml:space="preserve">, but there is not even </w:t>
      </w:r>
      <w:r w:rsidRPr="005B1095">
        <w:rPr>
          <w:rFonts w:cs="Times New Roman"/>
        </w:rPr>
        <w:t xml:space="preserve">consensus </w:t>
      </w:r>
      <w:r w:rsidR="006F2108">
        <w:rPr>
          <w:rFonts w:cs="Times New Roman"/>
        </w:rPr>
        <w:t>that government has a</w:t>
      </w:r>
      <w:r w:rsidRPr="005B1095">
        <w:rPr>
          <w:rFonts w:cs="Times New Roman"/>
        </w:rPr>
        <w:t xml:space="preserve"> role </w:t>
      </w:r>
      <w:r w:rsidR="006F2108">
        <w:rPr>
          <w:rFonts w:cs="Times New Roman"/>
        </w:rPr>
        <w:t>to play</w:t>
      </w:r>
      <w:r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 xml:space="preserve">There is a long history of contest in this country over the sorts of social benefits and programs that would be necessary to assure safety to people along the dimensions identified in the previous </w:t>
      </w:r>
      <w:r w:rsidR="006F2108">
        <w:rPr>
          <w:rFonts w:cs="Times New Roman"/>
        </w:rPr>
        <w:t>P</w:t>
      </w:r>
      <w:r w:rsidRPr="005B1095">
        <w:rPr>
          <w:rFonts w:cs="Times New Roman"/>
        </w:rPr>
        <w:t>art.</w:t>
      </w:r>
      <w:r w:rsidRPr="005B1095">
        <w:rPr>
          <w:rStyle w:val="FootnoteReference"/>
          <w:rFonts w:cs="Times New Roman"/>
          <w:sz w:val="24"/>
        </w:rPr>
        <w:footnoteReference w:id="123"/>
      </w:r>
      <w:r w:rsidRPr="005B1095">
        <w:rPr>
          <w:rFonts w:cs="Times New Roman"/>
        </w:rPr>
        <w:t xml:space="preserve">  This contest grew loud during the Populist and Progressive eras, reached full voice in the New Deal fights over the expansion of government, and though </w:t>
      </w:r>
      <w:r w:rsidR="006F2108">
        <w:rPr>
          <w:rFonts w:cs="Times New Roman"/>
        </w:rPr>
        <w:t>there was</w:t>
      </w:r>
      <w:r w:rsidRPr="005B1095">
        <w:rPr>
          <w:rFonts w:cs="Times New Roman"/>
        </w:rPr>
        <w:t xml:space="preserve"> a brief </w:t>
      </w:r>
      <w:r w:rsidR="006F2108">
        <w:rPr>
          <w:rFonts w:cs="Times New Roman"/>
        </w:rPr>
        <w:t>moment</w:t>
      </w:r>
      <w:r w:rsidRPr="005B1095">
        <w:rPr>
          <w:rFonts w:cs="Times New Roman"/>
        </w:rPr>
        <w:t xml:space="preserve"> of relative </w:t>
      </w:r>
      <w:r w:rsidR="006F2108">
        <w:rPr>
          <w:rFonts w:cs="Times New Roman"/>
        </w:rPr>
        <w:t>consensus</w:t>
      </w:r>
      <w:r w:rsidRPr="005B1095">
        <w:rPr>
          <w:rFonts w:cs="Times New Roman"/>
        </w:rPr>
        <w:t xml:space="preserve"> around LBJ’s War on Poverty, that quickly collapsed.</w:t>
      </w:r>
      <w:r w:rsidRPr="005B1095">
        <w:rPr>
          <w:rStyle w:val="FootnoteReference"/>
          <w:rFonts w:cs="Times New Roman"/>
          <w:sz w:val="24"/>
        </w:rPr>
        <w:footnoteReference w:id="124"/>
      </w:r>
      <w:r w:rsidRPr="005B1095">
        <w:rPr>
          <w:rFonts w:cs="Times New Roman"/>
        </w:rPr>
        <w:t xml:space="preserve"> This sort of contest has been prevalent around benefits programs, regulation to protect the environment, assuring health care, and many more if not most of the other factors that go toward individual safety.</w:t>
      </w:r>
    </w:p>
    <w:p w:rsidR="00C01143" w:rsidRPr="005B1095" w:rsidRDefault="00DD4E7E" w:rsidP="00C01143">
      <w:pPr>
        <w:spacing w:line="480" w:lineRule="auto"/>
        <w:ind w:firstLine="720"/>
        <w:rPr>
          <w:rFonts w:cs="Times New Roman"/>
        </w:rPr>
      </w:pPr>
      <w:r>
        <w:rPr>
          <w:rFonts w:cs="Times New Roman"/>
        </w:rPr>
        <w:t>T</w:t>
      </w:r>
      <w:r w:rsidR="00C01143" w:rsidRPr="005B1095">
        <w:rPr>
          <w:rFonts w:cs="Times New Roman"/>
        </w:rPr>
        <w:t>he presidency of Bill Clinton highlighted the breadth of resistance to government aid for basic safety outside of protection.  Clinton, a Democrat whose strategy was “triangulation” in order to pull in more moderate voters, had what were perceived as two great legislative victories.  The first was “welfare reform,” in which the insistence was to force people off of welfare and require they work to retain benefits.</w:t>
      </w:r>
      <w:r w:rsidR="00C01143" w:rsidRPr="005B1095">
        <w:rPr>
          <w:rStyle w:val="FootnoteReference"/>
          <w:rFonts w:cs="Times New Roman"/>
          <w:sz w:val="24"/>
        </w:rPr>
        <w:footnoteReference w:id="125"/>
      </w:r>
      <w:r w:rsidR="00C01143" w:rsidRPr="005B1095">
        <w:rPr>
          <w:rFonts w:cs="Times New Roman"/>
        </w:rPr>
        <w:t xml:space="preserve">  This was built on a longstanding skepticism of those on public relief, grounded perhaps in “persistent beliefs among substantial numbers of white voters that such policies disproportionately benefit black Americans or are unfair to hard-working taxpaying families.”</w:t>
      </w:r>
      <w:r w:rsidR="00C01143" w:rsidRPr="005B1095">
        <w:rPr>
          <w:rStyle w:val="FootnoteReference"/>
          <w:rFonts w:cs="Times New Roman"/>
          <w:sz w:val="24"/>
        </w:rPr>
        <w:footnoteReference w:id="126"/>
      </w:r>
      <w:r w:rsidR="00C01143" w:rsidRPr="005B1095">
        <w:rPr>
          <w:rFonts w:cs="Times New Roman"/>
        </w:rPr>
        <w:t xml:space="preserve">  The second was a “crime bill” that addressed drug problems by putting some 100,000 police on the streets, contributing to the mass incarceration we face today.</w:t>
      </w:r>
      <w:r w:rsidR="00C01143" w:rsidRPr="005B1095">
        <w:rPr>
          <w:rStyle w:val="FootnoteReference"/>
          <w:rFonts w:cs="Times New Roman"/>
          <w:sz w:val="24"/>
        </w:rPr>
        <w:footnoteReference w:id="127"/>
      </w:r>
      <w:r w:rsidR="00C01143"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Whereas it is difficult to challenge legislation granting resources for protection, government resources to assure other safety functions constantly are in danger of being cut.</w:t>
      </w:r>
      <w:r w:rsidRPr="005B1095">
        <w:rPr>
          <w:rStyle w:val="FootnoteReference"/>
          <w:rFonts w:cs="Times New Roman"/>
          <w:sz w:val="24"/>
        </w:rPr>
        <w:footnoteReference w:id="128"/>
      </w:r>
      <w:r w:rsidRPr="005B1095">
        <w:rPr>
          <w:rFonts w:cs="Times New Roman"/>
        </w:rPr>
        <w:t xml:space="preserve"> Over the last three decades, spending on prisons and jails at the state and local level has increased at three times the rate of public education funding.</w:t>
      </w:r>
      <w:r w:rsidRPr="005B1095">
        <w:rPr>
          <w:rStyle w:val="FootnoteReference"/>
          <w:rFonts w:cs="Times New Roman"/>
          <w:sz w:val="24"/>
        </w:rPr>
        <w:footnoteReference w:id="129"/>
      </w:r>
      <w:r w:rsidRPr="005B1095">
        <w:rPr>
          <w:rFonts w:cs="Times New Roman"/>
        </w:rPr>
        <w:t xml:space="preserve"> The tendency to fund protection resources at an exorbitantly higher rate than other safety functions is a characteristic of both the left and the right.</w:t>
      </w:r>
      <w:r w:rsidRPr="005B1095">
        <w:rPr>
          <w:rStyle w:val="FootnoteReference"/>
          <w:rFonts w:cs="Times New Roman"/>
          <w:sz w:val="24"/>
        </w:rPr>
        <w:footnoteReference w:id="130"/>
      </w:r>
      <w:r w:rsidRPr="005B1095">
        <w:rPr>
          <w:rFonts w:cs="Times New Roman"/>
        </w:rPr>
        <w:t xml:space="preserve"> At a time when the connection between policing spending and public safety is being questioned, with good reason, evidence suggests that a well-funded safety net actually protects poor families.</w:t>
      </w:r>
      <w:r w:rsidRPr="005B1095">
        <w:rPr>
          <w:rStyle w:val="FootnoteReference"/>
          <w:rFonts w:cs="Times New Roman"/>
          <w:sz w:val="24"/>
        </w:rPr>
        <w:footnoteReference w:id="131"/>
      </w:r>
      <w:r w:rsidRPr="005B1095">
        <w:rPr>
          <w:rFonts w:cs="Times New Roman"/>
        </w:rPr>
        <w:t xml:space="preserve"> Nevertheless, even as a national discourse criticizing the hegemony of the police takes center stage, many public officials continue to resist divesting resources from police departments.</w:t>
      </w:r>
      <w:r w:rsidRPr="005B1095">
        <w:rPr>
          <w:rStyle w:val="FootnoteReference"/>
          <w:rFonts w:cs="Times New Roman"/>
          <w:sz w:val="24"/>
        </w:rPr>
        <w:footnoteReference w:id="132"/>
      </w:r>
    </w:p>
    <w:p w:rsidR="00C01143" w:rsidRPr="005B1095" w:rsidRDefault="00C01143" w:rsidP="00C01143">
      <w:pPr>
        <w:spacing w:line="480" w:lineRule="auto"/>
        <w:ind w:firstLine="720"/>
        <w:rPr>
          <w:rFonts w:cs="Times New Roman"/>
        </w:rPr>
      </w:pPr>
      <w:r w:rsidRPr="005B1095">
        <w:rPr>
          <w:rFonts w:cs="Times New Roman"/>
        </w:rPr>
        <w:t>This attitude of skepticism toward government’s safety role in non-protection functions is manifest in the contrast between our valorization of protection workers and all others.</w:t>
      </w:r>
      <w:r w:rsidRPr="005B1095">
        <w:rPr>
          <w:rStyle w:val="FootnoteReference"/>
          <w:rFonts w:cs="Times New Roman"/>
          <w:sz w:val="24"/>
        </w:rPr>
        <w:footnoteReference w:id="133"/>
      </w:r>
      <w:r w:rsidRPr="005B1095">
        <w:rPr>
          <w:rFonts w:cs="Times New Roman"/>
        </w:rPr>
        <w:t xml:space="preserve">  There are plenty of folks outside of protection agencies who work hard to keep us safe—and who do not receive nearly the same praise. They too have difficult and at times unpleasant jobs.  And they face similar dangers.</w:t>
      </w:r>
      <w:r w:rsidRPr="005B1095">
        <w:rPr>
          <w:rStyle w:val="FootnoteReference"/>
          <w:rFonts w:cs="Times New Roman"/>
          <w:sz w:val="24"/>
        </w:rPr>
        <w:footnoteReference w:id="134"/>
      </w:r>
      <w:r w:rsidRPr="005B1095">
        <w:rPr>
          <w:rFonts w:cs="Times New Roman"/>
        </w:rPr>
        <w:t xml:space="preserve"> (For all the hype, being a police officer is not nearly the most dangerous of jobs.)</w:t>
      </w:r>
      <w:r w:rsidRPr="005B1095">
        <w:rPr>
          <w:rStyle w:val="FootnoteReference"/>
          <w:rFonts w:cs="Times New Roman"/>
          <w:sz w:val="24"/>
        </w:rPr>
        <w:footnoteReference w:id="135"/>
      </w:r>
      <w:r w:rsidRPr="005B1095">
        <w:rPr>
          <w:rFonts w:cs="Times New Roman"/>
        </w:rPr>
        <w:t xml:space="preserve">  Social workers often deal with the very same mentally ill or homeless persons as the police, people who can be volatile and violent at times.</w:t>
      </w:r>
      <w:r w:rsidRPr="005B1095">
        <w:rPr>
          <w:rStyle w:val="FootnoteReference"/>
          <w:rFonts w:cs="Times New Roman"/>
          <w:sz w:val="24"/>
        </w:rPr>
        <w:footnoteReference w:id="136"/>
      </w:r>
      <w:r w:rsidRPr="005B1095">
        <w:rPr>
          <w:rFonts w:cs="Times New Roman"/>
        </w:rPr>
        <w:t xml:space="preserve">  As is so painfully obvious during the present pandemic, doctors and other medical personnel rush into danger zones to render aid, including exposing themselves to illness and disease.</w:t>
      </w:r>
      <w:r w:rsidRPr="005B1095">
        <w:rPr>
          <w:rStyle w:val="FootnoteReference"/>
          <w:rFonts w:cs="Times New Roman"/>
          <w:sz w:val="24"/>
        </w:rPr>
        <w:footnoteReference w:id="137"/>
      </w:r>
      <w:r w:rsidRPr="005B1095">
        <w:rPr>
          <w:rFonts w:cs="Times New Roman"/>
        </w:rPr>
        <w:t xml:space="preserve"> The degree to which they are getting their due today, only highlights how often these </w:t>
      </w:r>
      <w:r w:rsidR="00DD4E7E">
        <w:rPr>
          <w:rFonts w:cs="Times New Roman"/>
        </w:rPr>
        <w:t>sorts of</w:t>
      </w:r>
      <w:r w:rsidRPr="005B1095">
        <w:rPr>
          <w:rFonts w:cs="Times New Roman"/>
        </w:rPr>
        <w:t xml:space="preserve"> workers don’t.  It comes nowhere close to the sorts of praise we heap on public safety agencies and their officers.</w:t>
      </w:r>
    </w:p>
    <w:p w:rsidR="00C01143" w:rsidRPr="005B1095" w:rsidRDefault="00C01143" w:rsidP="00C01143">
      <w:pPr>
        <w:spacing w:line="480" w:lineRule="auto"/>
        <w:rPr>
          <w:rFonts w:cs="Times New Roman"/>
        </w:rPr>
      </w:pPr>
      <w:r w:rsidRPr="005B1095">
        <w:rPr>
          <w:rFonts w:cs="Times New Roman"/>
        </w:rPr>
        <w:tab/>
        <w:t>What this all means is that the rhetoric around protection is very real.  It is seen as the first job of government.  And all the other governmental functions, which might be directed to assuring safety along a variety of dimensions, play a distinct second fiddle.</w:t>
      </w:r>
    </w:p>
    <w:p w:rsidR="00C01143" w:rsidRPr="005B1095" w:rsidRDefault="00C01143" w:rsidP="00C01143">
      <w:pPr>
        <w:spacing w:line="480" w:lineRule="auto"/>
        <w:rPr>
          <w:rFonts w:cs="Times New Roman"/>
          <w:i/>
        </w:rPr>
      </w:pPr>
      <w:r w:rsidRPr="005B1095">
        <w:rPr>
          <w:rFonts w:cs="Times New Roman"/>
          <w:i/>
        </w:rPr>
        <w:t>C.</w:t>
      </w:r>
      <w:r w:rsidRPr="005B1095">
        <w:rPr>
          <w:rFonts w:cs="Times New Roman"/>
          <w:i/>
        </w:rPr>
        <w:tab/>
        <w:t>Those Who Are Not Safe</w:t>
      </w:r>
    </w:p>
    <w:p w:rsidR="00C01143" w:rsidRPr="005B1095" w:rsidRDefault="00C01143" w:rsidP="00C01143">
      <w:pPr>
        <w:spacing w:line="480" w:lineRule="auto"/>
        <w:ind w:firstLine="720"/>
        <w:rPr>
          <w:rFonts w:cs="Times New Roman"/>
        </w:rPr>
      </w:pPr>
      <w:r w:rsidRPr="005B1095">
        <w:rPr>
          <w:rFonts w:cs="Times New Roman"/>
        </w:rPr>
        <w:t>As a result of the imbalance between protection and all the rest, far too many people—literally millions of people, in this wealthy country—are not safe, in too many ways.  As we move toward thinking about why government privileges one aspect of safety, while fighting over and neglecting others, it is useful to get a bead on the many ways we are not safe.  And the many people who are not.</w:t>
      </w:r>
    </w:p>
    <w:p w:rsidR="00C01143" w:rsidRPr="005B1095" w:rsidRDefault="00C01143" w:rsidP="00C01143">
      <w:pPr>
        <w:spacing w:line="480" w:lineRule="auto"/>
        <w:ind w:firstLine="720"/>
        <w:rPr>
          <w:rFonts w:cs="Times New Roman"/>
        </w:rPr>
      </w:pPr>
      <w:r w:rsidRPr="005B1095">
        <w:rPr>
          <w:rFonts w:cs="Times New Roman"/>
        </w:rPr>
        <w:t xml:space="preserve">Start with the most primary of needs.  Water’s pretty basic.  But </w:t>
      </w:r>
      <w:r w:rsidRPr="005B1095">
        <w:rPr>
          <w:rFonts w:cs="Times New Roman"/>
          <w:color w:val="000000" w:themeColor="text1"/>
        </w:rPr>
        <w:t xml:space="preserve">Flint is not alone.  </w:t>
      </w:r>
      <w:r w:rsidRPr="005B1095">
        <w:rPr>
          <w:rFonts w:eastAsia="Calibri" w:cs="Times New Roman"/>
          <w:color w:val="000000" w:themeColor="text1"/>
        </w:rPr>
        <w:t>During the summer of 2019, it was Newark, New Jersey, where the approximately 285,000 residents of Newark were exposed to elevated levels of lead in their water supply because of using some 18,000 “ancient” lead service lines.</w:t>
      </w:r>
      <w:r w:rsidRPr="005B1095">
        <w:rPr>
          <w:rStyle w:val="FootnoteReference"/>
          <w:rFonts w:eastAsia="Calibri" w:cs="Times New Roman"/>
          <w:color w:val="000000" w:themeColor="text1"/>
          <w:sz w:val="24"/>
        </w:rPr>
        <w:footnoteReference w:id="138"/>
      </w:r>
      <w:r w:rsidRPr="005B1095">
        <w:rPr>
          <w:rFonts w:eastAsia="Calibri" w:cs="Times New Roman"/>
          <w:color w:val="000000" w:themeColor="text1"/>
        </w:rPr>
        <w:t xml:space="preserve">  One study found that in 2015, nearly 21 million Americans were getting water from systems that violated the EPA’s water quality standards.</w:t>
      </w:r>
      <w:r w:rsidRPr="005B1095">
        <w:rPr>
          <w:rStyle w:val="FootnoteReference"/>
          <w:rFonts w:eastAsia="Calibri" w:cs="Times New Roman"/>
          <w:color w:val="000000" w:themeColor="text1"/>
          <w:sz w:val="24"/>
        </w:rPr>
        <w:footnoteReference w:id="139"/>
      </w:r>
      <w:r w:rsidRPr="005B1095">
        <w:rPr>
          <w:rFonts w:eastAsia="Calibri" w:cs="Times New Roman"/>
          <w:color w:val="000000" w:themeColor="text1"/>
        </w:rPr>
        <w:t xml:space="preserve">  So too is food.  Yet, s</w:t>
      </w:r>
      <w:r w:rsidRPr="005B1095">
        <w:rPr>
          <w:rFonts w:cs="Times New Roman"/>
        </w:rPr>
        <w:t>ome 11% of American households (over 37 million people) experience food insecurity—i.e., they “were uncertain of having, or unable to acquire, enough food to meet the needs of all their members because they had insufficient money or other resources” – at times during the year.</w:t>
      </w:r>
      <w:r w:rsidRPr="005B1095">
        <w:rPr>
          <w:rStyle w:val="FootnoteReference"/>
          <w:rFonts w:cs="Times New Roman"/>
          <w:sz w:val="24"/>
        </w:rPr>
        <w:footnoteReference w:id="140"/>
      </w:r>
      <w:r w:rsidRPr="005B1095">
        <w:rPr>
          <w:rFonts w:cs="Times New Roman"/>
        </w:rPr>
        <w:t xml:space="preserve">  Over 5 </w:t>
      </w:r>
      <w:proofErr w:type="spellStart"/>
      <w:r w:rsidRPr="005B1095">
        <w:rPr>
          <w:rFonts w:cs="Times New Roman"/>
        </w:rPr>
        <w:t>million</w:t>
      </w:r>
      <w:proofErr w:type="spellEnd"/>
      <w:r w:rsidRPr="005B1095">
        <w:rPr>
          <w:rFonts w:cs="Times New Roman"/>
        </w:rPr>
        <w:t xml:space="preserve"> of those household have “very low food security” in which finances actually required curtailing the normal intake of food; this includes over half a million children.</w:t>
      </w:r>
      <w:r w:rsidRPr="005B1095">
        <w:rPr>
          <w:rStyle w:val="FootnoteReference"/>
          <w:rFonts w:cs="Times New Roman"/>
          <w:sz w:val="24"/>
        </w:rPr>
        <w:footnoteReference w:id="141"/>
      </w:r>
      <w:r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Housing is a similar story.  The federal Department of Housing and Urban Development put the number of homeless in January 2018 at over half a million people, of whom some 200,000 were “unsheltered.”</w:t>
      </w:r>
      <w:r w:rsidRPr="005B1095">
        <w:rPr>
          <w:rStyle w:val="FootnoteReference"/>
          <w:rFonts w:cs="Times New Roman"/>
          <w:sz w:val="24"/>
        </w:rPr>
        <w:footnoteReference w:id="142"/>
      </w:r>
      <w:r w:rsidRPr="005B1095">
        <w:rPr>
          <w:rFonts w:cs="Times New Roman"/>
        </w:rPr>
        <w:t xml:space="preserve"> </w:t>
      </w:r>
      <w:r w:rsidR="00BE735D">
        <w:rPr>
          <w:rFonts w:cs="Times New Roman"/>
        </w:rPr>
        <w:t>This</w:t>
      </w:r>
      <w:r w:rsidRPr="005B1095">
        <w:rPr>
          <w:rFonts w:cs="Times New Roman"/>
        </w:rPr>
        <w:t xml:space="preserve"> doesn’t count all the people couch surfing or “doubled up” with friends and family, or in hospitals, mental health, and substance abuse centers, and also jails and prisons</w:t>
      </w:r>
      <w:r w:rsidR="00BE735D">
        <w:rPr>
          <w:rFonts w:cs="Times New Roman"/>
        </w:rPr>
        <w:t xml:space="preserve">, nor all of those </w:t>
      </w:r>
      <w:r w:rsidR="00BE735D" w:rsidRPr="005B1095">
        <w:rPr>
          <w:rFonts w:cs="Times New Roman"/>
        </w:rPr>
        <w:t>who avoid being counted or can’t be located during the yearly count.</w:t>
      </w:r>
      <w:r w:rsidRPr="005B1095">
        <w:rPr>
          <w:rFonts w:cs="Times New Roman"/>
        </w:rPr>
        <w:t>.</w:t>
      </w:r>
      <w:r w:rsidRPr="005B1095">
        <w:rPr>
          <w:rStyle w:val="FootnoteReference"/>
          <w:rFonts w:cs="Times New Roman"/>
          <w:sz w:val="24"/>
        </w:rPr>
        <w:footnoteReference w:id="143"/>
      </w:r>
      <w:r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 xml:space="preserve">Problems with the air we breathe threaten many of us, and after serious progress we are slipping again.  </w:t>
      </w:r>
      <w:r w:rsidRPr="005B1095">
        <w:rPr>
          <w:rStyle w:val="fontstyle01"/>
          <w:rFonts w:ascii="Times New Roman" w:hAnsi="Times New Roman" w:cs="Times New Roman"/>
          <w:color w:val="000000" w:themeColor="text1"/>
          <w:sz w:val="24"/>
          <w:szCs w:val="24"/>
        </w:rPr>
        <w:t xml:space="preserve">The Clean Air Act reduced </w:t>
      </w:r>
      <w:r w:rsidRPr="005B1095">
        <w:rPr>
          <w:rFonts w:cs="Times New Roman"/>
        </w:rPr>
        <w:t>aggregate</w:t>
      </w:r>
      <w:r w:rsidRPr="005B1095">
        <w:rPr>
          <w:rFonts w:cs="Times New Roman"/>
          <w:color w:val="000000" w:themeColor="text1"/>
        </w:rPr>
        <w:t xml:space="preserve"> emissions of the six key pollutants regulated by the Act </w:t>
      </w:r>
      <w:r w:rsidRPr="005B1095">
        <w:rPr>
          <w:rStyle w:val="fontstyle01"/>
          <w:rFonts w:ascii="Times New Roman" w:hAnsi="Times New Roman" w:cs="Times New Roman"/>
          <w:color w:val="000000" w:themeColor="text1"/>
          <w:sz w:val="24"/>
          <w:szCs w:val="24"/>
        </w:rPr>
        <w:t>by 77% since 1970.</w:t>
      </w:r>
      <w:r w:rsidRPr="005B1095">
        <w:rPr>
          <w:rStyle w:val="FootnoteReference"/>
          <w:rFonts w:cs="Times New Roman"/>
          <w:color w:val="000000" w:themeColor="text1"/>
          <w:sz w:val="24"/>
        </w:rPr>
        <w:footnoteReference w:id="144"/>
      </w:r>
      <w:r w:rsidRPr="005B1095">
        <w:rPr>
          <w:rStyle w:val="fontstyle01"/>
          <w:rFonts w:ascii="Times New Roman" w:hAnsi="Times New Roman" w:cs="Times New Roman"/>
          <w:color w:val="000000" w:themeColor="text1"/>
          <w:sz w:val="24"/>
          <w:szCs w:val="24"/>
        </w:rPr>
        <w:t xml:space="preserve"> </w:t>
      </w:r>
      <w:r w:rsidRPr="005B1095">
        <w:rPr>
          <w:rFonts w:cs="Times New Roman"/>
          <w:color w:val="000000" w:themeColor="text1"/>
        </w:rPr>
        <w:t>Yet, from 2016 to 2018, nearly 46% of the U.S. population, a figure that has consistently increased since 2013, lived in places with unhealthy ozone or particle pollution</w:t>
      </w:r>
      <w:r w:rsidR="00BE735D">
        <w:rPr>
          <w:rFonts w:cs="Times New Roman"/>
          <w:color w:val="000000" w:themeColor="text1"/>
        </w:rPr>
        <w:t xml:space="preserve">, putting them at risk for </w:t>
      </w:r>
      <w:r w:rsidR="00BE735D" w:rsidRPr="005B1095">
        <w:rPr>
          <w:rFonts w:cs="Times New Roman"/>
        </w:rPr>
        <w:t>respiratory issues, heart attacks, neurological damage, and premature death.</w:t>
      </w:r>
      <w:r w:rsidRPr="005B1095">
        <w:rPr>
          <w:rStyle w:val="FootnoteReference"/>
          <w:rFonts w:cs="Times New Roman"/>
          <w:color w:val="000000" w:themeColor="text1"/>
          <w:sz w:val="24"/>
        </w:rPr>
        <w:footnoteReference w:id="145"/>
      </w:r>
      <w:r w:rsidRPr="005B1095">
        <w:rPr>
          <w:rFonts w:cs="Times New Roman"/>
          <w:color w:val="000000" w:themeColor="text1"/>
        </w:rPr>
        <w:t xml:space="preserve"> </w:t>
      </w:r>
      <w:r w:rsidRPr="005B1095">
        <w:rPr>
          <w:rFonts w:cs="Times New Roman"/>
        </w:rPr>
        <w:t>Progress on climate change also is reversing</w:t>
      </w:r>
      <w:r w:rsidR="00BE735D">
        <w:rPr>
          <w:rFonts w:cs="Times New Roman"/>
        </w:rPr>
        <w:t>, particularly on account of the Trump administration</w:t>
      </w:r>
      <w:r w:rsidRPr="005B1095">
        <w:rPr>
          <w:rFonts w:cs="Times New Roman"/>
        </w:rPr>
        <w:t>.</w:t>
      </w:r>
      <w:r w:rsidRPr="005B1095">
        <w:rPr>
          <w:rStyle w:val="FootnoteReference"/>
          <w:rFonts w:cs="Times New Roman"/>
          <w:sz w:val="24"/>
        </w:rPr>
        <w:footnoteReference w:id="146"/>
      </w:r>
      <w:r w:rsidRPr="005B1095">
        <w:rPr>
          <w:rFonts w:cs="Times New Roman"/>
        </w:rPr>
        <w:t xml:space="preserve"> By leading to higher temperatures and more wildfires, climate change is expected to make the more conventional air pollution problems targeted by the Clean Air Act even more intractable.</w:t>
      </w:r>
      <w:r w:rsidRPr="005B1095">
        <w:rPr>
          <w:rStyle w:val="FootnoteReference"/>
          <w:rFonts w:cs="Times New Roman"/>
          <w:sz w:val="24"/>
        </w:rPr>
        <w:footnoteReference w:id="147"/>
      </w:r>
    </w:p>
    <w:p w:rsidR="00C01143" w:rsidRPr="005B1095" w:rsidRDefault="00C01143" w:rsidP="00CE0658">
      <w:pPr>
        <w:spacing w:line="480" w:lineRule="auto"/>
        <w:ind w:firstLine="720"/>
        <w:rPr>
          <w:rFonts w:cs="Times New Roman"/>
        </w:rPr>
      </w:pPr>
      <w:r w:rsidRPr="005B1095">
        <w:rPr>
          <w:rFonts w:cs="Times New Roman"/>
        </w:rPr>
        <w:t xml:space="preserve">A lack of health care similarly </w:t>
      </w:r>
      <w:r w:rsidR="00CE0658">
        <w:rPr>
          <w:rFonts w:cs="Times New Roman"/>
        </w:rPr>
        <w:t>afflicts</w:t>
      </w:r>
      <w:r w:rsidRPr="005B1095">
        <w:rPr>
          <w:rFonts w:cs="Times New Roman"/>
        </w:rPr>
        <w:t xml:space="preserve"> too many, particularly the poor.</w:t>
      </w:r>
      <w:r w:rsidRPr="005B1095">
        <w:rPr>
          <w:rStyle w:val="FootnoteReference"/>
          <w:rFonts w:cs="Times New Roman"/>
          <w:sz w:val="24"/>
        </w:rPr>
        <w:footnoteReference w:id="148"/>
      </w:r>
      <w:r w:rsidRPr="005B1095">
        <w:rPr>
          <w:rFonts w:cs="Times New Roman"/>
        </w:rPr>
        <w:t xml:space="preserve">  Even after passage of the Affordable Care Act, more than 27 million people still lack coverage.</w:t>
      </w:r>
      <w:r w:rsidRPr="005B1095">
        <w:rPr>
          <w:rStyle w:val="FootnoteReference"/>
          <w:rFonts w:cs="Times New Roman"/>
          <w:sz w:val="24"/>
        </w:rPr>
        <w:footnoteReference w:id="149"/>
      </w:r>
      <w:r w:rsidRPr="005B1095">
        <w:rPr>
          <w:rFonts w:cs="Times New Roman"/>
        </w:rPr>
        <w:t xml:space="preserve">  Those without health insurance skip preventative health services like blood pressure checks or mammograms, don’t get treatment or drugs medical personnel do recommend, have a higher risk of being diagnosed with late-stage forms of diseases like cancer, and—unsurprisingly—have higher mortality rates.</w:t>
      </w:r>
      <w:r w:rsidRPr="005B1095">
        <w:rPr>
          <w:rStyle w:val="FootnoteReference"/>
          <w:rFonts w:cs="Times New Roman"/>
          <w:sz w:val="24"/>
        </w:rPr>
        <w:footnoteReference w:id="150"/>
      </w:r>
    </w:p>
    <w:p w:rsidR="00C01143" w:rsidRPr="005B1095" w:rsidRDefault="00C01143" w:rsidP="00C01143">
      <w:pPr>
        <w:spacing w:line="480" w:lineRule="auto"/>
        <w:ind w:firstLine="720"/>
        <w:rPr>
          <w:rFonts w:cs="Times New Roman"/>
        </w:rPr>
      </w:pPr>
      <w:r w:rsidRPr="005B1095">
        <w:rPr>
          <w:rFonts w:cs="Times New Roman"/>
        </w:rPr>
        <w:t xml:space="preserve">The shortcomings of our system of public education are nothing short of appalling.   According to the </w:t>
      </w:r>
      <w:proofErr w:type="spellStart"/>
      <w:r w:rsidRPr="005B1095">
        <w:rPr>
          <w:rFonts w:cs="Times New Roman"/>
        </w:rPr>
        <w:t>Programme</w:t>
      </w:r>
      <w:proofErr w:type="spellEnd"/>
      <w:r w:rsidRPr="005B1095">
        <w:rPr>
          <w:rFonts w:cs="Times New Roman"/>
        </w:rPr>
        <w:t xml:space="preserve"> for International Student Assessment (PISA), America now ranks 37th out of 78 countries in math and 18th in science</w:t>
      </w:r>
      <w:r w:rsidR="00BE735D">
        <w:rPr>
          <w:rFonts w:cs="Times New Roman"/>
        </w:rPr>
        <w:t xml:space="preserve">. </w:t>
      </w:r>
      <w:r w:rsidRPr="005B1095">
        <w:rPr>
          <w:rFonts w:cs="Times New Roman"/>
        </w:rPr>
        <w:t>The U.S. Department of Education</w:t>
      </w:r>
      <w:r w:rsidR="00BE735D">
        <w:rPr>
          <w:rFonts w:cs="Times New Roman"/>
        </w:rPr>
        <w:t xml:space="preserve"> </w:t>
      </w:r>
      <w:r w:rsidRPr="005B1095">
        <w:rPr>
          <w:rFonts w:cs="Times New Roman"/>
        </w:rPr>
        <w:t xml:space="preserve">concluded </w:t>
      </w:r>
      <w:r w:rsidR="00BE735D">
        <w:rPr>
          <w:rFonts w:cs="Times New Roman"/>
        </w:rPr>
        <w:t xml:space="preserve">in 2019 </w:t>
      </w:r>
      <w:r w:rsidRPr="005B1095">
        <w:rPr>
          <w:rFonts w:cs="Times New Roman"/>
        </w:rPr>
        <w:t>that two out of three eighth graders failed to meet reading proficiency standards set by the Department, and only 34 percent of eight graders were deemed proficient in math.</w:t>
      </w:r>
      <w:r w:rsidRPr="005B1095">
        <w:rPr>
          <w:rStyle w:val="FootnoteReference"/>
          <w:rFonts w:cs="Times New Roman"/>
          <w:sz w:val="24"/>
        </w:rPr>
        <w:footnoteReference w:id="151"/>
      </w:r>
      <w:r w:rsidRPr="005B1095">
        <w:rPr>
          <w:rFonts w:cs="Times New Roman"/>
        </w:rPr>
        <w:t xml:space="preserve"> The ongoing litigation in </w:t>
      </w:r>
      <w:r w:rsidRPr="005B1095">
        <w:rPr>
          <w:rFonts w:cs="Times New Roman"/>
          <w:i/>
        </w:rPr>
        <w:t>Gary B. v. Whitmer</w:t>
      </w:r>
      <w:r w:rsidRPr="005B1095">
        <w:rPr>
          <w:rFonts w:cs="Times New Roman"/>
        </w:rPr>
        <w:t xml:space="preserve"> describes how the schools in an entire American city—Detroit—are failing students to an appalling degree.  Students attend school in dilapidated buildings in which temperatures can range from 90 degrees (or even as high as 110 degrees in one school, causing fainting and vomiting), to so cold students see their breath and wear full winter gear in class.</w:t>
      </w:r>
      <w:r w:rsidRPr="005B1095">
        <w:rPr>
          <w:rStyle w:val="FootnoteReference"/>
          <w:rFonts w:cs="Times New Roman"/>
          <w:sz w:val="24"/>
        </w:rPr>
        <w:footnoteReference w:id="152"/>
      </w:r>
      <w:r w:rsidRPr="005B1095">
        <w:rPr>
          <w:rFonts w:cs="Times New Roman"/>
        </w:rPr>
        <w:t xml:space="preserve">  There are no books to take home.</w:t>
      </w:r>
      <w:r w:rsidRPr="005B1095">
        <w:rPr>
          <w:rStyle w:val="FootnoteReference"/>
          <w:rFonts w:cs="Times New Roman"/>
          <w:sz w:val="24"/>
        </w:rPr>
        <w:footnoteReference w:id="153"/>
      </w:r>
      <w:r w:rsidRPr="005B1095">
        <w:rPr>
          <w:rFonts w:cs="Times New Roman"/>
        </w:rPr>
        <w:t xml:space="preserve">  Too often there are not workable books in class either.  One school had five history textbooks for 28 students. There also often are not teachers.</w:t>
      </w:r>
      <w:r w:rsidRPr="005B1095">
        <w:rPr>
          <w:rStyle w:val="FootnoteReference"/>
          <w:rFonts w:cs="Times New Roman"/>
          <w:sz w:val="24"/>
        </w:rPr>
        <w:footnoteReference w:id="154"/>
      </w:r>
      <w:r w:rsidRPr="005B1095">
        <w:rPr>
          <w:rFonts w:cs="Times New Roman"/>
        </w:rPr>
        <w:t xml:space="preserve">  “As a result, in Detroit public schools “illiteracy is the norm” while “[p]</w:t>
      </w:r>
      <w:proofErr w:type="spellStart"/>
      <w:r w:rsidRPr="005B1095">
        <w:rPr>
          <w:rFonts w:cs="Times New Roman"/>
        </w:rPr>
        <w:t>roficiency</w:t>
      </w:r>
      <w:proofErr w:type="spellEnd"/>
      <w:r w:rsidRPr="005B1095">
        <w:rPr>
          <w:rFonts w:cs="Times New Roman"/>
        </w:rPr>
        <w:t xml:space="preserve"> rates . . . hover near zero percent in core curricular areas.”</w:t>
      </w:r>
      <w:r w:rsidRPr="005B1095">
        <w:rPr>
          <w:rStyle w:val="FootnoteReference"/>
          <w:rFonts w:cs="Times New Roman"/>
          <w:sz w:val="24"/>
        </w:rPr>
        <w:footnoteReference w:id="155"/>
      </w:r>
      <w:r w:rsidRPr="005B1095">
        <w:rPr>
          <w:rFonts w:cs="Times New Roman"/>
        </w:rPr>
        <w:t xml:space="preserve">  </w:t>
      </w:r>
    </w:p>
    <w:p w:rsidR="00C01143" w:rsidRPr="005B1095" w:rsidRDefault="00C01143" w:rsidP="00C01143">
      <w:pPr>
        <w:spacing w:line="480" w:lineRule="auto"/>
        <w:ind w:firstLine="720"/>
        <w:rPr>
          <w:rFonts w:cs="Times New Roman"/>
        </w:rPr>
      </w:pPr>
      <w:r w:rsidRPr="005B1095">
        <w:rPr>
          <w:rFonts w:cs="Times New Roman"/>
        </w:rPr>
        <w:t>The current poverty rate of 11.8% of the country’s population is just over 38 million people, including some 13 million children.</w:t>
      </w:r>
      <w:r w:rsidRPr="005B1095">
        <w:rPr>
          <w:rStyle w:val="FootnoteReference"/>
          <w:rFonts w:cs="Times New Roman"/>
          <w:sz w:val="24"/>
        </w:rPr>
        <w:footnoteReference w:id="156"/>
      </w:r>
      <w:r w:rsidRPr="005B1095">
        <w:rPr>
          <w:rFonts w:cs="Times New Roman"/>
        </w:rPr>
        <w:t xml:space="preserve">  One quarter of Philadelphia’s residents (about 400,000 people) live in poverty.</w:t>
      </w:r>
      <w:r w:rsidRPr="005B1095">
        <w:rPr>
          <w:rStyle w:val="FootnoteReference"/>
          <w:rFonts w:cs="Times New Roman"/>
          <w:sz w:val="24"/>
        </w:rPr>
        <w:footnoteReference w:id="157"/>
      </w:r>
      <w:r w:rsidRPr="005B1095">
        <w:rPr>
          <w:rFonts w:cs="Times New Roman"/>
        </w:rPr>
        <w:t xml:space="preserve"> Being really poor means the only hot meal your kid gets is the free one at school lunch; not getting cavities fixed or seeking out and securing charity before a debilitatingly painful dental problem can be relieved; running out of propane in winter to heat the storage room you live in; jumping a turnstile because you lack money to get to and from your job training program—only to get hit with a fine that means you barely are able to feed your family that week.</w:t>
      </w:r>
      <w:r w:rsidRPr="005B1095">
        <w:rPr>
          <w:rStyle w:val="FootnoteReference"/>
          <w:rFonts w:cs="Times New Roman"/>
          <w:sz w:val="24"/>
        </w:rPr>
        <w:footnoteReference w:id="158"/>
      </w:r>
      <w:r w:rsidR="00BE735D" w:rsidRPr="00BE735D">
        <w:rPr>
          <w:rFonts w:cs="Times New Roman"/>
        </w:rPr>
        <w:t xml:space="preserve"> </w:t>
      </w:r>
      <w:r w:rsidR="00BE735D" w:rsidRPr="005B1095">
        <w:rPr>
          <w:rFonts w:cs="Times New Roman"/>
        </w:rPr>
        <w:t>The Hamilton Project estimates that four out of ten people living below the poverty level are employed, but still can’t make enough to break out of poverty.</w:t>
      </w:r>
      <w:r w:rsidR="00BE735D" w:rsidRPr="005B1095">
        <w:rPr>
          <w:rStyle w:val="FootnoteReference"/>
          <w:rFonts w:cs="Times New Roman"/>
          <w:sz w:val="24"/>
        </w:rPr>
        <w:footnoteReference w:id="159"/>
      </w:r>
    </w:p>
    <w:p w:rsidR="00BE735D" w:rsidRDefault="00BE735D" w:rsidP="00C01143">
      <w:pPr>
        <w:spacing w:line="480" w:lineRule="auto"/>
        <w:ind w:firstLine="720"/>
        <w:rPr>
          <w:rFonts w:cs="Times New Roman"/>
        </w:rPr>
      </w:pPr>
      <w:r>
        <w:rPr>
          <w:rFonts w:cs="Times New Roman"/>
        </w:rPr>
        <w:t xml:space="preserve">And then, to cap this off, </w:t>
      </w:r>
      <w:r w:rsidR="00C01143" w:rsidRPr="005B1095">
        <w:rPr>
          <w:rFonts w:cs="Times New Roman"/>
        </w:rPr>
        <w:t>the protection function is failing as well.   Estimates are that the police kill roughly one thousand people a year, and shoot many, many more.</w:t>
      </w:r>
      <w:r w:rsidR="00C01143" w:rsidRPr="005B1095">
        <w:rPr>
          <w:rStyle w:val="FootnoteReference"/>
          <w:rFonts w:cs="Times New Roman"/>
          <w:sz w:val="24"/>
        </w:rPr>
        <w:footnoteReference w:id="160"/>
      </w:r>
      <w:r w:rsidR="00C01143" w:rsidRPr="005B1095">
        <w:rPr>
          <w:rFonts w:cs="Times New Roman"/>
        </w:rPr>
        <w:t xml:space="preserve"> </w:t>
      </w:r>
      <w:r w:rsidR="00897EC7">
        <w:rPr>
          <w:rFonts w:cs="Times New Roman"/>
        </w:rPr>
        <w:t xml:space="preserve">Some of these are justified and unavoidable; others neither. </w:t>
      </w:r>
      <w:r w:rsidR="00C01143" w:rsidRPr="005B1095">
        <w:rPr>
          <w:rFonts w:cs="Times New Roman"/>
        </w:rPr>
        <w:t>The Bureau of Justice Statistics reported as of 2015 some one million people a year experience lesser threats or uses of force— and the federal government notoriously undercounts these experiences.</w:t>
      </w:r>
      <w:r w:rsidR="00C01143" w:rsidRPr="005B1095">
        <w:rPr>
          <w:rStyle w:val="FootnoteReference"/>
          <w:rFonts w:cs="Times New Roman"/>
          <w:sz w:val="24"/>
        </w:rPr>
        <w:footnoteReference w:id="161"/>
      </w:r>
      <w:r w:rsidR="00C01143" w:rsidRPr="005B1095">
        <w:rPr>
          <w:rFonts w:cs="Times New Roman"/>
        </w:rPr>
        <w:t xml:space="preserve">  Extrapolating from court decisions, one can surmise that hundreds of thousands if not millions of people each year may have been subjected to unconstitutional stops and frisk. “In Baltimore in 2005, under Mayor Martin O’Malley, the Zero Tolerance campaign included 108,000 arrests — in a city of only 640,000. Tens of thousands of young minority men were arrested for simply hanging around or littering. The vast majority were either never charged with a crime, or released once they saw a judge.”</w:t>
      </w:r>
      <w:r w:rsidR="00C01143" w:rsidRPr="005B1095">
        <w:rPr>
          <w:rStyle w:val="FootnoteReference"/>
          <w:rFonts w:cs="Times New Roman"/>
          <w:sz w:val="24"/>
        </w:rPr>
        <w:footnoteReference w:id="162"/>
      </w:r>
      <w:r w:rsidR="00C01143" w:rsidRPr="005B1095">
        <w:rPr>
          <w:rFonts w:cs="Times New Roman"/>
        </w:rPr>
        <w:t xml:space="preserve"> </w:t>
      </w:r>
    </w:p>
    <w:p w:rsidR="00C01143" w:rsidRDefault="00BE735D" w:rsidP="00C01143">
      <w:pPr>
        <w:spacing w:line="480" w:lineRule="auto"/>
        <w:ind w:firstLine="720"/>
        <w:rPr>
          <w:rFonts w:cs="Times New Roman"/>
        </w:rPr>
      </w:pPr>
      <w:r>
        <w:rPr>
          <w:rFonts w:cs="Times New Roman"/>
        </w:rPr>
        <w:t>Yet, d</w:t>
      </w:r>
      <w:r w:rsidR="00C01143" w:rsidRPr="005B1095">
        <w:rPr>
          <w:rFonts w:cs="Times New Roman"/>
        </w:rPr>
        <w:t xml:space="preserve">espite this over-policing, some places still are not safe.  </w:t>
      </w:r>
      <w:r w:rsidR="00C01143" w:rsidRPr="005B1095">
        <w:rPr>
          <w:rFonts w:cs="Times New Roman"/>
          <w:color w:val="000000" w:themeColor="text1"/>
        </w:rPr>
        <w:t>There are roughly 13,000 homicides a year in this country—three times as many U.S. service member deaths in the Iraq war.</w:t>
      </w:r>
      <w:r w:rsidR="00C01143" w:rsidRPr="005B1095">
        <w:rPr>
          <w:rStyle w:val="FootnoteReference"/>
          <w:rFonts w:cs="Times New Roman"/>
          <w:color w:val="000000" w:themeColor="text1"/>
          <w:sz w:val="24"/>
        </w:rPr>
        <w:footnoteReference w:id="163"/>
      </w:r>
      <w:r w:rsidR="00C01143" w:rsidRPr="005B1095">
        <w:rPr>
          <w:rFonts w:cs="Times New Roman"/>
          <w:color w:val="000000" w:themeColor="text1"/>
        </w:rPr>
        <w:t xml:space="preserve">  Each year, approximately 100,000 Americans survive a gunshot wound.</w:t>
      </w:r>
      <w:r w:rsidR="00C01143" w:rsidRPr="005B1095">
        <w:rPr>
          <w:rStyle w:val="FootnoteReference"/>
          <w:rFonts w:cs="Times New Roman"/>
          <w:color w:val="000000" w:themeColor="text1"/>
          <w:sz w:val="24"/>
        </w:rPr>
        <w:footnoteReference w:id="164"/>
      </w:r>
      <w:r w:rsidR="00C01143" w:rsidRPr="005B1095">
        <w:rPr>
          <w:rFonts w:cs="Times New Roman"/>
          <w:color w:val="000000" w:themeColor="text1"/>
        </w:rPr>
        <w:t xml:space="preserve"> There are approximately 10 million American adults living today—four percent of the population—who have been injured at least once by a gunshot.</w:t>
      </w:r>
      <w:r w:rsidR="00C01143" w:rsidRPr="005B1095">
        <w:rPr>
          <w:rStyle w:val="FootnoteReference"/>
          <w:rFonts w:cs="Times New Roman"/>
          <w:color w:val="000000" w:themeColor="text1"/>
          <w:sz w:val="24"/>
        </w:rPr>
        <w:footnoteReference w:id="165"/>
      </w:r>
      <w:r w:rsidR="00C01143" w:rsidRPr="005B1095">
        <w:rPr>
          <w:rFonts w:cs="Times New Roman"/>
          <w:color w:val="000000" w:themeColor="text1"/>
        </w:rPr>
        <w:t xml:space="preserve"> </w:t>
      </w:r>
      <w:r w:rsidR="00C01143" w:rsidRPr="005B1095">
        <w:rPr>
          <w:rFonts w:cs="Times New Roman"/>
        </w:rPr>
        <w:t>Fully one in three women report that over their lifetime they experienced sexual violence, physical violence, or stalking by an intimate partner.</w:t>
      </w:r>
      <w:r w:rsidR="00C01143" w:rsidRPr="005B1095">
        <w:rPr>
          <w:rStyle w:val="FootnoteReference"/>
          <w:rFonts w:cs="Times New Roman"/>
          <w:sz w:val="24"/>
        </w:rPr>
        <w:footnoteReference w:id="166"/>
      </w:r>
      <w:r w:rsidR="00C01143" w:rsidRPr="005B1095">
        <w:rPr>
          <w:rFonts w:cs="Times New Roman"/>
        </w:rPr>
        <w:t xml:space="preserve">  Cybercrime is a growing problem of immense proportions, for which the police are largely unprepared. The FBI’s cybercrime reporting center is getting over 300,000 complaints a year; by its own estimates that is about 10% of what actually is occurring.</w:t>
      </w:r>
      <w:r w:rsidR="00C01143" w:rsidRPr="005B1095">
        <w:rPr>
          <w:rStyle w:val="FootnoteReference"/>
          <w:rFonts w:cs="Times New Roman"/>
          <w:sz w:val="24"/>
        </w:rPr>
        <w:footnoteReference w:id="167"/>
      </w:r>
      <w:r w:rsidR="00C01143" w:rsidRPr="005B1095">
        <w:rPr>
          <w:rFonts w:cs="Times New Roman"/>
        </w:rPr>
        <w:t xml:space="preserve">  The FBI said economic loss from cybercrime was 2.7 billion dollars in 2018 alone, and forecasted to grow.</w:t>
      </w:r>
      <w:r w:rsidR="00C01143" w:rsidRPr="005B1095">
        <w:rPr>
          <w:rStyle w:val="FootnoteReference"/>
          <w:rFonts w:cs="Times New Roman"/>
          <w:sz w:val="24"/>
        </w:rPr>
        <w:footnoteReference w:id="168"/>
      </w:r>
    </w:p>
    <w:p w:rsidR="00BE735D" w:rsidRPr="005B1095" w:rsidRDefault="00BE735D" w:rsidP="00C01143">
      <w:pPr>
        <w:spacing w:line="480" w:lineRule="auto"/>
        <w:ind w:firstLine="720"/>
        <w:rPr>
          <w:rFonts w:cs="Times New Roman"/>
        </w:rPr>
      </w:pPr>
      <w:r>
        <w:rPr>
          <w:rFonts w:cs="Times New Roman"/>
        </w:rPr>
        <w:t xml:space="preserve">In short, there’s a terrible mismatch. </w:t>
      </w:r>
      <w:r w:rsidR="00434F4E">
        <w:rPr>
          <w:rFonts w:cs="Times New Roman"/>
        </w:rPr>
        <w:t>P</w:t>
      </w:r>
      <w:r>
        <w:rPr>
          <w:rFonts w:cs="Times New Roman"/>
        </w:rPr>
        <w:t xml:space="preserve">rotection, the first job of government, </w:t>
      </w:r>
      <w:r w:rsidR="00434F4E">
        <w:rPr>
          <w:rFonts w:cs="Times New Roman"/>
        </w:rPr>
        <w:t>is overvalued t</w:t>
      </w:r>
      <w:r>
        <w:rPr>
          <w:rFonts w:cs="Times New Roman"/>
        </w:rPr>
        <w:t xml:space="preserve">o the point that </w:t>
      </w:r>
      <w:r w:rsidR="00434F4E">
        <w:rPr>
          <w:rFonts w:cs="Times New Roman"/>
        </w:rPr>
        <w:t xml:space="preserve">evades serious scrutiny, though its </w:t>
      </w:r>
      <w:r>
        <w:rPr>
          <w:rFonts w:cs="Times New Roman"/>
        </w:rPr>
        <w:t xml:space="preserve">performance in many critical ways is woeful. </w:t>
      </w:r>
      <w:r w:rsidR="00434F4E">
        <w:rPr>
          <w:rFonts w:cs="Times New Roman"/>
        </w:rPr>
        <w:t>Yet, we neglect to pay sufficient attention to many other aspects of safety, to the point where millions are in jeopardy. To say things are out of balance seems to understate the obvious by a sharp degree.</w:t>
      </w:r>
    </w:p>
    <w:p w:rsidR="00C01143" w:rsidRPr="005B1095" w:rsidRDefault="00C01143" w:rsidP="00C01143">
      <w:pPr>
        <w:jc w:val="center"/>
        <w:rPr>
          <w:rFonts w:eastAsia="Calibri" w:cs="Times New Roman"/>
          <w:smallCaps/>
        </w:rPr>
      </w:pPr>
      <w:r w:rsidRPr="005B1095">
        <w:rPr>
          <w:rFonts w:eastAsia="Calibri" w:cs="Times New Roman"/>
          <w:smallCaps/>
        </w:rPr>
        <w:t xml:space="preserve">IV.  What Should  We Understand </w:t>
      </w:r>
      <w:r w:rsidRPr="00683388">
        <w:rPr>
          <w:rFonts w:eastAsia="Calibri" w:cs="Times New Roman"/>
          <w:i/>
          <w:smallCaps/>
        </w:rPr>
        <w:t>Public</w:t>
      </w:r>
      <w:r w:rsidRPr="005B1095">
        <w:rPr>
          <w:rFonts w:eastAsia="Calibri" w:cs="Times New Roman"/>
          <w:smallCaps/>
        </w:rPr>
        <w:t xml:space="preserve"> Safety To Be? </w:t>
      </w:r>
    </w:p>
    <w:p w:rsidR="00C01143" w:rsidRPr="005B1095" w:rsidRDefault="00C01143" w:rsidP="00C01143">
      <w:pPr>
        <w:jc w:val="center"/>
        <w:rPr>
          <w:rFonts w:eastAsia="Calibri" w:cs="Times New Roman"/>
          <w:smallCaps/>
        </w:rPr>
      </w:pPr>
      <w:r w:rsidRPr="005B1095">
        <w:rPr>
          <w:rFonts w:eastAsia="Calibri" w:cs="Times New Roman"/>
          <w:smallCaps/>
        </w:rPr>
        <w:t>(Or:  Is Protection Really Different?)</w:t>
      </w:r>
    </w:p>
    <w:p w:rsidR="00C01143" w:rsidRPr="005B1095" w:rsidRDefault="00C01143" w:rsidP="00C01143">
      <w:pPr>
        <w:jc w:val="center"/>
        <w:rPr>
          <w:rFonts w:eastAsia="Calibri" w:cs="Times New Roman"/>
          <w:smallCaps/>
        </w:rPr>
      </w:pPr>
    </w:p>
    <w:p w:rsidR="00C01143" w:rsidRDefault="00C01143" w:rsidP="00C01143">
      <w:pPr>
        <w:spacing w:line="480" w:lineRule="auto"/>
        <w:ind w:firstLine="720"/>
        <w:rPr>
          <w:rFonts w:eastAsia="Calibri" w:cs="Times New Roman"/>
        </w:rPr>
      </w:pPr>
      <w:r w:rsidRPr="005B1095">
        <w:rPr>
          <w:rFonts w:eastAsia="Calibri" w:cs="Times New Roman"/>
        </w:rPr>
        <w:t>Much like in Oscar Wilde’s classic play, “The Importance of Being Earnest,” it turns out—for good and for ill— it does matter if something is deemed public safety.</w:t>
      </w:r>
      <w:r w:rsidRPr="005B1095">
        <w:rPr>
          <w:rFonts w:eastAsia="Calibri" w:cs="Times New Roman"/>
          <w:vertAlign w:val="superscript"/>
        </w:rPr>
        <w:footnoteReference w:id="169"/>
      </w:r>
      <w:r w:rsidRPr="005B1095">
        <w:rPr>
          <w:rFonts w:eastAsia="Calibri" w:cs="Times New Roman"/>
        </w:rPr>
        <w:t xml:space="preserve">  Yet, as we have seen, the “protection” function garners that appellation, but not much else that is vital to individual safety.  One reasonably wonders:  why?  Is there something about </w:t>
      </w:r>
      <w:r w:rsidR="004259F8">
        <w:rPr>
          <w:rFonts w:eastAsia="Calibri" w:cs="Times New Roman"/>
        </w:rPr>
        <w:t>protection</w:t>
      </w:r>
      <w:r w:rsidRPr="005B1095">
        <w:rPr>
          <w:rFonts w:eastAsia="Calibri" w:cs="Times New Roman"/>
        </w:rPr>
        <w:t xml:space="preserve"> that actually makes it government’s first job, as opposed to all the other functions government does or might perform</w:t>
      </w:r>
      <w:r w:rsidR="004259F8">
        <w:rPr>
          <w:rFonts w:eastAsia="Calibri" w:cs="Times New Roman"/>
        </w:rPr>
        <w:t xml:space="preserve"> to keep people safe</w:t>
      </w:r>
      <w:r w:rsidRPr="005B1095">
        <w:rPr>
          <w:rFonts w:eastAsia="Calibri" w:cs="Times New Roman"/>
        </w:rPr>
        <w:t xml:space="preserve">? In this Part, we will explore a collection of possible arguments for why the protection function is special, or different.  </w:t>
      </w:r>
      <w:r w:rsidR="003D5C88">
        <w:rPr>
          <w:rFonts w:eastAsia="Calibri" w:cs="Times New Roman"/>
        </w:rPr>
        <w:t>All of them fail.</w:t>
      </w:r>
      <w:r w:rsidR="00683388">
        <w:rPr>
          <w:rFonts w:eastAsia="Calibri" w:cs="Times New Roman"/>
        </w:rPr>
        <w:t xml:space="preserve"> </w:t>
      </w:r>
    </w:p>
    <w:p w:rsidR="007E68DE" w:rsidRPr="005B1095" w:rsidRDefault="00683388" w:rsidP="00C01143">
      <w:pPr>
        <w:spacing w:line="480" w:lineRule="auto"/>
        <w:ind w:firstLine="720"/>
        <w:rPr>
          <w:rFonts w:eastAsia="Calibri" w:cs="Times New Roman"/>
        </w:rPr>
      </w:pPr>
      <w:r>
        <w:rPr>
          <w:rFonts w:eastAsia="Calibri" w:cs="Times New Roman"/>
        </w:rPr>
        <w:t xml:space="preserve">To be clear, the goal here is not to discount the importance of protection. It’s critical, and if there is any shame it is that government doesn’t </w:t>
      </w:r>
      <w:r w:rsidR="003D5C88">
        <w:rPr>
          <w:rFonts w:eastAsia="Calibri" w:cs="Times New Roman"/>
        </w:rPr>
        <w:t>perform the job</w:t>
      </w:r>
      <w:r>
        <w:rPr>
          <w:rFonts w:eastAsia="Calibri" w:cs="Times New Roman"/>
        </w:rPr>
        <w:t xml:space="preserve"> better</w:t>
      </w:r>
      <w:r w:rsidR="001760CA">
        <w:rPr>
          <w:rFonts w:eastAsia="Calibri" w:cs="Times New Roman"/>
        </w:rPr>
        <w:t>, and more evenly</w:t>
      </w:r>
      <w:r>
        <w:rPr>
          <w:rFonts w:eastAsia="Calibri" w:cs="Times New Roman"/>
        </w:rPr>
        <w:t>. The point of this part is simply that nothing particularly distinguishes protection from all the other elements of public safety. If we were consistent, they too would get equal concern from government</w:t>
      </w:r>
    </w:p>
    <w:p w:rsidR="00C01143" w:rsidRPr="005B1095" w:rsidRDefault="00C01143" w:rsidP="00C01143">
      <w:pPr>
        <w:spacing w:line="480" w:lineRule="auto"/>
        <w:rPr>
          <w:rFonts w:eastAsia="Calibri" w:cs="Times New Roman"/>
          <w:i/>
        </w:rPr>
      </w:pPr>
      <w:r w:rsidRPr="005B1095">
        <w:rPr>
          <w:rFonts w:eastAsia="Calibri" w:cs="Times New Roman"/>
          <w:i/>
        </w:rPr>
        <w:t>A.</w:t>
      </w:r>
      <w:r w:rsidRPr="005B1095">
        <w:rPr>
          <w:rFonts w:eastAsia="Calibri" w:cs="Times New Roman"/>
          <w:i/>
        </w:rPr>
        <w:tab/>
        <w:t>Foundational</w:t>
      </w:r>
    </w:p>
    <w:p w:rsidR="00262FB6" w:rsidRDefault="00C01143" w:rsidP="00C01143">
      <w:pPr>
        <w:spacing w:line="480" w:lineRule="auto"/>
        <w:rPr>
          <w:rFonts w:eastAsia="Calibri" w:cs="Times New Roman"/>
        </w:rPr>
      </w:pPr>
      <w:r w:rsidRPr="005B1095">
        <w:rPr>
          <w:rFonts w:eastAsia="Calibri" w:cs="Times New Roman"/>
        </w:rPr>
        <w:tab/>
      </w:r>
      <w:r w:rsidR="00835BE0">
        <w:rPr>
          <w:rFonts w:eastAsia="Calibri" w:cs="Times New Roman"/>
        </w:rPr>
        <w:t>It</w:t>
      </w:r>
      <w:r w:rsidR="00262FB6">
        <w:rPr>
          <w:rFonts w:eastAsia="Calibri" w:cs="Times New Roman"/>
        </w:rPr>
        <w:t xml:space="preserve"> </w:t>
      </w:r>
      <w:r w:rsidR="00835BE0">
        <w:rPr>
          <w:rFonts w:eastAsia="Calibri" w:cs="Times New Roman"/>
        </w:rPr>
        <w:t xml:space="preserve">may </w:t>
      </w:r>
      <w:r w:rsidR="00262FB6">
        <w:rPr>
          <w:rFonts w:eastAsia="Calibri" w:cs="Times New Roman"/>
        </w:rPr>
        <w:t xml:space="preserve">simply be a category error to confuse </w:t>
      </w:r>
      <w:r w:rsidR="00230170">
        <w:rPr>
          <w:rFonts w:eastAsia="Calibri" w:cs="Times New Roman"/>
        </w:rPr>
        <w:t xml:space="preserve">the </w:t>
      </w:r>
      <w:r w:rsidR="00262FB6">
        <w:rPr>
          <w:rFonts w:eastAsia="Calibri" w:cs="Times New Roman"/>
        </w:rPr>
        <w:t xml:space="preserve">protection </w:t>
      </w:r>
      <w:r w:rsidR="00230170">
        <w:rPr>
          <w:rFonts w:eastAsia="Calibri" w:cs="Times New Roman"/>
        </w:rPr>
        <w:t xml:space="preserve">function </w:t>
      </w:r>
      <w:r w:rsidR="00835BE0">
        <w:rPr>
          <w:rFonts w:eastAsia="Calibri" w:cs="Times New Roman"/>
        </w:rPr>
        <w:t xml:space="preserve">as it operates today </w:t>
      </w:r>
      <w:r w:rsidR="00262FB6">
        <w:rPr>
          <w:rFonts w:eastAsia="Calibri" w:cs="Times New Roman"/>
        </w:rPr>
        <w:t xml:space="preserve">with </w:t>
      </w:r>
      <w:r w:rsidR="00835BE0">
        <w:rPr>
          <w:rFonts w:eastAsia="Calibri" w:cs="Times New Roman"/>
        </w:rPr>
        <w:t xml:space="preserve">the classical understanding of </w:t>
      </w:r>
      <w:r w:rsidR="00262FB6">
        <w:rPr>
          <w:rFonts w:eastAsia="Calibri" w:cs="Times New Roman"/>
        </w:rPr>
        <w:t xml:space="preserve">public safety. </w:t>
      </w:r>
      <w:r w:rsidR="00835BE0">
        <w:rPr>
          <w:rFonts w:eastAsia="Calibri" w:cs="Times New Roman"/>
        </w:rPr>
        <w:t>The</w:t>
      </w:r>
      <w:r w:rsidR="00262FB6">
        <w:rPr>
          <w:rFonts w:eastAsia="Calibri" w:cs="Times New Roman"/>
        </w:rPr>
        <w:t xml:space="preserve"> ancients did indeed call public safety the first job of government, but what they meant by this—and indeed by protection in this context—</w:t>
      </w:r>
      <w:r w:rsidR="00835BE0">
        <w:rPr>
          <w:rFonts w:eastAsia="Calibri" w:cs="Times New Roman"/>
        </w:rPr>
        <w:t>bears little relationship to the ordinary domestic policing function</w:t>
      </w:r>
      <w:r w:rsidR="0098011E">
        <w:rPr>
          <w:rFonts w:eastAsia="Calibri" w:cs="Times New Roman"/>
        </w:rPr>
        <w:t xml:space="preserve"> extolled and privileged today. </w:t>
      </w:r>
    </w:p>
    <w:p w:rsidR="00262FB6" w:rsidRDefault="001760CA" w:rsidP="00835BE0">
      <w:pPr>
        <w:spacing w:line="480" w:lineRule="auto"/>
        <w:ind w:firstLine="720"/>
        <w:rPr>
          <w:rFonts w:eastAsia="Calibri" w:cs="Times New Roman"/>
        </w:rPr>
      </w:pPr>
      <w:r>
        <w:rPr>
          <w:rFonts w:eastAsia="Calibri" w:cs="Times New Roman"/>
        </w:rPr>
        <w:t xml:space="preserve">In the classical </w:t>
      </w:r>
      <w:r w:rsidR="00835BE0">
        <w:rPr>
          <w:rFonts w:eastAsia="Calibri" w:cs="Times New Roman"/>
        </w:rPr>
        <w:t>account, public safety referred to the existence condition for the state</w:t>
      </w:r>
      <w:r w:rsidR="0098011E">
        <w:rPr>
          <w:rFonts w:eastAsia="Calibri" w:cs="Times New Roman"/>
        </w:rPr>
        <w:t xml:space="preserve"> itself</w:t>
      </w:r>
      <w:r w:rsidR="00835BE0">
        <w:rPr>
          <w:rFonts w:eastAsia="Calibri" w:cs="Times New Roman"/>
        </w:rPr>
        <w:t>.  People</w:t>
      </w:r>
      <w:r w:rsidR="00262FB6">
        <w:rPr>
          <w:rFonts w:eastAsia="Calibri" w:cs="Times New Roman"/>
        </w:rPr>
        <w:t xml:space="preserve"> leave </w:t>
      </w:r>
      <w:r w:rsidR="0098011E">
        <w:rPr>
          <w:rFonts w:eastAsia="Calibri" w:cs="Times New Roman"/>
        </w:rPr>
        <w:t xml:space="preserve">(left) </w:t>
      </w:r>
      <w:r w:rsidR="00262FB6">
        <w:rPr>
          <w:rFonts w:eastAsia="Calibri" w:cs="Times New Roman"/>
        </w:rPr>
        <w:t xml:space="preserve">the state of nature to be assured of </w:t>
      </w:r>
      <w:r w:rsidR="00835BE0">
        <w:rPr>
          <w:rFonts w:eastAsia="Calibri" w:cs="Times New Roman"/>
        </w:rPr>
        <w:t>protection from physical violence to person and property.</w:t>
      </w:r>
      <w:r w:rsidR="00C03F76">
        <w:rPr>
          <w:rStyle w:val="FootnoteReference"/>
          <w:rFonts w:eastAsia="Calibri" w:cs="Times New Roman"/>
        </w:rPr>
        <w:footnoteReference w:id="170"/>
      </w:r>
      <w:r w:rsidR="00835BE0">
        <w:rPr>
          <w:rFonts w:eastAsia="Calibri" w:cs="Times New Roman"/>
        </w:rPr>
        <w:t xml:space="preserve">  </w:t>
      </w:r>
      <w:r w:rsidR="0098011E">
        <w:rPr>
          <w:rFonts w:eastAsia="Calibri" w:cs="Times New Roman"/>
        </w:rPr>
        <w:t xml:space="preserve">But the physical violence being referred to was not quotidian criminality; it was protection from marauders—largely from without, but </w:t>
      </w:r>
      <w:r>
        <w:rPr>
          <w:rFonts w:eastAsia="Calibri" w:cs="Times New Roman"/>
        </w:rPr>
        <w:t>also</w:t>
      </w:r>
      <w:r w:rsidR="0098011E">
        <w:rPr>
          <w:rFonts w:eastAsia="Calibri" w:cs="Times New Roman"/>
        </w:rPr>
        <w:t xml:space="preserve"> from within—that challenged the very notion that there was an entity capable of functioning as a state.</w:t>
      </w:r>
      <w:r w:rsidR="00600C21">
        <w:rPr>
          <w:rStyle w:val="FootnoteReference"/>
          <w:rFonts w:eastAsia="Calibri" w:cs="Times New Roman"/>
        </w:rPr>
        <w:footnoteReference w:id="171"/>
      </w:r>
      <w:r w:rsidR="0098011E">
        <w:rPr>
          <w:rFonts w:eastAsia="Calibri" w:cs="Times New Roman"/>
        </w:rPr>
        <w:t xml:space="preserve">  </w:t>
      </w:r>
      <w:r w:rsidR="00530A2D">
        <w:rPr>
          <w:rFonts w:eastAsia="Calibri" w:cs="Times New Roman"/>
        </w:rPr>
        <w:t>If the state can’t do this, it can’t do anything</w:t>
      </w:r>
      <w:r w:rsidR="0098011E">
        <w:rPr>
          <w:rFonts w:eastAsia="Calibri" w:cs="Times New Roman"/>
        </w:rPr>
        <w:t xml:space="preserve"> else</w:t>
      </w:r>
      <w:r w:rsidR="00530A2D">
        <w:rPr>
          <w:rFonts w:eastAsia="Calibri" w:cs="Times New Roman"/>
        </w:rPr>
        <w:t xml:space="preserve">. </w:t>
      </w:r>
      <w:r w:rsidR="0098011E">
        <w:rPr>
          <w:rFonts w:eastAsia="Calibri" w:cs="Times New Roman"/>
        </w:rPr>
        <w:t xml:space="preserve">So, this was indeed the government’s first job – both as a duty to the people within its boundaries, and also definitionally to </w:t>
      </w:r>
      <w:r>
        <w:rPr>
          <w:rFonts w:eastAsia="Calibri" w:cs="Times New Roman"/>
        </w:rPr>
        <w:t>signal</w:t>
      </w:r>
      <w:r w:rsidR="0098011E">
        <w:rPr>
          <w:rFonts w:eastAsia="Calibri" w:cs="Times New Roman"/>
        </w:rPr>
        <w:t xml:space="preserve"> and assure it was a </w:t>
      </w:r>
      <w:r>
        <w:rPr>
          <w:rFonts w:eastAsia="Calibri" w:cs="Times New Roman"/>
        </w:rPr>
        <w:t xml:space="preserve">functioning </w:t>
      </w:r>
      <w:r w:rsidR="0098011E">
        <w:rPr>
          <w:rFonts w:eastAsia="Calibri" w:cs="Times New Roman"/>
        </w:rPr>
        <w:t>government.</w:t>
      </w:r>
      <w:r w:rsidR="00835BE0" w:rsidRPr="00835BE0">
        <w:rPr>
          <w:rFonts w:eastAsia="Calibri" w:cs="Times New Roman"/>
        </w:rPr>
        <w:t xml:space="preserve"> </w:t>
      </w:r>
    </w:p>
    <w:p w:rsidR="00530A2D" w:rsidRDefault="00262FB6" w:rsidP="00C01143">
      <w:pPr>
        <w:spacing w:line="480" w:lineRule="auto"/>
        <w:rPr>
          <w:rFonts w:eastAsia="Calibri" w:cs="Times New Roman"/>
        </w:rPr>
      </w:pPr>
      <w:r>
        <w:rPr>
          <w:rFonts w:eastAsia="Calibri" w:cs="Times New Roman"/>
        </w:rPr>
        <w:tab/>
        <w:t xml:space="preserve">The very language of our Constitution </w:t>
      </w:r>
      <w:r w:rsidR="001760CA">
        <w:rPr>
          <w:rFonts w:eastAsia="Calibri" w:cs="Times New Roman"/>
        </w:rPr>
        <w:t>mirrors</w:t>
      </w:r>
      <w:r>
        <w:rPr>
          <w:rFonts w:eastAsia="Calibri" w:cs="Times New Roman"/>
        </w:rPr>
        <w:t xml:space="preserve"> this</w:t>
      </w:r>
      <w:r w:rsidR="001760CA">
        <w:rPr>
          <w:rFonts w:eastAsia="Calibri" w:cs="Times New Roman"/>
        </w:rPr>
        <w:t xml:space="preserve"> understanding</w:t>
      </w:r>
      <w:r>
        <w:rPr>
          <w:rFonts w:eastAsia="Calibri" w:cs="Times New Roman"/>
        </w:rPr>
        <w:t>. The only place “public safety” appears in it is in the Suspension Clause, which reads: “The privilege of the writ of habeas corpus shall not be suspended, unless when in cases of rebellion or invasion the public safety may require it.”</w:t>
      </w:r>
      <w:r w:rsidR="00600C21">
        <w:rPr>
          <w:rStyle w:val="FootnoteReference"/>
          <w:rFonts w:eastAsia="Calibri" w:cs="Times New Roman"/>
        </w:rPr>
        <w:footnoteReference w:id="172"/>
      </w:r>
      <w:r>
        <w:rPr>
          <w:rFonts w:eastAsia="Calibri" w:cs="Times New Roman"/>
        </w:rPr>
        <w:t xml:space="preserve"> Respecting liberty</w:t>
      </w:r>
      <w:r w:rsidR="001760CA">
        <w:rPr>
          <w:rFonts w:eastAsia="Calibri" w:cs="Times New Roman"/>
        </w:rPr>
        <w:t>—what habeas is all about—</w:t>
      </w:r>
      <w:r>
        <w:rPr>
          <w:rFonts w:eastAsia="Calibri" w:cs="Times New Roman"/>
        </w:rPr>
        <w:t xml:space="preserve">is a fundamental obligation of the state, but all bets are off in two cases: </w:t>
      </w:r>
      <w:r w:rsidR="00530A2D">
        <w:rPr>
          <w:rFonts w:eastAsia="Calibri" w:cs="Times New Roman"/>
        </w:rPr>
        <w:t xml:space="preserve">“invasion” (from the outside) or “rebellion” (from the inside), both of which threaten the </w:t>
      </w:r>
      <w:r w:rsidR="0098011E">
        <w:rPr>
          <w:rFonts w:eastAsia="Calibri" w:cs="Times New Roman"/>
        </w:rPr>
        <w:t>state</w:t>
      </w:r>
      <w:r w:rsidR="009F178A">
        <w:rPr>
          <w:rFonts w:eastAsia="Calibri" w:cs="Times New Roman"/>
        </w:rPr>
        <w:t>’s</w:t>
      </w:r>
      <w:r w:rsidR="0098011E">
        <w:rPr>
          <w:rFonts w:eastAsia="Calibri" w:cs="Times New Roman"/>
        </w:rPr>
        <w:t xml:space="preserve"> </w:t>
      </w:r>
      <w:r w:rsidR="00530A2D">
        <w:rPr>
          <w:rFonts w:eastAsia="Calibri" w:cs="Times New Roman"/>
        </w:rPr>
        <w:t>very existence.</w:t>
      </w:r>
      <w:r w:rsidR="0098011E">
        <w:rPr>
          <w:rFonts w:eastAsia="Calibri" w:cs="Times New Roman"/>
        </w:rPr>
        <w:t xml:space="preserve"> </w:t>
      </w:r>
    </w:p>
    <w:p w:rsidR="00530A2D" w:rsidRDefault="00530A2D" w:rsidP="00C01143">
      <w:pPr>
        <w:spacing w:line="480" w:lineRule="auto"/>
        <w:rPr>
          <w:rFonts w:eastAsia="Calibri" w:cs="Times New Roman"/>
        </w:rPr>
      </w:pPr>
      <w:r>
        <w:rPr>
          <w:rFonts w:eastAsia="Calibri" w:cs="Times New Roman"/>
        </w:rPr>
        <w:tab/>
        <w:t>To the extent this is the proper understanding of public safety,</w:t>
      </w:r>
      <w:r w:rsidRPr="00530A2D">
        <w:rPr>
          <w:rFonts w:eastAsia="Calibri" w:cs="Times New Roman"/>
        </w:rPr>
        <w:t xml:space="preserve"> </w:t>
      </w:r>
      <w:r w:rsidR="001E03B4">
        <w:rPr>
          <w:rFonts w:eastAsia="Calibri" w:cs="Times New Roman"/>
        </w:rPr>
        <w:t xml:space="preserve">the </w:t>
      </w:r>
      <w:r>
        <w:rPr>
          <w:rFonts w:eastAsia="Calibri" w:cs="Times New Roman"/>
        </w:rPr>
        <w:t>“first” duty takes on a different meaning altogether</w:t>
      </w:r>
      <w:r w:rsidR="001760CA">
        <w:rPr>
          <w:rFonts w:eastAsia="Calibri" w:cs="Times New Roman"/>
        </w:rPr>
        <w:t xml:space="preserve"> from the way many refer to it today</w:t>
      </w:r>
      <w:r>
        <w:rPr>
          <w:rFonts w:eastAsia="Calibri" w:cs="Times New Roman"/>
        </w:rPr>
        <w:t>. Protection is “first” in that it is essential to the existence of the state, but not necessarily that it is t</w:t>
      </w:r>
      <w:r w:rsidR="00600C21">
        <w:rPr>
          <w:rFonts w:eastAsia="Calibri" w:cs="Times New Roman"/>
        </w:rPr>
        <w:t>h</w:t>
      </w:r>
      <w:r w:rsidR="009F178A">
        <w:rPr>
          <w:rFonts w:eastAsia="Calibri" w:cs="Times New Roman"/>
        </w:rPr>
        <w:t xml:space="preserve">at </w:t>
      </w:r>
      <w:r w:rsidR="001760CA">
        <w:rPr>
          <w:rFonts w:eastAsia="Calibri" w:cs="Times New Roman"/>
        </w:rPr>
        <w:t xml:space="preserve">at </w:t>
      </w:r>
      <w:r w:rsidR="009F178A">
        <w:rPr>
          <w:rFonts w:eastAsia="Calibri" w:cs="Times New Roman"/>
        </w:rPr>
        <w:t xml:space="preserve">any </w:t>
      </w:r>
      <w:r w:rsidR="001760CA">
        <w:rPr>
          <w:rFonts w:eastAsia="Calibri" w:cs="Times New Roman"/>
        </w:rPr>
        <w:t xml:space="preserve">given </w:t>
      </w:r>
      <w:r w:rsidR="009F178A">
        <w:rPr>
          <w:rFonts w:eastAsia="Calibri" w:cs="Times New Roman"/>
        </w:rPr>
        <w:t>moment t</w:t>
      </w:r>
      <w:r>
        <w:rPr>
          <w:rFonts w:eastAsia="Calibri" w:cs="Times New Roman"/>
        </w:rPr>
        <w:t xml:space="preserve">he most important priority of the state.  </w:t>
      </w:r>
      <w:r w:rsidR="001760CA">
        <w:rPr>
          <w:rFonts w:eastAsia="Calibri" w:cs="Times New Roman"/>
        </w:rPr>
        <w:t>That</w:t>
      </w:r>
      <w:r w:rsidR="0098011E">
        <w:rPr>
          <w:rFonts w:eastAsia="Calibri" w:cs="Times New Roman"/>
        </w:rPr>
        <w:t xml:space="preserve"> </w:t>
      </w:r>
      <w:r>
        <w:rPr>
          <w:rFonts w:eastAsia="Calibri" w:cs="Times New Roman"/>
        </w:rPr>
        <w:t xml:space="preserve">will depend on the </w:t>
      </w:r>
      <w:r w:rsidR="001760CA">
        <w:rPr>
          <w:rFonts w:eastAsia="Calibri" w:cs="Times New Roman"/>
        </w:rPr>
        <w:t>immediacy</w:t>
      </w:r>
      <w:r>
        <w:rPr>
          <w:rFonts w:eastAsia="Calibri" w:cs="Times New Roman"/>
        </w:rPr>
        <w:t xml:space="preserve"> of </w:t>
      </w:r>
      <w:r w:rsidR="001760CA">
        <w:rPr>
          <w:rFonts w:eastAsia="Calibri" w:cs="Times New Roman"/>
        </w:rPr>
        <w:t xml:space="preserve">any </w:t>
      </w:r>
      <w:r>
        <w:rPr>
          <w:rFonts w:eastAsia="Calibri" w:cs="Times New Roman"/>
        </w:rPr>
        <w:t xml:space="preserve">threats to the state. </w:t>
      </w:r>
      <w:r w:rsidR="0098011E">
        <w:rPr>
          <w:rFonts w:eastAsia="Calibri" w:cs="Times New Roman"/>
        </w:rPr>
        <w:t xml:space="preserve">If the state is under attack, this both is the first duty and the top priority; otherwise, the duty remains, but the state may focus its energy in another, or many other, directions. </w:t>
      </w:r>
      <w:r w:rsidR="001760CA">
        <w:rPr>
          <w:rFonts w:eastAsia="Calibri" w:cs="Times New Roman"/>
        </w:rPr>
        <w:t xml:space="preserve">Including things like providing basic necessities to the needy. </w:t>
      </w:r>
      <w:r>
        <w:rPr>
          <w:rFonts w:eastAsia="Calibri" w:cs="Times New Roman"/>
        </w:rPr>
        <w:t xml:space="preserve">In most places </w:t>
      </w:r>
      <w:r w:rsidR="0098011E">
        <w:rPr>
          <w:rFonts w:eastAsia="Calibri" w:cs="Times New Roman"/>
        </w:rPr>
        <w:t xml:space="preserve">in the United States, </w:t>
      </w:r>
      <w:r>
        <w:rPr>
          <w:rFonts w:eastAsia="Calibri" w:cs="Times New Roman"/>
        </w:rPr>
        <w:t>at most times since, frankly, the American Revolution succeeded, the very existence of the state has not been threatened.</w:t>
      </w:r>
      <w:r w:rsidR="00600C21">
        <w:rPr>
          <w:rStyle w:val="FootnoteReference"/>
          <w:rFonts w:eastAsia="Calibri" w:cs="Times New Roman"/>
        </w:rPr>
        <w:footnoteReference w:id="173"/>
      </w:r>
      <w:r>
        <w:rPr>
          <w:rFonts w:eastAsia="Calibri" w:cs="Times New Roman"/>
        </w:rPr>
        <w:t xml:space="preserve"> (The Civil War being quite clearly an exception.</w:t>
      </w:r>
      <w:r w:rsidR="00600C21">
        <w:rPr>
          <w:rStyle w:val="FootnoteReference"/>
          <w:rFonts w:eastAsia="Calibri" w:cs="Times New Roman"/>
        </w:rPr>
        <w:footnoteReference w:id="174"/>
      </w:r>
      <w:r>
        <w:rPr>
          <w:rFonts w:eastAsia="Calibri" w:cs="Times New Roman"/>
        </w:rPr>
        <w:t>)</w:t>
      </w:r>
    </w:p>
    <w:p w:rsidR="00243816" w:rsidRDefault="0098011E" w:rsidP="009F178A">
      <w:pPr>
        <w:spacing w:line="480" w:lineRule="auto"/>
        <w:rPr>
          <w:rFonts w:eastAsia="Calibri" w:cs="Times New Roman"/>
        </w:rPr>
      </w:pPr>
      <w:r>
        <w:rPr>
          <w:rFonts w:eastAsia="Calibri" w:cs="Times New Roman"/>
        </w:rPr>
        <w:tab/>
        <w:t xml:space="preserve">If this is the proper understanding of public safety, then it is just a confusion to equate ordinary domestic policing with this first duty. </w:t>
      </w:r>
      <w:r w:rsidR="009F178A">
        <w:rPr>
          <w:rFonts w:eastAsia="Calibri" w:cs="Times New Roman"/>
        </w:rPr>
        <w:t>T</w:t>
      </w:r>
      <w:r>
        <w:rPr>
          <w:rFonts w:eastAsia="Calibri" w:cs="Times New Roman"/>
        </w:rPr>
        <w:t xml:space="preserve">here may </w:t>
      </w:r>
      <w:r w:rsidR="009F178A">
        <w:rPr>
          <w:rFonts w:eastAsia="Calibri" w:cs="Times New Roman"/>
        </w:rPr>
        <w:t>be</w:t>
      </w:r>
      <w:r>
        <w:rPr>
          <w:rFonts w:eastAsia="Calibri" w:cs="Times New Roman"/>
        </w:rPr>
        <w:t xml:space="preserve"> times when</w:t>
      </w:r>
      <w:r w:rsidR="00321164">
        <w:rPr>
          <w:rFonts w:eastAsia="Calibri" w:cs="Times New Roman"/>
        </w:rPr>
        <w:t xml:space="preserve"> domestic police take part in performing </w:t>
      </w:r>
      <w:r>
        <w:rPr>
          <w:rFonts w:eastAsia="Calibri" w:cs="Times New Roman"/>
        </w:rPr>
        <w:t>this function. Perhaps that was the case on 9/11, at least until we understood what was going on. But otherwise, the police are charged with keeping order and addressing daily crime. They are not fighting for the state’s existence, and they therefore are not performing government’s first duty.</w:t>
      </w:r>
      <w:r w:rsidR="009F178A">
        <w:rPr>
          <w:rFonts w:eastAsia="Calibri" w:cs="Times New Roman"/>
        </w:rPr>
        <w:t xml:space="preserve"> </w:t>
      </w:r>
    </w:p>
    <w:p w:rsidR="00A36613" w:rsidRDefault="00530A2D" w:rsidP="00C01143">
      <w:pPr>
        <w:spacing w:line="480" w:lineRule="auto"/>
        <w:rPr>
          <w:rFonts w:eastAsia="Calibri" w:cs="Times New Roman"/>
        </w:rPr>
      </w:pPr>
      <w:r>
        <w:rPr>
          <w:rFonts w:eastAsia="Calibri" w:cs="Times New Roman"/>
        </w:rPr>
        <w:tab/>
      </w:r>
      <w:r w:rsidR="0098011E">
        <w:rPr>
          <w:rFonts w:eastAsia="Calibri" w:cs="Times New Roman"/>
        </w:rPr>
        <w:t xml:space="preserve">If anything, this </w:t>
      </w:r>
      <w:r w:rsidR="00C837EC">
        <w:rPr>
          <w:rFonts w:eastAsia="Calibri" w:cs="Times New Roman"/>
        </w:rPr>
        <w:t xml:space="preserve">classical </w:t>
      </w:r>
      <w:r w:rsidR="00F557AA">
        <w:rPr>
          <w:rFonts w:eastAsia="Calibri" w:cs="Times New Roman"/>
        </w:rPr>
        <w:t xml:space="preserve">understanding of public safety </w:t>
      </w:r>
      <w:r w:rsidR="0098011E">
        <w:rPr>
          <w:rFonts w:eastAsia="Calibri" w:cs="Times New Roman"/>
        </w:rPr>
        <w:t xml:space="preserve">underscores </w:t>
      </w:r>
      <w:r w:rsidR="00287EB4">
        <w:rPr>
          <w:rFonts w:eastAsia="Calibri" w:cs="Times New Roman"/>
        </w:rPr>
        <w:t xml:space="preserve">the </w:t>
      </w:r>
      <w:r w:rsidR="00243816">
        <w:rPr>
          <w:rFonts w:eastAsia="Calibri" w:cs="Times New Roman"/>
        </w:rPr>
        <w:t>troubling</w:t>
      </w:r>
      <w:r w:rsidR="00287EB4">
        <w:rPr>
          <w:rFonts w:eastAsia="Calibri" w:cs="Times New Roman"/>
        </w:rPr>
        <w:t xml:space="preserve"> </w:t>
      </w:r>
      <w:r w:rsidR="00243816">
        <w:rPr>
          <w:rFonts w:eastAsia="Calibri" w:cs="Times New Roman"/>
        </w:rPr>
        <w:t>s</w:t>
      </w:r>
      <w:r>
        <w:rPr>
          <w:rFonts w:eastAsia="Calibri" w:cs="Times New Roman"/>
        </w:rPr>
        <w:t>pillover that occur</w:t>
      </w:r>
      <w:r w:rsidR="00243816">
        <w:rPr>
          <w:rFonts w:eastAsia="Calibri" w:cs="Times New Roman"/>
        </w:rPr>
        <w:t>s</w:t>
      </w:r>
      <w:r>
        <w:rPr>
          <w:rFonts w:eastAsia="Calibri" w:cs="Times New Roman"/>
        </w:rPr>
        <w:t xml:space="preserve"> between the military, which indeed performs this </w:t>
      </w:r>
      <w:r w:rsidR="00287EB4">
        <w:rPr>
          <w:rFonts w:eastAsia="Calibri" w:cs="Times New Roman"/>
        </w:rPr>
        <w:t>“first duty</w:t>
      </w:r>
      <w:r w:rsidR="00321164">
        <w:rPr>
          <w:rFonts w:eastAsia="Calibri" w:cs="Times New Roman"/>
        </w:rPr>
        <w:t>,</w:t>
      </w:r>
      <w:r w:rsidR="00287EB4">
        <w:rPr>
          <w:rFonts w:eastAsia="Calibri" w:cs="Times New Roman"/>
        </w:rPr>
        <w:t xml:space="preserve">” </w:t>
      </w:r>
      <w:r>
        <w:rPr>
          <w:rFonts w:eastAsia="Calibri" w:cs="Times New Roman"/>
        </w:rPr>
        <w:t xml:space="preserve">and the domestic police, which do not. </w:t>
      </w:r>
      <w:r w:rsidR="00243816">
        <w:rPr>
          <w:rFonts w:eastAsia="Calibri" w:cs="Times New Roman"/>
        </w:rPr>
        <w:t xml:space="preserve">Police love to take on this military bearing, </w:t>
      </w:r>
      <w:r w:rsidR="00287EB4">
        <w:rPr>
          <w:rFonts w:eastAsia="Calibri" w:cs="Times New Roman"/>
        </w:rPr>
        <w:t xml:space="preserve">and there are far too many Americans who are happy to treat them basically as such (note the use of the word “civilian” in contrast to the police) </w:t>
      </w:r>
      <w:r w:rsidR="00243816">
        <w:rPr>
          <w:rFonts w:eastAsia="Calibri" w:cs="Times New Roman"/>
        </w:rPr>
        <w:t xml:space="preserve">but it simply is </w:t>
      </w:r>
      <w:r w:rsidR="00287EB4">
        <w:rPr>
          <w:rFonts w:eastAsia="Calibri" w:cs="Times New Roman"/>
        </w:rPr>
        <w:t xml:space="preserve">both inapt and </w:t>
      </w:r>
      <w:r w:rsidR="00243816">
        <w:rPr>
          <w:rFonts w:eastAsia="Calibri" w:cs="Times New Roman"/>
        </w:rPr>
        <w:t xml:space="preserve">inappropriate. </w:t>
      </w:r>
      <w:r w:rsidR="00287EB4">
        <w:rPr>
          <w:rFonts w:eastAsia="Calibri" w:cs="Times New Roman"/>
        </w:rPr>
        <w:t>It’s easy to see why the police like the comparison. If the military is indeed the front line of classical public safety, and are accorded certain privileges and valorization for this, why not bask in that glory? This construct is fed by the fact that since the turn of the 20</w:t>
      </w:r>
      <w:r w:rsidR="00287EB4" w:rsidRPr="00287EB4">
        <w:rPr>
          <w:rFonts w:eastAsia="Calibri" w:cs="Times New Roman"/>
          <w:vertAlign w:val="superscript"/>
        </w:rPr>
        <w:t>th</w:t>
      </w:r>
      <w:r w:rsidR="00287EB4">
        <w:rPr>
          <w:rFonts w:eastAsia="Calibri" w:cs="Times New Roman"/>
        </w:rPr>
        <w:t xml:space="preserve"> century police forces—in an attempt to “professionalize” and remove themselves from control by political machines—adopted a military structure.</w:t>
      </w:r>
      <w:r w:rsidR="00600C21">
        <w:rPr>
          <w:rStyle w:val="FootnoteReference"/>
          <w:rFonts w:eastAsia="Calibri" w:cs="Times New Roman"/>
        </w:rPr>
        <w:footnoteReference w:id="175"/>
      </w:r>
      <w:r w:rsidR="00287EB4">
        <w:rPr>
          <w:rFonts w:eastAsia="Calibri" w:cs="Times New Roman"/>
        </w:rPr>
        <w:t xml:space="preserve"> And many former members of the military become domestic police.</w:t>
      </w:r>
      <w:r w:rsidR="004B6C71">
        <w:rPr>
          <w:rStyle w:val="FootnoteReference"/>
          <w:rFonts w:eastAsia="Calibri" w:cs="Times New Roman"/>
        </w:rPr>
        <w:footnoteReference w:id="176"/>
      </w:r>
      <w:r w:rsidR="00287EB4">
        <w:rPr>
          <w:rFonts w:eastAsia="Calibri" w:cs="Times New Roman"/>
        </w:rPr>
        <w:t xml:space="preserve"> But the police are not the army, and we are not occupied by them. </w:t>
      </w:r>
      <w:r w:rsidR="00A36613">
        <w:rPr>
          <w:rFonts w:eastAsia="Calibri" w:cs="Times New Roman"/>
        </w:rPr>
        <w:t>T</w:t>
      </w:r>
      <w:r w:rsidR="00287EB4">
        <w:rPr>
          <w:rFonts w:eastAsia="Calibri" w:cs="Times New Roman"/>
        </w:rPr>
        <w:t>he framers of the Constitution were terrified of a standing army, and the Third Amendment, prohibiting the quartering of troops, was an attempt to guard against it.</w:t>
      </w:r>
      <w:r w:rsidR="00600C21">
        <w:rPr>
          <w:rStyle w:val="FootnoteReference"/>
          <w:rFonts w:eastAsia="Calibri" w:cs="Times New Roman"/>
        </w:rPr>
        <w:footnoteReference w:id="177"/>
      </w:r>
      <w:r w:rsidR="00600C21">
        <w:rPr>
          <w:rFonts w:eastAsia="Calibri" w:cs="Times New Roman"/>
        </w:rPr>
        <w:t xml:space="preserve"> </w:t>
      </w:r>
      <w:r w:rsidR="00287EB4">
        <w:rPr>
          <w:rFonts w:eastAsia="Calibri" w:cs="Times New Roman"/>
        </w:rPr>
        <w:t>The Posse Comitatus Act, and the Insurrection Act, are intended to prohibit the use of the actual military internally except when public safety is threatened in the classical sense.</w:t>
      </w:r>
      <w:r w:rsidR="00600C21">
        <w:rPr>
          <w:rStyle w:val="FootnoteReference"/>
          <w:rFonts w:eastAsia="Calibri" w:cs="Times New Roman"/>
        </w:rPr>
        <w:footnoteReference w:id="178"/>
      </w:r>
      <w:r w:rsidR="00321164">
        <w:rPr>
          <w:rFonts w:eastAsia="Calibri" w:cs="Times New Roman"/>
        </w:rPr>
        <w:t xml:space="preserve"> </w:t>
      </w:r>
    </w:p>
    <w:p w:rsidR="009F178A" w:rsidRDefault="00287EB4" w:rsidP="00600C21">
      <w:pPr>
        <w:spacing w:line="480" w:lineRule="auto"/>
        <w:ind w:firstLine="720"/>
        <w:rPr>
          <w:rFonts w:eastAsia="Calibri" w:cs="Times New Roman"/>
        </w:rPr>
      </w:pPr>
      <w:r>
        <w:rPr>
          <w:rFonts w:eastAsia="Calibri" w:cs="Times New Roman"/>
        </w:rPr>
        <w:t xml:space="preserve">If this </w:t>
      </w:r>
      <w:r w:rsidR="00A36613">
        <w:rPr>
          <w:rFonts w:eastAsia="Calibri" w:cs="Times New Roman"/>
        </w:rPr>
        <w:t xml:space="preserve">classical understanding </w:t>
      </w:r>
      <w:r>
        <w:rPr>
          <w:rFonts w:eastAsia="Calibri" w:cs="Times New Roman"/>
        </w:rPr>
        <w:t xml:space="preserve">is the meaning of public safety, the police are not the </w:t>
      </w:r>
      <w:r w:rsidR="00C837EC">
        <w:rPr>
          <w:rFonts w:eastAsia="Calibri" w:cs="Times New Roman"/>
        </w:rPr>
        <w:t>foot soldiers</w:t>
      </w:r>
      <w:r>
        <w:rPr>
          <w:rFonts w:eastAsia="Calibri" w:cs="Times New Roman"/>
        </w:rPr>
        <w:t xml:space="preserve"> of </w:t>
      </w:r>
      <w:r w:rsidR="00C837EC">
        <w:rPr>
          <w:rFonts w:eastAsia="Calibri" w:cs="Times New Roman"/>
        </w:rPr>
        <w:t xml:space="preserve">government’s </w:t>
      </w:r>
      <w:r>
        <w:rPr>
          <w:rFonts w:eastAsia="Calibri" w:cs="Times New Roman"/>
        </w:rPr>
        <w:t>“first job</w:t>
      </w:r>
      <w:r w:rsidR="00C837EC">
        <w:rPr>
          <w:rFonts w:eastAsia="Calibri" w:cs="Times New Roman"/>
        </w:rPr>
        <w:t>.</w:t>
      </w:r>
      <w:r>
        <w:rPr>
          <w:rFonts w:eastAsia="Calibri" w:cs="Times New Roman"/>
        </w:rPr>
        <w:t>”</w:t>
      </w:r>
      <w:r w:rsidR="00A36613">
        <w:rPr>
          <w:rFonts w:eastAsia="Calibri" w:cs="Times New Roman"/>
        </w:rPr>
        <w:t xml:space="preserve"> </w:t>
      </w:r>
      <w:r w:rsidR="00321164">
        <w:rPr>
          <w:rFonts w:eastAsia="Calibri" w:cs="Times New Roman"/>
        </w:rPr>
        <w:t xml:space="preserve">To the contrary, domestic policing and this sort of public safety are intended to be two very different things. </w:t>
      </w:r>
      <w:r w:rsidR="009F178A">
        <w:rPr>
          <w:rFonts w:eastAsia="Calibri" w:cs="Times New Roman"/>
        </w:rPr>
        <w:t>This hardly diminishes the importance of what the police do—providing physical protection to the citizenry on a daily basis—but it does put it in context. It is one of many functions that the state needs to provide. And how it measures up against the others may on the specific needs of specific communities at particular times.</w:t>
      </w:r>
      <w:r w:rsidR="00C837EC" w:rsidRPr="00C837EC">
        <w:rPr>
          <w:rFonts w:eastAsia="Calibri" w:cs="Times New Roman"/>
        </w:rPr>
        <w:t xml:space="preserve"> </w:t>
      </w:r>
      <w:r w:rsidR="00C837EC">
        <w:rPr>
          <w:rFonts w:eastAsia="Calibri" w:cs="Times New Roman"/>
        </w:rPr>
        <w:t xml:space="preserve">In truth, in communities that need the protection function the most on a daily basis, all the other elements of need also are present—and were they not, the need for the police would be diminished. </w:t>
      </w:r>
    </w:p>
    <w:p w:rsidR="00A36613" w:rsidRDefault="00A36613" w:rsidP="00A36613">
      <w:pPr>
        <w:spacing w:line="480" w:lineRule="auto"/>
        <w:rPr>
          <w:rFonts w:eastAsia="Calibri" w:cs="Times New Roman"/>
        </w:rPr>
      </w:pPr>
      <w:r>
        <w:rPr>
          <w:rFonts w:eastAsia="Calibri" w:cs="Times New Roman"/>
        </w:rPr>
        <w:tab/>
        <w:t xml:space="preserve">Of course, the meaning of public safety can evolve, and apparently has done so. But that is the whole point here. In an evolutionary sense, if the protection function is to be first, it must justify itself in some other way. </w:t>
      </w:r>
    </w:p>
    <w:p w:rsidR="00C01143" w:rsidRPr="005B1095" w:rsidRDefault="00C01143" w:rsidP="00C01143">
      <w:pPr>
        <w:spacing w:line="480" w:lineRule="auto"/>
        <w:rPr>
          <w:rFonts w:eastAsia="Calibri" w:cs="Times New Roman"/>
          <w:i/>
        </w:rPr>
      </w:pPr>
      <w:r w:rsidRPr="005B1095">
        <w:rPr>
          <w:rFonts w:eastAsia="Calibri" w:cs="Times New Roman"/>
          <w:i/>
        </w:rPr>
        <w:t>B.</w:t>
      </w:r>
      <w:r w:rsidRPr="005B1095">
        <w:rPr>
          <w:rFonts w:eastAsia="Calibri" w:cs="Times New Roman"/>
          <w:i/>
        </w:rPr>
        <w:tab/>
        <w:t>Authority</w:t>
      </w:r>
    </w:p>
    <w:p w:rsidR="00C01143" w:rsidRPr="005B1095" w:rsidRDefault="002D05F3" w:rsidP="00C01143">
      <w:pPr>
        <w:spacing w:line="480" w:lineRule="auto"/>
        <w:ind w:firstLine="720"/>
        <w:rPr>
          <w:rFonts w:eastAsia="Calibri" w:cs="Times New Roman"/>
        </w:rPr>
      </w:pPr>
      <w:r>
        <w:rPr>
          <w:rFonts w:eastAsia="Calibri" w:cs="Times New Roman"/>
        </w:rPr>
        <w:t xml:space="preserve">Perhaps justification comes not from </w:t>
      </w:r>
      <w:r w:rsidR="0018229D">
        <w:rPr>
          <w:rFonts w:eastAsia="Calibri" w:cs="Times New Roman"/>
        </w:rPr>
        <w:t>the necessity for the protection function, but from government’s authority to provide it. But m</w:t>
      </w:r>
      <w:r w:rsidR="00C01143" w:rsidRPr="005B1095">
        <w:rPr>
          <w:rFonts w:eastAsia="Calibri" w:cs="Times New Roman"/>
        </w:rPr>
        <w:t xml:space="preserve">oving from necessity to authority, one thing is surely true:  should it wish to, government is empowered to provide all the other aspects of safety </w:t>
      </w:r>
      <w:r w:rsidR="00A36613" w:rsidRPr="005B1095">
        <w:rPr>
          <w:rFonts w:eastAsia="Calibri" w:cs="Times New Roman"/>
        </w:rPr>
        <w:t xml:space="preserve">equally </w:t>
      </w:r>
      <w:r w:rsidR="00C01143" w:rsidRPr="005B1095">
        <w:rPr>
          <w:rFonts w:eastAsia="Calibri" w:cs="Times New Roman"/>
        </w:rPr>
        <w:t>as it is of protection.  It’s elementary—government 101—that government possesses vast, vast authority—what we historically have called the power of “police.”</w:t>
      </w:r>
      <w:r w:rsidR="00C01143" w:rsidRPr="005B1095">
        <w:rPr>
          <w:rFonts w:eastAsia="Calibri" w:cs="Times New Roman"/>
          <w:vertAlign w:val="superscript"/>
        </w:rPr>
        <w:t xml:space="preserve"> </w:t>
      </w:r>
      <w:r w:rsidR="00C01143" w:rsidRPr="005B1095">
        <w:rPr>
          <w:rFonts w:eastAsia="Calibri" w:cs="Times New Roman"/>
          <w:vertAlign w:val="superscript"/>
        </w:rPr>
        <w:footnoteReference w:id="179"/>
      </w:r>
      <w:r w:rsidR="00C01143" w:rsidRPr="005B1095">
        <w:rPr>
          <w:rFonts w:eastAsia="Calibri" w:cs="Times New Roman"/>
        </w:rPr>
        <w:t xml:space="preserve">  With that power, government </w:t>
      </w:r>
      <w:r w:rsidR="00C01143" w:rsidRPr="005B1095">
        <w:rPr>
          <w:rFonts w:eastAsia="Calibri" w:cs="Times New Roman"/>
          <w:i/>
        </w:rPr>
        <w:t>may</w:t>
      </w:r>
      <w:r w:rsidR="00C01143" w:rsidRPr="005B1095">
        <w:rPr>
          <w:rFonts w:eastAsia="Calibri" w:cs="Times New Roman"/>
        </w:rPr>
        <w:t xml:space="preserve"> do almost anything, and hardly is limited to protection.  Blackstone explained that the power of “public police and </w:t>
      </w:r>
      <w:proofErr w:type="spellStart"/>
      <w:r w:rsidR="00C01143" w:rsidRPr="005B1095">
        <w:rPr>
          <w:rFonts w:eastAsia="Calibri" w:cs="Times New Roman"/>
        </w:rPr>
        <w:t>oeconomy</w:t>
      </w:r>
      <w:proofErr w:type="spellEnd"/>
      <w:r w:rsidR="00C01143" w:rsidRPr="005B1095">
        <w:rPr>
          <w:rFonts w:eastAsia="Calibri" w:cs="Times New Roman"/>
        </w:rPr>
        <w:t xml:space="preserve">” encompassed </w:t>
      </w:r>
    </w:p>
    <w:p w:rsidR="00C01143" w:rsidRPr="005B1095" w:rsidRDefault="00C01143" w:rsidP="00C01143">
      <w:pPr>
        <w:ind w:left="720" w:right="720"/>
        <w:rPr>
          <w:rFonts w:eastAsia="Calibri" w:cs="Times New Roman"/>
        </w:rPr>
      </w:pPr>
      <w:r w:rsidRPr="005B1095">
        <w:rPr>
          <w:rFonts w:eastAsia="Calibri" w:cs="Times New Roman"/>
        </w:rPr>
        <w:t xml:space="preserve">“the due regulation and domestic order of the kingdom: whereby the individuals of the state, like members of a well-governed family, are bound to conform their general </w:t>
      </w:r>
      <w:proofErr w:type="spellStart"/>
      <w:r w:rsidRPr="005B1095">
        <w:rPr>
          <w:rFonts w:eastAsia="Calibri" w:cs="Times New Roman"/>
        </w:rPr>
        <w:t>behaviour</w:t>
      </w:r>
      <w:proofErr w:type="spellEnd"/>
      <w:r w:rsidRPr="005B1095">
        <w:rPr>
          <w:rFonts w:eastAsia="Calibri" w:cs="Times New Roman"/>
        </w:rPr>
        <w:t xml:space="preserve"> to the rules of propriety, good </w:t>
      </w:r>
      <w:proofErr w:type="spellStart"/>
      <w:r w:rsidRPr="005B1095">
        <w:rPr>
          <w:rFonts w:eastAsia="Calibri" w:cs="Times New Roman"/>
        </w:rPr>
        <w:t>neighbourhood</w:t>
      </w:r>
      <w:proofErr w:type="spellEnd"/>
      <w:r w:rsidRPr="005B1095">
        <w:rPr>
          <w:rFonts w:eastAsia="Calibri" w:cs="Times New Roman"/>
        </w:rPr>
        <w:t>, and good manners; and to be decent, industrious, and inoffensive in their respective stations.”</w:t>
      </w:r>
      <w:r w:rsidRPr="005B1095">
        <w:rPr>
          <w:rStyle w:val="FootnoteReference"/>
          <w:rFonts w:eastAsia="Calibri" w:cs="Times New Roman"/>
          <w:sz w:val="24"/>
        </w:rPr>
        <w:footnoteReference w:id="180"/>
      </w:r>
      <w:r w:rsidRPr="005B1095">
        <w:rPr>
          <w:rFonts w:eastAsia="Calibri" w:cs="Times New Roman"/>
        </w:rPr>
        <w:t xml:space="preserve">  </w:t>
      </w:r>
    </w:p>
    <w:p w:rsidR="00C01143" w:rsidRPr="005B1095" w:rsidRDefault="00C01143" w:rsidP="00C01143">
      <w:pPr>
        <w:ind w:left="720" w:right="720" w:firstLine="720"/>
        <w:rPr>
          <w:rFonts w:eastAsia="Calibri" w:cs="Times New Roman"/>
        </w:rPr>
      </w:pPr>
    </w:p>
    <w:p w:rsidR="00C01143" w:rsidRPr="005B1095" w:rsidRDefault="00C01143" w:rsidP="00C01143">
      <w:pPr>
        <w:spacing w:line="480" w:lineRule="auto"/>
        <w:rPr>
          <w:rFonts w:eastAsia="Calibri" w:cs="Times New Roman"/>
        </w:rPr>
      </w:pPr>
      <w:r w:rsidRPr="005B1095">
        <w:rPr>
          <w:rFonts w:eastAsia="Calibri" w:cs="Times New Roman"/>
        </w:rPr>
        <w:t xml:space="preserve">Although the “domestic order of the kingdom” resonates with assuring physical safety, the same hardly is true of all the other things Blackstone lists, like rules for propriety, decency, and industriousness.  </w:t>
      </w:r>
    </w:p>
    <w:p w:rsidR="00C01143" w:rsidRPr="005B1095" w:rsidRDefault="0018229D" w:rsidP="00C01143">
      <w:pPr>
        <w:spacing w:line="480" w:lineRule="auto"/>
        <w:ind w:firstLine="720"/>
        <w:rPr>
          <w:rFonts w:eastAsia="Calibri" w:cs="Times New Roman"/>
        </w:rPr>
      </w:pPr>
      <w:r>
        <w:rPr>
          <w:rFonts w:eastAsia="Calibri" w:cs="Times New Roman"/>
        </w:rPr>
        <w:t>The very same broad authority exists</w:t>
      </w:r>
      <w:r w:rsidR="00C01143" w:rsidRPr="005B1095">
        <w:rPr>
          <w:rFonts w:eastAsia="Calibri" w:cs="Times New Roman"/>
        </w:rPr>
        <w:t xml:space="preserve"> on our side of the common law pond.  The Supreme Court, in one of its earlier statements on the subject, in </w:t>
      </w:r>
      <w:r w:rsidR="00C01143" w:rsidRPr="005B1095">
        <w:rPr>
          <w:rFonts w:eastAsia="Calibri" w:cs="Times New Roman"/>
          <w:i/>
        </w:rPr>
        <w:t xml:space="preserve">New York v. City of </w:t>
      </w:r>
      <w:proofErr w:type="spellStart"/>
      <w:r w:rsidR="00C01143" w:rsidRPr="005B1095">
        <w:rPr>
          <w:rFonts w:eastAsia="Calibri" w:cs="Times New Roman"/>
          <w:i/>
        </w:rPr>
        <w:t>Miln</w:t>
      </w:r>
      <w:proofErr w:type="spellEnd"/>
      <w:r w:rsidR="00C01143" w:rsidRPr="005B1095">
        <w:rPr>
          <w:rFonts w:eastAsia="Calibri" w:cs="Times New Roman"/>
        </w:rPr>
        <w:t xml:space="preserve"> (1837), said the state had:</w:t>
      </w:r>
    </w:p>
    <w:p w:rsidR="00C01143" w:rsidRPr="005B1095" w:rsidRDefault="00C01143" w:rsidP="00C01143">
      <w:pPr>
        <w:ind w:left="720" w:right="720"/>
        <w:rPr>
          <w:rFonts w:eastAsia="Calibri" w:cs="Times New Roman"/>
        </w:rPr>
      </w:pPr>
      <w:r w:rsidRPr="005B1095">
        <w:rPr>
          <w:rFonts w:eastAsia="Calibri" w:cs="Times New Roman"/>
        </w:rPr>
        <w:t>“</w:t>
      </w:r>
      <w:r w:rsidRPr="005B1095">
        <w:rPr>
          <w:rFonts w:eastAsia="Calibri" w:cs="Times New Roman"/>
          <w:i/>
        </w:rPr>
        <w:t>the bounden and solemn duty . . .  to advance the safety, happiness, and prosperity of its people, and to provide for its general welfare,</w:t>
      </w:r>
      <w:r w:rsidRPr="005B1095">
        <w:rPr>
          <w:rFonts w:eastAsia="Calibri" w:cs="Times New Roman"/>
        </w:rPr>
        <w:t xml:space="preserve"> </w:t>
      </w:r>
      <w:r w:rsidRPr="005B1095">
        <w:rPr>
          <w:rFonts w:eastAsia="Calibri" w:cs="Times New Roman"/>
          <w:i/>
        </w:rPr>
        <w:t>by any and every act of legislation, which it may deem to be conducive to these ends,</w:t>
      </w:r>
      <w:r w:rsidRPr="005B1095">
        <w:rPr>
          <w:rFonts w:eastAsia="Calibri" w:cs="Times New Roman"/>
        </w:rPr>
        <w:t xml:space="preserve"> where the power over the particular subject, or the manner of its exercise, is not surrendered or restrained [by the Constitution]. That all those powers which relate to merely municipal legislation, or what may, perhaps, more properly be called internal police, are not thus surrendered or restrained; and that, consequently, in relation to these, </w:t>
      </w:r>
      <w:r w:rsidRPr="005B1095">
        <w:rPr>
          <w:rFonts w:eastAsia="Calibri" w:cs="Times New Roman"/>
          <w:i/>
        </w:rPr>
        <w:t>the authority of a state is complete, unqualified, and exclusive.</w:t>
      </w:r>
      <w:r w:rsidRPr="005B1095">
        <w:rPr>
          <w:rFonts w:eastAsia="Calibri" w:cs="Times New Roman"/>
        </w:rPr>
        <w:t>"</w:t>
      </w:r>
      <w:r w:rsidRPr="005B1095">
        <w:rPr>
          <w:rStyle w:val="FootnoteReference"/>
          <w:rFonts w:eastAsia="Calibri" w:cs="Times New Roman"/>
          <w:sz w:val="24"/>
        </w:rPr>
        <w:footnoteReference w:id="181"/>
      </w:r>
    </w:p>
    <w:p w:rsidR="00C01143" w:rsidRPr="005B1095" w:rsidRDefault="00C01143" w:rsidP="00C01143">
      <w:pPr>
        <w:ind w:right="720"/>
        <w:rPr>
          <w:rFonts w:eastAsia="Calibri" w:cs="Times New Roman"/>
        </w:rPr>
      </w:pPr>
    </w:p>
    <w:p w:rsidR="00C01143" w:rsidRPr="005B1095" w:rsidRDefault="00C01143" w:rsidP="00C01143">
      <w:pPr>
        <w:spacing w:line="480" w:lineRule="auto"/>
        <w:rPr>
          <w:rFonts w:eastAsia="Calibri" w:cs="Times New Roman"/>
        </w:rPr>
      </w:pPr>
      <w:r w:rsidRPr="005B1095">
        <w:rPr>
          <w:rFonts w:eastAsia="Calibri" w:cs="Times New Roman"/>
        </w:rPr>
        <w:t>The government has the “</w:t>
      </w:r>
      <w:r w:rsidRPr="005B1095">
        <w:rPr>
          <w:rFonts w:eastAsia="Calibri" w:cs="Times New Roman"/>
          <w:i/>
        </w:rPr>
        <w:t>unqualified”</w:t>
      </w:r>
      <w:r w:rsidRPr="005B1095">
        <w:rPr>
          <w:rFonts w:eastAsia="Calibri" w:cs="Times New Roman"/>
        </w:rPr>
        <w:t xml:space="preserve"> power, indeed the “duty”—to assure not just safety</w:t>
      </w:r>
      <w:r w:rsidR="0018229D">
        <w:rPr>
          <w:rFonts w:eastAsia="Calibri" w:cs="Times New Roman"/>
        </w:rPr>
        <w:t xml:space="preserve"> (i.e., physical protection)</w:t>
      </w:r>
      <w:r w:rsidRPr="005B1095">
        <w:rPr>
          <w:rFonts w:eastAsia="Calibri" w:cs="Times New Roman"/>
        </w:rPr>
        <w:t xml:space="preserve">, but happiness, prosperity, and general welfare.  </w:t>
      </w:r>
    </w:p>
    <w:p w:rsidR="00C01143" w:rsidRPr="005B1095" w:rsidRDefault="00C01143" w:rsidP="00C01143">
      <w:pPr>
        <w:spacing w:line="480" w:lineRule="auto"/>
        <w:ind w:firstLine="720"/>
        <w:rPr>
          <w:rFonts w:eastAsia="Calibri" w:cs="Times New Roman"/>
        </w:rPr>
      </w:pPr>
      <w:r w:rsidRPr="005B1095">
        <w:rPr>
          <w:rFonts w:eastAsia="Calibri" w:cs="Times New Roman"/>
        </w:rPr>
        <w:t xml:space="preserve">The police power not only is immense in theory, it’s been utilized for centuries in ways that sweep well beyond the protection function.  Markus </w:t>
      </w:r>
      <w:proofErr w:type="spellStart"/>
      <w:r w:rsidRPr="005B1095">
        <w:rPr>
          <w:rFonts w:eastAsia="Calibri" w:cs="Times New Roman"/>
        </w:rPr>
        <w:t>Dubber</w:t>
      </w:r>
      <w:proofErr w:type="spellEnd"/>
      <w:r w:rsidRPr="005B1095">
        <w:rPr>
          <w:rFonts w:eastAsia="Calibri" w:cs="Times New Roman"/>
        </w:rPr>
        <w:t xml:space="preserve"> provides </w:t>
      </w:r>
      <w:r w:rsidR="00C837EC">
        <w:rPr>
          <w:rFonts w:eastAsia="Calibri" w:cs="Times New Roman"/>
        </w:rPr>
        <w:t>an accounting</w:t>
      </w:r>
      <w:r w:rsidRPr="005B1095">
        <w:rPr>
          <w:rFonts w:eastAsia="Calibri" w:cs="Times New Roman"/>
        </w:rPr>
        <w:t xml:space="preserve"> of some of the earliest </w:t>
      </w:r>
      <w:r w:rsidR="0018229D">
        <w:rPr>
          <w:rFonts w:eastAsia="Calibri" w:cs="Times New Roman"/>
        </w:rPr>
        <w:t>“police”</w:t>
      </w:r>
      <w:r w:rsidRPr="005B1095">
        <w:rPr>
          <w:rFonts w:eastAsia="Calibri" w:cs="Times New Roman"/>
        </w:rPr>
        <w:t xml:space="preserve"> regulations; a list from Germany in 1530 contains police offenses involving, among others, “the sale of wool cloth,” “the sale of ginger,” “of Jews and their usury,” “flute players,” and on and on.</w:t>
      </w:r>
      <w:r w:rsidRPr="005B1095">
        <w:rPr>
          <w:rStyle w:val="FootnoteReference"/>
          <w:rFonts w:eastAsia="Calibri" w:cs="Times New Roman"/>
          <w:sz w:val="24"/>
        </w:rPr>
        <w:footnoteReference w:id="182"/>
      </w:r>
      <w:r w:rsidRPr="005B1095">
        <w:rPr>
          <w:rFonts w:eastAsia="Calibri" w:cs="Times New Roman"/>
        </w:rPr>
        <w:t xml:space="preserve"> We did the same in the 18</w:t>
      </w:r>
      <w:r w:rsidRPr="005B1095">
        <w:rPr>
          <w:rFonts w:eastAsia="Calibri" w:cs="Times New Roman"/>
          <w:vertAlign w:val="superscript"/>
        </w:rPr>
        <w:t>th</w:t>
      </w:r>
      <w:r w:rsidRPr="005B1095">
        <w:rPr>
          <w:rFonts w:eastAsia="Calibri" w:cs="Times New Roman"/>
        </w:rPr>
        <w:t xml:space="preserve"> century here, with regulations on “the exportation of flaxseed,” “gaming,” “sole leather,” “pot and pearl ashes.”</w:t>
      </w:r>
      <w:r w:rsidRPr="005B1095">
        <w:rPr>
          <w:rFonts w:eastAsia="Calibri" w:cs="Times New Roman"/>
          <w:vertAlign w:val="superscript"/>
        </w:rPr>
        <w:footnoteReference w:id="183"/>
      </w:r>
      <w:r w:rsidRPr="005B1095">
        <w:rPr>
          <w:rFonts w:eastAsia="Calibri" w:cs="Times New Roman"/>
        </w:rPr>
        <w:t xml:space="preserve">  It’s no different, today.  New York’s administrative code, under the heading of “public safety,” contains criminal prohibitions on as diverse a set of items as “street shows” (you can’t put on a show out your window), “serial acts of public lewdness” (apparently you get to “intentionally expose the private or intimate” parts of your body so long as it is only once every three years), “allowing” children to have cell phones at school, possession of handcuff or thumb cuffs, and the like.</w:t>
      </w:r>
      <w:r w:rsidRPr="005B1095">
        <w:rPr>
          <w:rStyle w:val="FootnoteReference"/>
          <w:rFonts w:eastAsia="Calibri" w:cs="Times New Roman"/>
          <w:sz w:val="24"/>
        </w:rPr>
        <w:footnoteReference w:id="184"/>
      </w:r>
      <w:r w:rsidRPr="005B1095">
        <w:rPr>
          <w:rFonts w:eastAsia="Calibri" w:cs="Times New Roman"/>
        </w:rPr>
        <w:t xml:space="preserve">  Now, many of these have historical explanations, and some relate to the protection function; bans on street juggling may seem quaint, but apparently </w:t>
      </w:r>
      <w:r w:rsidR="0018229D">
        <w:rPr>
          <w:rFonts w:eastAsia="Calibri" w:cs="Times New Roman"/>
        </w:rPr>
        <w:t>jugglers were believed a</w:t>
      </w:r>
      <w:r w:rsidRPr="005B1095">
        <w:rPr>
          <w:rFonts w:eastAsia="Calibri" w:cs="Times New Roman"/>
        </w:rPr>
        <w:t xml:space="preserve"> real </w:t>
      </w:r>
      <w:r w:rsidR="0018229D">
        <w:rPr>
          <w:rFonts w:eastAsia="Calibri" w:cs="Times New Roman"/>
        </w:rPr>
        <w:t>threat</w:t>
      </w:r>
      <w:r w:rsidRPr="005B1095">
        <w:rPr>
          <w:rFonts w:eastAsia="Calibri" w:cs="Times New Roman"/>
        </w:rPr>
        <w:t xml:space="preserve"> at one time.</w:t>
      </w:r>
      <w:r w:rsidRPr="005B1095">
        <w:rPr>
          <w:rStyle w:val="FootnoteReference"/>
          <w:rFonts w:eastAsia="Calibri" w:cs="Times New Roman"/>
          <w:sz w:val="24"/>
        </w:rPr>
        <w:footnoteReference w:id="185"/>
      </w:r>
      <w:r w:rsidRPr="005B1095">
        <w:rPr>
          <w:rFonts w:eastAsia="Calibri" w:cs="Times New Roman"/>
        </w:rPr>
        <w:t xml:space="preserve">  Still, from the time government really got going, the police power was extended to touch on virtually any problem of the moment, reaching well beyond protection.  </w:t>
      </w:r>
    </w:p>
    <w:p w:rsidR="00C01143" w:rsidRDefault="00C01143" w:rsidP="00C01143">
      <w:pPr>
        <w:spacing w:line="480" w:lineRule="auto"/>
        <w:rPr>
          <w:rFonts w:eastAsia="Calibri" w:cs="Times New Roman"/>
        </w:rPr>
      </w:pPr>
      <w:r w:rsidRPr="005B1095">
        <w:rPr>
          <w:rFonts w:eastAsia="Calibri" w:cs="Times New Roman"/>
        </w:rPr>
        <w:tab/>
        <w:t xml:space="preserve">Which is to say:  if the question is what government </w:t>
      </w:r>
      <w:r w:rsidRPr="005B1095">
        <w:rPr>
          <w:rFonts w:eastAsia="Calibri" w:cs="Times New Roman"/>
          <w:i/>
        </w:rPr>
        <w:t>can</w:t>
      </w:r>
      <w:r w:rsidRPr="005B1095">
        <w:rPr>
          <w:rFonts w:eastAsia="Calibri" w:cs="Times New Roman"/>
        </w:rPr>
        <w:t xml:space="preserve"> do to assure safety</w:t>
      </w:r>
      <w:r w:rsidR="0018229D">
        <w:rPr>
          <w:rFonts w:eastAsia="Calibri" w:cs="Times New Roman"/>
        </w:rPr>
        <w:t xml:space="preserve">, protection is hardly special. To the contrary, government can do </w:t>
      </w:r>
      <w:r w:rsidRPr="005B1095">
        <w:rPr>
          <w:rFonts w:eastAsia="Calibri" w:cs="Times New Roman"/>
        </w:rPr>
        <w:t xml:space="preserve">almost anything.  The federal government is its own special case, of course, being limited to enumerated powers, yet its tentacles </w:t>
      </w:r>
      <w:r w:rsidR="0018229D">
        <w:rPr>
          <w:rFonts w:eastAsia="Calibri" w:cs="Times New Roman"/>
        </w:rPr>
        <w:t xml:space="preserve">also </w:t>
      </w:r>
      <w:r w:rsidRPr="005B1095">
        <w:rPr>
          <w:rFonts w:eastAsia="Calibri" w:cs="Times New Roman"/>
        </w:rPr>
        <w:t>reach far beyond protection.</w:t>
      </w:r>
      <w:r w:rsidRPr="005B1095">
        <w:rPr>
          <w:rFonts w:eastAsia="Calibri" w:cs="Times New Roman"/>
          <w:vertAlign w:val="superscript"/>
        </w:rPr>
        <w:footnoteReference w:id="186"/>
      </w:r>
      <w:r w:rsidRPr="005B1095">
        <w:rPr>
          <w:rFonts w:eastAsia="Calibri" w:cs="Times New Roman"/>
        </w:rPr>
        <w:t xml:space="preserve">  </w:t>
      </w:r>
    </w:p>
    <w:p w:rsidR="00C01143" w:rsidRPr="005B1095" w:rsidRDefault="00C01143" w:rsidP="00C01143">
      <w:pPr>
        <w:spacing w:line="480" w:lineRule="auto"/>
        <w:rPr>
          <w:rFonts w:eastAsia="Calibri" w:cs="Times New Roman"/>
          <w:i/>
        </w:rPr>
      </w:pPr>
      <w:r w:rsidRPr="005B1095">
        <w:rPr>
          <w:rFonts w:eastAsia="Calibri" w:cs="Times New Roman"/>
          <w:i/>
        </w:rPr>
        <w:t>C.</w:t>
      </w:r>
      <w:r w:rsidRPr="005B1095">
        <w:rPr>
          <w:rFonts w:eastAsia="Calibri" w:cs="Times New Roman"/>
          <w:i/>
        </w:rPr>
        <w:tab/>
        <w:t>Special Obligation</w:t>
      </w:r>
    </w:p>
    <w:p w:rsidR="00C01143" w:rsidRPr="005B1095" w:rsidRDefault="00C01143" w:rsidP="00C01143">
      <w:pPr>
        <w:spacing w:line="480" w:lineRule="auto"/>
        <w:ind w:firstLine="720"/>
        <w:rPr>
          <w:rFonts w:eastAsia="Calibri" w:cs="Times New Roman"/>
        </w:rPr>
      </w:pPr>
      <w:r w:rsidRPr="005B1095">
        <w:rPr>
          <w:rFonts w:eastAsia="Calibri" w:cs="Times New Roman"/>
        </w:rPr>
        <w:t xml:space="preserve">Perhaps, </w:t>
      </w:r>
      <w:r w:rsidR="002032E0">
        <w:rPr>
          <w:rFonts w:eastAsia="Calibri" w:cs="Times New Roman"/>
        </w:rPr>
        <w:t>though</w:t>
      </w:r>
      <w:r w:rsidRPr="005B1095">
        <w:rPr>
          <w:rFonts w:eastAsia="Calibri" w:cs="Times New Roman"/>
        </w:rPr>
        <w:t xml:space="preserve"> having the power to do many things, government has some special obligation to </w:t>
      </w:r>
      <w:r w:rsidR="009E329C">
        <w:rPr>
          <w:rFonts w:eastAsia="Calibri" w:cs="Times New Roman"/>
        </w:rPr>
        <w:t>perfor</w:t>
      </w:r>
      <w:r w:rsidR="00650F8F">
        <w:rPr>
          <w:rFonts w:eastAsia="Calibri" w:cs="Times New Roman"/>
        </w:rPr>
        <w:t>m</w:t>
      </w:r>
      <w:r w:rsidR="009E329C">
        <w:rPr>
          <w:rFonts w:eastAsia="Calibri" w:cs="Times New Roman"/>
        </w:rPr>
        <w:t xml:space="preserve"> the </w:t>
      </w:r>
      <w:r w:rsidRPr="005B1095">
        <w:rPr>
          <w:rFonts w:eastAsia="Calibri" w:cs="Times New Roman"/>
        </w:rPr>
        <w:t xml:space="preserve">protection function.  The cascade of statements we explored above, about the essential nature of assuring people are protected from third-party injury, suggests this.  But the claim, evident though it might be, is not without its difficulties. </w:t>
      </w:r>
    </w:p>
    <w:p w:rsidR="00C01143" w:rsidRPr="005B1095" w:rsidRDefault="002521D2" w:rsidP="00C01143">
      <w:pPr>
        <w:spacing w:line="480" w:lineRule="auto"/>
        <w:ind w:firstLine="720"/>
        <w:rPr>
          <w:rFonts w:eastAsia="Calibri" w:cs="Times New Roman"/>
        </w:rPr>
      </w:pPr>
      <w:r>
        <w:rPr>
          <w:rFonts w:eastAsia="Calibri" w:cs="Times New Roman"/>
        </w:rPr>
        <w:t>For starters, o</w:t>
      </w:r>
      <w:r w:rsidR="00C01143" w:rsidRPr="005B1095">
        <w:rPr>
          <w:rFonts w:eastAsia="Calibri" w:cs="Times New Roman"/>
        </w:rPr>
        <w:t xml:space="preserve">ne has to question how special an obligation it possibly can be, when the Supreme Court has denied the government has </w:t>
      </w:r>
      <w:r w:rsidR="00650F8F">
        <w:rPr>
          <w:rFonts w:eastAsia="Calibri" w:cs="Times New Roman"/>
        </w:rPr>
        <w:t>a</w:t>
      </w:r>
      <w:r w:rsidR="00C01143" w:rsidRPr="005B1095">
        <w:rPr>
          <w:rFonts w:eastAsia="Calibri" w:cs="Times New Roman"/>
        </w:rPr>
        <w:t xml:space="preserve"> responsibility to perform it at all.  In </w:t>
      </w:r>
      <w:proofErr w:type="spellStart"/>
      <w:r w:rsidR="00C01143" w:rsidRPr="005B1095">
        <w:rPr>
          <w:rFonts w:eastAsia="Calibri" w:cs="Times New Roman"/>
          <w:i/>
        </w:rPr>
        <w:t>DeShaney</w:t>
      </w:r>
      <w:proofErr w:type="spellEnd"/>
      <w:r w:rsidR="00C01143" w:rsidRPr="005B1095">
        <w:rPr>
          <w:rFonts w:eastAsia="Calibri" w:cs="Times New Roman"/>
          <w:i/>
        </w:rPr>
        <w:t xml:space="preserve"> v. </w:t>
      </w:r>
      <w:proofErr w:type="spellStart"/>
      <w:r w:rsidR="00C01143" w:rsidRPr="005B1095">
        <w:rPr>
          <w:rFonts w:eastAsia="Calibri" w:cs="Times New Roman"/>
          <w:i/>
        </w:rPr>
        <w:t>Winnebego</w:t>
      </w:r>
      <w:proofErr w:type="spellEnd"/>
      <w:r w:rsidR="00C01143" w:rsidRPr="005B1095">
        <w:rPr>
          <w:rFonts w:eastAsia="Calibri" w:cs="Times New Roman"/>
          <w:i/>
        </w:rPr>
        <w:t xml:space="preserve"> County Department of Social Services</w:t>
      </w:r>
      <w:r w:rsidR="00C01143" w:rsidRPr="005B1095">
        <w:rPr>
          <w:rFonts w:eastAsia="Calibri" w:cs="Times New Roman"/>
        </w:rPr>
        <w:t xml:space="preserve">, the justices considered the case of Joshua </w:t>
      </w:r>
      <w:proofErr w:type="spellStart"/>
      <w:r w:rsidR="00C01143" w:rsidRPr="005B1095">
        <w:rPr>
          <w:rFonts w:eastAsia="Calibri" w:cs="Times New Roman"/>
        </w:rPr>
        <w:t>DeShaney</w:t>
      </w:r>
      <w:proofErr w:type="spellEnd"/>
      <w:r w:rsidR="00C01143" w:rsidRPr="005B1095">
        <w:rPr>
          <w:rFonts w:eastAsia="Calibri" w:cs="Times New Roman"/>
        </w:rPr>
        <w:t>, a four-year-old boy battered into a senseless coma by his father.</w:t>
      </w:r>
      <w:r w:rsidR="00C01143" w:rsidRPr="005B1095">
        <w:rPr>
          <w:rStyle w:val="FootnoteReference"/>
          <w:rFonts w:eastAsia="Calibri" w:cs="Times New Roman"/>
          <w:sz w:val="24"/>
        </w:rPr>
        <w:footnoteReference w:id="187"/>
      </w:r>
      <w:r w:rsidR="00C01143" w:rsidRPr="005B1095">
        <w:rPr>
          <w:rFonts w:eastAsia="Calibri" w:cs="Times New Roman"/>
        </w:rPr>
        <w:t xml:space="preserve">  The state had plenty of warning of the problem, and easily could anticipate the eventual outcome.  Repeatedly family, doctors, others told the Department of Social Services what was going on</w:t>
      </w:r>
      <w:r w:rsidR="00650F8F">
        <w:rPr>
          <w:rFonts w:eastAsia="Calibri" w:cs="Times New Roman"/>
        </w:rPr>
        <w:t>. T</w:t>
      </w:r>
      <w:r w:rsidR="00C01143" w:rsidRPr="005B1095">
        <w:rPr>
          <w:rFonts w:eastAsia="Calibri" w:cs="Times New Roman"/>
        </w:rPr>
        <w:t xml:space="preserve">he Department investigated time and again and did nothing, despite clear evidence nothing was the wrong answer. As </w:t>
      </w:r>
      <w:proofErr w:type="spellStart"/>
      <w:r w:rsidR="00C01143" w:rsidRPr="005B1095">
        <w:rPr>
          <w:rFonts w:eastAsia="Calibri" w:cs="Times New Roman"/>
        </w:rPr>
        <w:t>DeShaney’s</w:t>
      </w:r>
      <w:proofErr w:type="spellEnd"/>
      <w:r w:rsidR="00C01143" w:rsidRPr="005B1095">
        <w:rPr>
          <w:rFonts w:eastAsia="Calibri" w:cs="Times New Roman"/>
        </w:rPr>
        <w:t xml:space="preserve"> caseworker said, too late to help, “I just knew the phone would ring some day and Joshua would be dead.”</w:t>
      </w:r>
      <w:r w:rsidR="00C01143" w:rsidRPr="005B1095">
        <w:rPr>
          <w:rStyle w:val="FootnoteReference"/>
          <w:rFonts w:eastAsia="Calibri" w:cs="Times New Roman"/>
          <w:sz w:val="24"/>
        </w:rPr>
        <w:footnoteReference w:id="188"/>
      </w:r>
    </w:p>
    <w:p w:rsidR="00C01143" w:rsidRPr="005B1095" w:rsidRDefault="00C01143" w:rsidP="00C01143">
      <w:pPr>
        <w:spacing w:line="480" w:lineRule="auto"/>
        <w:ind w:firstLine="720"/>
        <w:rPr>
          <w:rFonts w:eastAsia="Calibri" w:cs="Times New Roman"/>
        </w:rPr>
      </w:pPr>
      <w:proofErr w:type="spellStart"/>
      <w:r w:rsidRPr="005B1095">
        <w:rPr>
          <w:rFonts w:eastAsia="Calibri" w:cs="Times New Roman"/>
          <w:i/>
        </w:rPr>
        <w:t>DeShaney</w:t>
      </w:r>
      <w:proofErr w:type="spellEnd"/>
      <w:r w:rsidRPr="005B1095">
        <w:rPr>
          <w:rFonts w:eastAsia="Calibri" w:cs="Times New Roman"/>
        </w:rPr>
        <w:t xml:space="preserve"> held, notoriously, that government has no affirmative obligation even to protect people.  </w:t>
      </w:r>
      <w:r w:rsidRPr="005B1095">
        <w:rPr>
          <w:rFonts w:eastAsia="Calibri" w:cs="Times New Roman"/>
          <w:i/>
        </w:rPr>
        <w:t>Our</w:t>
      </w:r>
      <w:r w:rsidRPr="005B1095">
        <w:rPr>
          <w:rFonts w:eastAsia="Calibri" w:cs="Times New Roman"/>
        </w:rPr>
        <w:t xml:space="preserve"> Constitution, the justices said, just keeps government from doing bad things.</w:t>
      </w:r>
      <w:r w:rsidRPr="005B1095">
        <w:rPr>
          <w:rStyle w:val="FootnoteReference"/>
          <w:rFonts w:eastAsia="Calibri" w:cs="Times New Roman"/>
          <w:sz w:val="24"/>
        </w:rPr>
        <w:t xml:space="preserve"> </w:t>
      </w:r>
      <w:r w:rsidRPr="005B1095">
        <w:rPr>
          <w:rStyle w:val="FootnoteReference"/>
          <w:rFonts w:eastAsia="Calibri" w:cs="Times New Roman"/>
          <w:sz w:val="24"/>
        </w:rPr>
        <w:footnoteReference w:id="189"/>
      </w:r>
      <w:r w:rsidRPr="005B1095">
        <w:rPr>
          <w:rFonts w:eastAsia="Calibri" w:cs="Times New Roman"/>
        </w:rPr>
        <w:t xml:space="preserve">  The majority justices in </w:t>
      </w:r>
      <w:proofErr w:type="spellStart"/>
      <w:r w:rsidRPr="005B1095">
        <w:rPr>
          <w:rFonts w:eastAsia="Calibri" w:cs="Times New Roman"/>
          <w:i/>
        </w:rPr>
        <w:t>DeShaney</w:t>
      </w:r>
      <w:proofErr w:type="spellEnd"/>
      <w:r w:rsidRPr="005B1095">
        <w:rPr>
          <w:rFonts w:eastAsia="Calibri" w:cs="Times New Roman"/>
        </w:rPr>
        <w:t>, led by Chief Justice Rehnquist, conceded that what happened to Joshua was “tragic.”</w:t>
      </w:r>
      <w:r w:rsidRPr="005B1095">
        <w:rPr>
          <w:rStyle w:val="FootnoteReference"/>
          <w:rFonts w:eastAsia="Calibri" w:cs="Times New Roman"/>
          <w:sz w:val="24"/>
        </w:rPr>
        <w:footnoteReference w:id="190"/>
      </w:r>
      <w:r w:rsidRPr="005B1095">
        <w:rPr>
          <w:rFonts w:eastAsia="Calibri" w:cs="Times New Roman"/>
        </w:rPr>
        <w:t xml:space="preserve">  (That alone seems the wrong word.  Taking a wrong turn and driving in the dark off a cliff is tragic.  Having the state watch you do it, with ample time to stop you, but sitting idly by, is something else altogether.)  The Court pointed to the 14</w:t>
      </w:r>
      <w:r w:rsidRPr="005B1095">
        <w:rPr>
          <w:rFonts w:eastAsia="Calibri" w:cs="Times New Roman"/>
          <w:vertAlign w:val="superscript"/>
        </w:rPr>
        <w:t>th</w:t>
      </w:r>
      <w:r w:rsidRPr="005B1095">
        <w:rPr>
          <w:rFonts w:eastAsia="Calibri" w:cs="Times New Roman"/>
        </w:rPr>
        <w:t xml:space="preserve"> Amendment itself:  “No state shall </w:t>
      </w:r>
      <w:r w:rsidRPr="005B1095">
        <w:rPr>
          <w:rFonts w:eastAsia="Calibri" w:cs="Times New Roman"/>
          <w:i/>
        </w:rPr>
        <w:t>deny</w:t>
      </w:r>
      <w:r w:rsidRPr="005B1095">
        <w:rPr>
          <w:rFonts w:eastAsia="Calibri" w:cs="Times New Roman"/>
        </w:rPr>
        <w:t xml:space="preserve"> the due process of the laws." As the Court majority put it: “[N]</w:t>
      </w:r>
      <w:proofErr w:type="spellStart"/>
      <w:r w:rsidRPr="005B1095">
        <w:rPr>
          <w:rFonts w:eastAsia="Calibri" w:cs="Times New Roman"/>
        </w:rPr>
        <w:t>othing</w:t>
      </w:r>
      <w:proofErr w:type="spellEnd"/>
      <w:r w:rsidRPr="005B1095">
        <w:rPr>
          <w:rFonts w:eastAsia="Calibri" w:cs="Times New Roman"/>
        </w:rPr>
        <w:t xml:space="preserve"> in the language of the Due Process Clause itself requires the state to protect the life, liberty and property of its citizens against invasion by private actors.”</w:t>
      </w:r>
      <w:r w:rsidRPr="005B1095">
        <w:rPr>
          <w:rStyle w:val="FootnoteReference"/>
          <w:rFonts w:eastAsia="Calibri" w:cs="Times New Roman"/>
          <w:sz w:val="24"/>
        </w:rPr>
        <w:footnoteReference w:id="191"/>
      </w:r>
      <w:r w:rsidRPr="005B1095">
        <w:rPr>
          <w:rFonts w:eastAsia="Calibri" w:cs="Times New Roman"/>
        </w:rPr>
        <w:t xml:space="preserve">  </w:t>
      </w:r>
    </w:p>
    <w:p w:rsidR="00C01143" w:rsidRPr="005B1095" w:rsidRDefault="002521D2" w:rsidP="00C01143">
      <w:pPr>
        <w:spacing w:line="480" w:lineRule="auto"/>
        <w:ind w:firstLine="720"/>
        <w:rPr>
          <w:rFonts w:eastAsia="Calibri" w:cs="Times New Roman"/>
        </w:rPr>
      </w:pPr>
      <w:r>
        <w:rPr>
          <w:rFonts w:eastAsia="Calibri" w:cs="Times New Roman"/>
        </w:rPr>
        <w:t>There’s every reason not to read t</w:t>
      </w:r>
      <w:r w:rsidR="00C01143" w:rsidRPr="005B1095">
        <w:rPr>
          <w:rFonts w:eastAsia="Calibri" w:cs="Times New Roman"/>
        </w:rPr>
        <w:t xml:space="preserve">oo much into </w:t>
      </w:r>
      <w:proofErr w:type="spellStart"/>
      <w:r w:rsidR="00C01143" w:rsidRPr="005B1095">
        <w:rPr>
          <w:rFonts w:eastAsia="Calibri" w:cs="Times New Roman"/>
          <w:i/>
        </w:rPr>
        <w:t>DeShaney</w:t>
      </w:r>
      <w:proofErr w:type="spellEnd"/>
      <w:r w:rsidR="00C01143" w:rsidRPr="005B1095">
        <w:rPr>
          <w:rFonts w:eastAsia="Calibri" w:cs="Times New Roman"/>
          <w:i/>
        </w:rPr>
        <w:t xml:space="preserve">.  </w:t>
      </w:r>
      <w:r w:rsidR="009E329C">
        <w:rPr>
          <w:rFonts w:eastAsia="Calibri" w:cs="Times New Roman"/>
        </w:rPr>
        <w:t>Perhaps</w:t>
      </w:r>
      <w:r w:rsidR="00C01143" w:rsidRPr="005B1095">
        <w:rPr>
          <w:rFonts w:eastAsia="Calibri" w:cs="Times New Roman"/>
        </w:rPr>
        <w:t xml:space="preserve"> it simply was a statement about the lack of a remedy when government fails, what Larry Sager would refer to as an underenforced constitutional norm.</w:t>
      </w:r>
      <w:r w:rsidR="00C01143" w:rsidRPr="005B1095">
        <w:rPr>
          <w:rFonts w:eastAsia="Calibri" w:cs="Times New Roman"/>
          <w:vertAlign w:val="superscript"/>
        </w:rPr>
        <w:footnoteReference w:id="192"/>
      </w:r>
      <w:r w:rsidR="00C01143" w:rsidRPr="005B1095">
        <w:rPr>
          <w:rFonts w:eastAsia="Calibri" w:cs="Times New Roman"/>
        </w:rPr>
        <w:t xml:space="preserve">  (In fairness, though, the opinion does not read like this.)  Or, it could be the plaintiffs just relied upon the wrong clause of the Constitution.  Maybe Joshua wasn’t denied “due process,” but was denied “the equal protection of the laws,” and in the oddly formal world of legal proceedings, the failure to say the right magic words spelled doom.</w:t>
      </w:r>
      <w:r w:rsidR="00C01143" w:rsidRPr="005B1095">
        <w:rPr>
          <w:rFonts w:eastAsia="Calibri" w:cs="Times New Roman"/>
          <w:vertAlign w:val="superscript"/>
        </w:rPr>
        <w:footnoteReference w:id="193"/>
      </w:r>
      <w:r w:rsidR="00C01143" w:rsidRPr="005B1095">
        <w:rPr>
          <w:rFonts w:eastAsia="Calibri" w:cs="Times New Roman"/>
        </w:rPr>
        <w:t xml:space="preserve">  More fundamentally, the decision simply could be in error.  The justices get things—big things— wrong all the time</w:t>
      </w:r>
      <w:r w:rsidR="009E329C">
        <w:rPr>
          <w:rFonts w:eastAsia="Calibri" w:cs="Times New Roman"/>
        </w:rPr>
        <w:t>.</w:t>
      </w:r>
      <w:r w:rsidR="00C01143" w:rsidRPr="005B1095">
        <w:rPr>
          <w:rFonts w:eastAsia="Calibri" w:cs="Times New Roman"/>
        </w:rPr>
        <w:t xml:space="preserve">  Slavery, the right to marry whom one likes, racial and sex equality, the power of the government to set minimum wages and maximum hours for workers, one could go on and on and on</w:t>
      </w:r>
      <w:r w:rsidR="009E329C">
        <w:rPr>
          <w:rFonts w:eastAsia="Calibri" w:cs="Times New Roman"/>
        </w:rPr>
        <w:t xml:space="preserve"> about the Court’s many missteps</w:t>
      </w:r>
      <w:r w:rsidR="00C01143" w:rsidRPr="005B1095">
        <w:rPr>
          <w:rFonts w:eastAsia="Calibri" w:cs="Times New Roman"/>
        </w:rPr>
        <w:t>.</w:t>
      </w:r>
      <w:r w:rsidR="00C01143" w:rsidRPr="005B1095">
        <w:rPr>
          <w:rFonts w:eastAsia="Calibri" w:cs="Times New Roman"/>
          <w:vertAlign w:val="superscript"/>
        </w:rPr>
        <w:footnoteReference w:id="194"/>
      </w:r>
      <w:r w:rsidR="00C01143" w:rsidRPr="005B1095">
        <w:rPr>
          <w:rFonts w:eastAsia="Calibri" w:cs="Times New Roman"/>
        </w:rPr>
        <w:t xml:space="preserve">  </w:t>
      </w:r>
      <w:r w:rsidR="009E329C">
        <w:rPr>
          <w:rFonts w:eastAsia="Calibri" w:cs="Times New Roman"/>
        </w:rPr>
        <w:t>This surely seems one of them; as others have observed, our Constitution contains any number of positive rights.</w:t>
      </w:r>
      <w:r w:rsidR="009E329C">
        <w:rPr>
          <w:rStyle w:val="FootnoteReference"/>
          <w:rFonts w:eastAsia="Calibri" w:cs="Times New Roman"/>
        </w:rPr>
        <w:footnoteReference w:id="195"/>
      </w:r>
      <w:r w:rsidR="009E329C">
        <w:rPr>
          <w:rFonts w:eastAsia="Calibri" w:cs="Times New Roman"/>
        </w:rPr>
        <w:t xml:space="preserve">  </w:t>
      </w:r>
    </w:p>
    <w:p w:rsidR="00C01143" w:rsidRPr="005B1095" w:rsidRDefault="00C01143" w:rsidP="002521D2">
      <w:pPr>
        <w:spacing w:line="480" w:lineRule="auto"/>
        <w:ind w:firstLine="720"/>
        <w:rPr>
          <w:rFonts w:eastAsia="Calibri" w:cs="Times New Roman"/>
        </w:rPr>
      </w:pPr>
      <w:r w:rsidRPr="005B1095">
        <w:rPr>
          <w:rFonts w:eastAsia="Calibri" w:cs="Times New Roman"/>
        </w:rPr>
        <w:t xml:space="preserve">Yet, the very fact that on a case with such egregious and dispiriting facts the </w:t>
      </w:r>
      <w:r w:rsidR="002521D2">
        <w:rPr>
          <w:rFonts w:eastAsia="Calibri" w:cs="Times New Roman"/>
        </w:rPr>
        <w:t xml:space="preserve">nation’s top court, </w:t>
      </w:r>
      <w:r w:rsidRPr="005B1095">
        <w:rPr>
          <w:rFonts w:eastAsia="Calibri" w:cs="Times New Roman"/>
        </w:rPr>
        <w:t xml:space="preserve">by a vote of 6-3, squarely </w:t>
      </w:r>
      <w:r w:rsidR="00650F8F">
        <w:rPr>
          <w:rFonts w:eastAsia="Calibri" w:cs="Times New Roman"/>
        </w:rPr>
        <w:t xml:space="preserve">held </w:t>
      </w:r>
      <w:r w:rsidRPr="005B1095">
        <w:rPr>
          <w:rFonts w:eastAsia="Calibri" w:cs="Times New Roman"/>
        </w:rPr>
        <w:t xml:space="preserve">there was </w:t>
      </w:r>
      <w:r w:rsidRPr="005B1095">
        <w:rPr>
          <w:rFonts w:eastAsia="Calibri" w:cs="Times New Roman"/>
          <w:i/>
        </w:rPr>
        <w:t>no</w:t>
      </w:r>
      <w:r w:rsidRPr="005B1095">
        <w:rPr>
          <w:rFonts w:eastAsia="Calibri" w:cs="Times New Roman"/>
        </w:rPr>
        <w:t xml:space="preserve"> obligation, surely tells us something about the </w:t>
      </w:r>
      <w:r w:rsidR="00650F8F">
        <w:rPr>
          <w:rFonts w:eastAsia="Calibri" w:cs="Times New Roman"/>
        </w:rPr>
        <w:t>obligation to provide</w:t>
      </w:r>
      <w:r w:rsidRPr="005B1095">
        <w:rPr>
          <w:rFonts w:eastAsia="Calibri" w:cs="Times New Roman"/>
        </w:rPr>
        <w:t xml:space="preserve"> protection.  </w:t>
      </w:r>
    </w:p>
    <w:p w:rsidR="00C01143" w:rsidRPr="005B1095" w:rsidRDefault="00C01143" w:rsidP="00650F8F">
      <w:pPr>
        <w:spacing w:line="480" w:lineRule="auto"/>
        <w:rPr>
          <w:rFonts w:eastAsia="Calibri" w:cs="Times New Roman"/>
        </w:rPr>
      </w:pPr>
      <w:r w:rsidRPr="005B1095">
        <w:rPr>
          <w:rFonts w:eastAsia="Calibri" w:cs="Times New Roman"/>
        </w:rPr>
        <w:tab/>
        <w:t>Even if, contra the Supreme Court, protection is an obligation, there’s a good question how deep that obligation really runs.  Waldron offers up two ways of thinking about government’s role in assuring collective security—an aggregative and an egalitarian one.  Under an aggregative system, government’s function is “maximizing” security – assuring the most total or overall safety it can, while recognizing some people may have to give up their security so that others are made safe.</w:t>
      </w:r>
      <w:r w:rsidRPr="005B1095">
        <w:rPr>
          <w:rStyle w:val="FootnoteReference"/>
          <w:rFonts w:eastAsia="Calibri" w:cs="Times New Roman"/>
          <w:sz w:val="24"/>
        </w:rPr>
        <w:footnoteReference w:id="196"/>
      </w:r>
      <w:r w:rsidRPr="005B1095">
        <w:rPr>
          <w:rFonts w:eastAsia="Calibri" w:cs="Times New Roman"/>
        </w:rPr>
        <w:t xml:space="preserve">  Waldron emphatically rejected this aggregative approach</w:t>
      </w:r>
      <w:r w:rsidR="00650F8F">
        <w:rPr>
          <w:rFonts w:eastAsia="Calibri" w:cs="Times New Roman"/>
        </w:rPr>
        <w:t xml:space="preserve">: </w:t>
      </w:r>
      <w:r w:rsidRPr="005B1095">
        <w:rPr>
          <w:rFonts w:eastAsia="Calibri" w:cs="Times New Roman"/>
        </w:rPr>
        <w:t xml:space="preserve"> </w:t>
      </w:r>
      <w:r w:rsidR="00650F8F">
        <w:rPr>
          <w:rFonts w:eastAsia="Calibri" w:cs="Times New Roman"/>
        </w:rPr>
        <w:t>g</w:t>
      </w:r>
      <w:r w:rsidR="00650F8F" w:rsidRPr="005B1095">
        <w:rPr>
          <w:rFonts w:eastAsia="Calibri" w:cs="Times New Roman"/>
        </w:rPr>
        <w:t>overnment cannot make some safer at the expense of others</w:t>
      </w:r>
      <w:r w:rsidRPr="005B1095">
        <w:rPr>
          <w:rFonts w:eastAsia="Calibri" w:cs="Times New Roman"/>
        </w:rPr>
        <w:t>.</w:t>
      </w:r>
      <w:r w:rsidRPr="005B1095">
        <w:rPr>
          <w:rStyle w:val="FootnoteReference"/>
          <w:rFonts w:eastAsia="Calibri" w:cs="Times New Roman"/>
          <w:sz w:val="24"/>
        </w:rPr>
        <w:footnoteReference w:id="197"/>
      </w:r>
      <w:r w:rsidRPr="005B1095">
        <w:rPr>
          <w:rFonts w:eastAsia="Calibri" w:cs="Times New Roman"/>
        </w:rPr>
        <w:t xml:space="preserve"> </w:t>
      </w:r>
    </w:p>
    <w:p w:rsidR="00650F8F" w:rsidRDefault="00C01143" w:rsidP="00C01143">
      <w:pPr>
        <w:spacing w:line="480" w:lineRule="auto"/>
        <w:rPr>
          <w:rFonts w:eastAsia="Calibri" w:cs="Times New Roman"/>
        </w:rPr>
      </w:pPr>
      <w:r w:rsidRPr="005B1095">
        <w:rPr>
          <w:rFonts w:eastAsia="Calibri" w:cs="Times New Roman"/>
        </w:rPr>
        <w:tab/>
        <w:t>But Waldron’s egalitarian notion of government’s obligation to provide security turns out to be was quite sparse.</w:t>
      </w:r>
      <w:r w:rsidRPr="005B1095">
        <w:rPr>
          <w:rFonts w:eastAsia="Calibri" w:cs="Times New Roman"/>
          <w:vertAlign w:val="superscript"/>
        </w:rPr>
        <w:footnoteReference w:id="198"/>
      </w:r>
      <w:r w:rsidRPr="005B1095">
        <w:rPr>
          <w:rFonts w:eastAsia="Calibri" w:cs="Times New Roman"/>
        </w:rPr>
        <w:t xml:space="preserve">  Either, “a legitimate regime must bring each person’s safety up to at least a certain level.”</w:t>
      </w:r>
      <w:r w:rsidRPr="005B1095">
        <w:rPr>
          <w:rStyle w:val="FootnoteReference"/>
          <w:rFonts w:eastAsia="Calibri" w:cs="Times New Roman"/>
          <w:sz w:val="24"/>
        </w:rPr>
        <w:footnoteReference w:id="199"/>
      </w:r>
      <w:r w:rsidRPr="005B1095">
        <w:rPr>
          <w:rFonts w:eastAsia="Calibri" w:cs="Times New Roman"/>
        </w:rPr>
        <w:t xml:space="preserve">  Or, “the regime must make a substantial positive difference to each person’s safety, even though the actual level of safety for each may vary according to background circumstances and baseline.”</w:t>
      </w:r>
      <w:r w:rsidRPr="005B1095">
        <w:rPr>
          <w:rStyle w:val="FootnoteReference"/>
          <w:rFonts w:eastAsia="Calibri" w:cs="Times New Roman"/>
          <w:sz w:val="24"/>
        </w:rPr>
        <w:footnoteReference w:id="200"/>
      </w:r>
      <w:r w:rsidRPr="005B1095">
        <w:rPr>
          <w:rFonts w:eastAsia="Calibri" w:cs="Times New Roman"/>
        </w:rPr>
        <w:t xml:space="preserve"> </w:t>
      </w:r>
      <w:r w:rsidR="00650F8F">
        <w:rPr>
          <w:rFonts w:eastAsia="Calibri" w:cs="Times New Roman"/>
        </w:rPr>
        <w:t xml:space="preserve">One can only hope it is the former, not the latter. </w:t>
      </w:r>
      <w:r w:rsidRPr="005B1095">
        <w:rPr>
          <w:rFonts w:eastAsia="Calibri" w:cs="Times New Roman"/>
        </w:rPr>
        <w:t xml:space="preserve">If individual safety can vary based on “background circumstances and baseline,” and that’s just not government’s problem, then some people are going to be a whole lot safer than others.  </w:t>
      </w:r>
    </w:p>
    <w:p w:rsidR="002E559E" w:rsidRDefault="00C01143" w:rsidP="002E559E">
      <w:pPr>
        <w:spacing w:line="480" w:lineRule="auto"/>
        <w:ind w:firstLine="720"/>
        <w:rPr>
          <w:rFonts w:eastAsia="Calibri" w:cs="Times New Roman"/>
        </w:rPr>
      </w:pPr>
      <w:r w:rsidRPr="005B1095">
        <w:rPr>
          <w:rFonts w:eastAsia="Calibri" w:cs="Times New Roman"/>
        </w:rPr>
        <w:t>Whereas both doctrine and philosophical examination cut any “special” obligation for the protection function down to size, history suggests government’s obligations for other aspects of individual safety measure right up.  Government, for example, long has been understood to have some responsibility for the needy.  Take Bentham.  He didn’t have much truck with frittering away the public coffers on frivolities like the arts, but he nonetheless he believed “we may . . . lay it down as a general principle of legislation that a regular system of contribution should be established for the relief of the poor,” those being people “who lack the necessaries of life.”</w:t>
      </w:r>
      <w:r w:rsidRPr="005B1095">
        <w:rPr>
          <w:rFonts w:eastAsia="Calibri" w:cs="Times New Roman"/>
          <w:vertAlign w:val="superscript"/>
        </w:rPr>
        <w:footnoteReference w:id="201"/>
      </w:r>
      <w:r w:rsidRPr="005B1095">
        <w:rPr>
          <w:rFonts w:eastAsia="Calibri" w:cs="Times New Roman"/>
        </w:rPr>
        <w:t xml:space="preserve"> </w:t>
      </w:r>
      <w:r w:rsidR="002E559E">
        <w:rPr>
          <w:rFonts w:eastAsia="Calibri" w:cs="Times New Roman"/>
        </w:rPr>
        <w:t>He was hardly alone: many natural rights theorists felt the same. Here’s Blackstone:</w:t>
      </w:r>
    </w:p>
    <w:p w:rsidR="002E559E" w:rsidRDefault="002E559E" w:rsidP="002E559E">
      <w:pPr>
        <w:ind w:left="720" w:right="720"/>
        <w:rPr>
          <w:rFonts w:ascii="Open Sans" w:hAnsi="Open Sans"/>
          <w:color w:val="252525"/>
          <w:shd w:val="clear" w:color="auto" w:fill="FFFFFF"/>
        </w:rPr>
      </w:pPr>
      <w:r>
        <w:rPr>
          <w:rFonts w:ascii="Open Sans" w:hAnsi="Open Sans"/>
          <w:color w:val="252525"/>
          <w:shd w:val="clear" w:color="auto" w:fill="FFFFFF"/>
        </w:rPr>
        <w:t xml:space="preserve">“The law not only regards life and member, and protects every man in the enjoyment of them, but also furnishes him with everything necessary for their support.  </w:t>
      </w:r>
      <w:r w:rsidRPr="002E559E">
        <w:rPr>
          <w:rFonts w:ascii="Open Sans" w:hAnsi="Open Sans"/>
          <w:i/>
          <w:color w:val="252525"/>
          <w:shd w:val="clear" w:color="auto" w:fill="FFFFFF"/>
        </w:rPr>
        <w:t>For there is no man so indigent or wretched, but he may demand a supply sufficient for all the necessities of life, from the more opulent part of the community</w:t>
      </w:r>
      <w:r>
        <w:rPr>
          <w:rFonts w:ascii="Open Sans" w:hAnsi="Open Sans"/>
          <w:color w:val="252525"/>
          <w:shd w:val="clear" w:color="auto" w:fill="FFFFFF"/>
        </w:rPr>
        <w:t>, by means of several statutes enacted for the relief of the poor . . . .”</w:t>
      </w:r>
      <w:r>
        <w:rPr>
          <w:rStyle w:val="FootnoteReference"/>
          <w:rFonts w:ascii="Open Sans" w:hAnsi="Open Sans"/>
          <w:color w:val="252525"/>
          <w:shd w:val="clear" w:color="auto" w:fill="FFFFFF"/>
        </w:rPr>
        <w:footnoteReference w:id="202"/>
      </w:r>
    </w:p>
    <w:p w:rsidR="002E559E" w:rsidRDefault="002E559E" w:rsidP="002E559E">
      <w:pPr>
        <w:ind w:firstLine="720"/>
      </w:pPr>
    </w:p>
    <w:p w:rsidR="00C01143" w:rsidRPr="005B1095" w:rsidRDefault="00C01143" w:rsidP="00C01143">
      <w:pPr>
        <w:spacing w:line="480" w:lineRule="auto"/>
        <w:ind w:firstLine="720"/>
        <w:rPr>
          <w:rFonts w:eastAsia="Calibri" w:cs="Times New Roman"/>
        </w:rPr>
      </w:pPr>
      <w:r w:rsidRPr="005B1095">
        <w:rPr>
          <w:rFonts w:eastAsia="Calibri" w:cs="Times New Roman"/>
        </w:rPr>
        <w:t>And indeed, in the West the tradition of providing room and board for society’s most vulnerable in almshouses—typically through taxes—dates back to medieval times.</w:t>
      </w:r>
      <w:r w:rsidRPr="005B1095">
        <w:rPr>
          <w:rStyle w:val="FootnoteReference"/>
          <w:rFonts w:eastAsia="Calibri" w:cs="Times New Roman"/>
          <w:sz w:val="24"/>
        </w:rPr>
        <w:footnoteReference w:id="203"/>
      </w:r>
      <w:r w:rsidRPr="005B1095">
        <w:rPr>
          <w:rFonts w:eastAsia="Calibri" w:cs="Times New Roman"/>
        </w:rPr>
        <w:t xml:space="preserve">  </w:t>
      </w:r>
      <w:r w:rsidR="002E559E">
        <w:rPr>
          <w:rFonts w:eastAsia="Calibri" w:cs="Times New Roman"/>
        </w:rPr>
        <w:t>The reason for almshouses may have been to take the burden off of ordinary citizens, but the point is the government took it upon itself.</w:t>
      </w:r>
      <w:r w:rsidR="00895ED8">
        <w:rPr>
          <w:rStyle w:val="FootnoteReference"/>
          <w:rFonts w:eastAsia="Calibri" w:cs="Times New Roman"/>
        </w:rPr>
        <w:footnoteReference w:id="204"/>
      </w:r>
      <w:r w:rsidR="002E559E">
        <w:rPr>
          <w:rFonts w:eastAsia="Calibri" w:cs="Times New Roman"/>
        </w:rPr>
        <w:t xml:space="preserve">  </w:t>
      </w:r>
      <w:r w:rsidRPr="005B1095">
        <w:rPr>
          <w:rFonts w:eastAsia="Calibri" w:cs="Times New Roman"/>
        </w:rPr>
        <w:t>There long has been in this country an appreciation of the need to help those who cannot help themselves.</w:t>
      </w:r>
      <w:r w:rsidRPr="005B1095">
        <w:rPr>
          <w:rStyle w:val="FootnoteReference"/>
          <w:rFonts w:eastAsia="Calibri" w:cs="Times New Roman"/>
          <w:sz w:val="24"/>
        </w:rPr>
        <w:footnoteReference w:id="205"/>
      </w:r>
      <w:r w:rsidRPr="005B1095">
        <w:rPr>
          <w:rFonts w:eastAsia="Calibri" w:cs="Times New Roman"/>
        </w:rPr>
        <w:t xml:space="preserve">   Today </w:t>
      </w:r>
      <w:r w:rsidR="00650F8F">
        <w:rPr>
          <w:rFonts w:eastAsia="Calibri" w:cs="Times New Roman"/>
        </w:rPr>
        <w:t xml:space="preserve">people on the left and the right politically </w:t>
      </w:r>
      <w:r w:rsidRPr="005B1095">
        <w:rPr>
          <w:rFonts w:eastAsia="Calibri" w:cs="Times New Roman"/>
        </w:rPr>
        <w:t>profess to feel similarly.  Paul Ryan, no fan of handouts, while advancing a minimal role of government, still said it was government’s role “to provide some basic protections to the vulnerable from the worst risks of modern life.”</w:t>
      </w:r>
      <w:r w:rsidRPr="005B1095">
        <w:rPr>
          <w:rStyle w:val="FootnoteReference"/>
          <w:rFonts w:eastAsia="Calibri" w:cs="Times New Roman"/>
          <w:sz w:val="24"/>
        </w:rPr>
        <w:footnoteReference w:id="206"/>
      </w:r>
    </w:p>
    <w:p w:rsidR="00C01143" w:rsidRPr="005B1095" w:rsidRDefault="00C01143" w:rsidP="00C01143">
      <w:pPr>
        <w:spacing w:line="480" w:lineRule="auto"/>
        <w:rPr>
          <w:rFonts w:eastAsia="Calibri" w:cs="Times New Roman"/>
        </w:rPr>
      </w:pPr>
      <w:r w:rsidRPr="005B1095">
        <w:rPr>
          <w:rFonts w:eastAsia="Calibri" w:cs="Times New Roman"/>
        </w:rPr>
        <w:tab/>
        <w:t xml:space="preserve">All of which is to say, government may have a minimal obligation to protect the citizenry, </w:t>
      </w:r>
      <w:r w:rsidR="00895ED8">
        <w:rPr>
          <w:rFonts w:eastAsia="Calibri" w:cs="Times New Roman"/>
        </w:rPr>
        <w:t>indeed a crucial one, but so too it has other obligations to assure their public safety</w:t>
      </w:r>
      <w:r w:rsidRPr="005B1095">
        <w:rPr>
          <w:rFonts w:eastAsia="Calibri" w:cs="Times New Roman"/>
        </w:rPr>
        <w:t xml:space="preserve">.  </w:t>
      </w:r>
      <w:r w:rsidR="00650F8F">
        <w:rPr>
          <w:rFonts w:eastAsia="Calibri" w:cs="Times New Roman"/>
        </w:rPr>
        <w:t>And so, the</w:t>
      </w:r>
      <w:r w:rsidRPr="005B1095">
        <w:rPr>
          <w:rFonts w:eastAsia="Calibri" w:cs="Times New Roman"/>
        </w:rPr>
        <w:t xml:space="preserve"> question still remains</w:t>
      </w:r>
      <w:r w:rsidR="00650F8F">
        <w:rPr>
          <w:rFonts w:eastAsia="Calibri" w:cs="Times New Roman"/>
        </w:rPr>
        <w:t xml:space="preserve"> </w:t>
      </w:r>
      <w:r w:rsidRPr="005B1095">
        <w:rPr>
          <w:rFonts w:eastAsia="Calibri" w:cs="Times New Roman"/>
        </w:rPr>
        <w:t>whether there is some other source for giving the protection function primacy.</w:t>
      </w:r>
    </w:p>
    <w:p w:rsidR="00C01143" w:rsidRPr="005B1095" w:rsidRDefault="00025ABC" w:rsidP="00C01143">
      <w:pPr>
        <w:spacing w:line="480" w:lineRule="auto"/>
        <w:rPr>
          <w:rFonts w:eastAsia="Calibri" w:cs="Times New Roman"/>
          <w:i/>
        </w:rPr>
      </w:pPr>
      <w:r w:rsidRPr="005B1095">
        <w:rPr>
          <w:rFonts w:eastAsia="Calibri" w:cs="Times New Roman"/>
          <w:i/>
        </w:rPr>
        <w:t>D</w:t>
      </w:r>
      <w:r w:rsidR="00C01143" w:rsidRPr="005B1095">
        <w:rPr>
          <w:rFonts w:eastAsia="Calibri" w:cs="Times New Roman"/>
          <w:i/>
        </w:rPr>
        <w:t>.</w:t>
      </w:r>
      <w:r w:rsidR="00C01143" w:rsidRPr="005B1095">
        <w:rPr>
          <w:rFonts w:eastAsia="Calibri" w:cs="Times New Roman"/>
          <w:i/>
        </w:rPr>
        <w:tab/>
        <w:t>Monopoly</w:t>
      </w:r>
    </w:p>
    <w:p w:rsidR="0094658B" w:rsidRDefault="00C01143" w:rsidP="00C01143">
      <w:pPr>
        <w:spacing w:line="480" w:lineRule="auto"/>
        <w:rPr>
          <w:rFonts w:eastAsia="Calibri" w:cs="Times New Roman"/>
        </w:rPr>
      </w:pPr>
      <w:r w:rsidRPr="005B1095">
        <w:rPr>
          <w:rFonts w:eastAsia="Calibri" w:cs="Times New Roman"/>
        </w:rPr>
        <w:tab/>
        <w:t xml:space="preserve"> And perhaps there is – perhaps there is something so fundamental about the protection function that government </w:t>
      </w:r>
      <w:r w:rsidR="00404BCD">
        <w:rPr>
          <w:rFonts w:eastAsia="Calibri" w:cs="Times New Roman"/>
        </w:rPr>
        <w:t>has to have</w:t>
      </w:r>
      <w:r w:rsidRPr="005B1095">
        <w:rPr>
          <w:rFonts w:eastAsia="Calibri" w:cs="Times New Roman"/>
        </w:rPr>
        <w:t xml:space="preserve"> a monopoly over it, distinguishing it from provision of other safety needs.  </w:t>
      </w:r>
      <w:r w:rsidR="00404BCD">
        <w:rPr>
          <w:rFonts w:eastAsia="Calibri" w:cs="Times New Roman"/>
        </w:rPr>
        <w:t>P</w:t>
      </w:r>
      <w:r w:rsidRPr="005B1095">
        <w:rPr>
          <w:rFonts w:eastAsia="Calibri" w:cs="Times New Roman"/>
        </w:rPr>
        <w:t xml:space="preserve">eople </w:t>
      </w:r>
      <w:r w:rsidR="003B12E5">
        <w:rPr>
          <w:rFonts w:eastAsia="Calibri" w:cs="Times New Roman"/>
        </w:rPr>
        <w:t>can</w:t>
      </w:r>
      <w:r w:rsidR="00404BCD">
        <w:rPr>
          <w:rFonts w:eastAsia="Calibri" w:cs="Times New Roman"/>
        </w:rPr>
        <w:t xml:space="preserve"> </w:t>
      </w:r>
      <w:r w:rsidRPr="005B1095">
        <w:rPr>
          <w:rFonts w:eastAsia="Calibri" w:cs="Times New Roman"/>
        </w:rPr>
        <w:t xml:space="preserve">get their food, their housing, </w:t>
      </w:r>
      <w:r w:rsidR="00404BCD">
        <w:rPr>
          <w:rFonts w:eastAsia="Calibri" w:cs="Times New Roman"/>
        </w:rPr>
        <w:t xml:space="preserve">or </w:t>
      </w:r>
      <w:r w:rsidRPr="005B1095">
        <w:rPr>
          <w:rFonts w:eastAsia="Calibri" w:cs="Times New Roman"/>
        </w:rPr>
        <w:t>even their education</w:t>
      </w:r>
      <w:r w:rsidR="00404BCD">
        <w:rPr>
          <w:rFonts w:eastAsia="Calibri" w:cs="Times New Roman"/>
        </w:rPr>
        <w:t xml:space="preserve"> </w:t>
      </w:r>
      <w:r w:rsidRPr="005B1095">
        <w:rPr>
          <w:rFonts w:eastAsia="Calibri" w:cs="Times New Roman"/>
        </w:rPr>
        <w:t xml:space="preserve">from a multiplicity of sources, but protection is government’s first job simply because no one else </w:t>
      </w:r>
      <w:r w:rsidR="00200540">
        <w:rPr>
          <w:rFonts w:eastAsia="Calibri" w:cs="Times New Roman"/>
        </w:rPr>
        <w:t xml:space="preserve">can be trusted to </w:t>
      </w:r>
      <w:r w:rsidR="00404BCD">
        <w:rPr>
          <w:rFonts w:eastAsia="Calibri" w:cs="Times New Roman"/>
        </w:rPr>
        <w:t>perform</w:t>
      </w:r>
      <w:r w:rsidRPr="005B1095">
        <w:rPr>
          <w:rFonts w:eastAsia="Calibri" w:cs="Times New Roman"/>
        </w:rPr>
        <w:t xml:space="preserve"> it.  </w:t>
      </w:r>
    </w:p>
    <w:p w:rsidR="0094658B" w:rsidRDefault="0094658B" w:rsidP="0094658B">
      <w:pPr>
        <w:spacing w:line="480" w:lineRule="auto"/>
        <w:ind w:firstLine="720"/>
        <w:rPr>
          <w:rFonts w:eastAsia="Calibri" w:cs="Times New Roman"/>
        </w:rPr>
      </w:pPr>
      <w:r w:rsidRPr="005B1095">
        <w:rPr>
          <w:rFonts w:eastAsia="Calibri" w:cs="Times New Roman"/>
        </w:rPr>
        <w:t xml:space="preserve">The idea that government has a monopoly on public safety is not a crazy one either, for what it is worth.  </w:t>
      </w:r>
      <w:r w:rsidR="003B12E5" w:rsidRPr="005B1095">
        <w:rPr>
          <w:rFonts w:eastAsia="Calibri" w:cs="Times New Roman"/>
        </w:rPr>
        <w:t>Hobbes describ</w:t>
      </w:r>
      <w:r w:rsidR="003B12E5">
        <w:rPr>
          <w:rFonts w:eastAsia="Calibri" w:cs="Times New Roman"/>
        </w:rPr>
        <w:t>ed</w:t>
      </w:r>
      <w:r w:rsidR="003B12E5" w:rsidRPr="005B1095">
        <w:rPr>
          <w:rFonts w:eastAsia="Calibri" w:cs="Times New Roman"/>
        </w:rPr>
        <w:t xml:space="preserve"> security as being “[t]he end for which one man giveth up, and </w:t>
      </w:r>
      <w:proofErr w:type="spellStart"/>
      <w:r w:rsidR="003B12E5" w:rsidRPr="005B1095">
        <w:rPr>
          <w:rFonts w:eastAsia="Calibri" w:cs="Times New Roman"/>
        </w:rPr>
        <w:t>relinquisheth</w:t>
      </w:r>
      <w:proofErr w:type="spellEnd"/>
      <w:r w:rsidR="003B12E5" w:rsidRPr="005B1095">
        <w:rPr>
          <w:rFonts w:eastAsia="Calibri" w:cs="Times New Roman"/>
        </w:rPr>
        <w:t xml:space="preserve"> to another, or others, the right of protecting and defending himself by his own power.”</w:t>
      </w:r>
      <w:r w:rsidR="003B12E5" w:rsidRPr="005B1095">
        <w:rPr>
          <w:rFonts w:eastAsia="Calibri" w:cs="Times New Roman"/>
          <w:vertAlign w:val="superscript"/>
        </w:rPr>
        <w:footnoteReference w:id="207"/>
      </w:r>
      <w:r w:rsidR="003B12E5" w:rsidRPr="005B1095">
        <w:rPr>
          <w:rFonts w:eastAsia="Calibri" w:cs="Times New Roman"/>
        </w:rPr>
        <w:t xml:space="preserve"> </w:t>
      </w:r>
      <w:r w:rsidRPr="005B1095">
        <w:rPr>
          <w:rFonts w:eastAsia="Calibri" w:cs="Times New Roman"/>
        </w:rPr>
        <w:t>The whole point of government was not only to keep robbers from coming in and stealing our stuff, but to put our minds to rest so we didn’t have to be on patrol all the time.  “[O]</w:t>
      </w:r>
      <w:proofErr w:type="spellStart"/>
      <w:r w:rsidRPr="005B1095">
        <w:rPr>
          <w:rFonts w:eastAsia="Calibri" w:cs="Times New Roman"/>
        </w:rPr>
        <w:t>ur</w:t>
      </w:r>
      <w:proofErr w:type="spellEnd"/>
      <w:r w:rsidRPr="005B1095">
        <w:rPr>
          <w:rFonts w:eastAsia="Calibri" w:cs="Times New Roman"/>
        </w:rPr>
        <w:t xml:space="preserve"> anxiety to preserve it condemns us to a thousand protective measures, vexatious and irksome in themselves, and always liable to miscarry,” fretted Bentham.</w:t>
      </w:r>
      <w:r w:rsidRPr="005B1095">
        <w:rPr>
          <w:rFonts w:eastAsia="Calibri" w:cs="Times New Roman"/>
          <w:vertAlign w:val="superscript"/>
        </w:rPr>
        <w:footnoteReference w:id="208"/>
      </w:r>
      <w:r w:rsidRPr="005B1095">
        <w:rPr>
          <w:rFonts w:eastAsia="Calibri" w:cs="Times New Roman"/>
        </w:rPr>
        <w:t xml:space="preserve">  </w:t>
      </w:r>
      <w:r w:rsidR="003B12E5">
        <w:rPr>
          <w:rFonts w:eastAsia="Calibri" w:cs="Times New Roman"/>
        </w:rPr>
        <w:t xml:space="preserve">Perhaps it is government’s job, and no others, </w:t>
      </w:r>
      <w:r w:rsidRPr="005B1095">
        <w:rPr>
          <w:rFonts w:eastAsia="Calibri" w:cs="Times New Roman"/>
        </w:rPr>
        <w:t>to take that weight off our shoulders.</w:t>
      </w:r>
    </w:p>
    <w:p w:rsidR="00C01143" w:rsidRDefault="0094658B" w:rsidP="0094658B">
      <w:pPr>
        <w:spacing w:line="480" w:lineRule="auto"/>
        <w:ind w:firstLine="720"/>
        <w:rPr>
          <w:rFonts w:eastAsia="Calibri" w:cs="Times New Roman"/>
        </w:rPr>
      </w:pPr>
      <w:r>
        <w:rPr>
          <w:rFonts w:eastAsia="Calibri" w:cs="Times New Roman"/>
        </w:rPr>
        <w:t>Were this the case, though, it would require some justification. Why should government have a monopoly on the provision of the protection function, but not so many other elements of public safety? Here we will explore two possible justifications, one built on the idea of public goods</w:t>
      </w:r>
      <w:r w:rsidR="003B12E5">
        <w:rPr>
          <w:rFonts w:eastAsia="Calibri" w:cs="Times New Roman"/>
        </w:rPr>
        <w:t>,</w:t>
      </w:r>
      <w:r>
        <w:rPr>
          <w:rFonts w:eastAsia="Calibri" w:cs="Times New Roman"/>
        </w:rPr>
        <w:t xml:space="preserve"> and one on externalities.  </w:t>
      </w:r>
      <w:r w:rsidR="003B12E5">
        <w:rPr>
          <w:rFonts w:eastAsia="Calibri" w:cs="Times New Roman"/>
        </w:rPr>
        <w:t>Once again, neither serves to distinguish protection.</w:t>
      </w:r>
    </w:p>
    <w:p w:rsidR="00B16DB8" w:rsidRDefault="00E20540" w:rsidP="00B16DB8">
      <w:pPr>
        <w:spacing w:line="480" w:lineRule="auto"/>
        <w:rPr>
          <w:rFonts w:eastAsia="Calibri" w:cs="Times New Roman"/>
        </w:rPr>
      </w:pPr>
      <w:r w:rsidRPr="005B1095">
        <w:rPr>
          <w:rFonts w:eastAsia="Calibri" w:cs="Times New Roman"/>
        </w:rPr>
        <w:tab/>
      </w:r>
      <w:r w:rsidR="0094658B">
        <w:rPr>
          <w:rFonts w:eastAsia="Calibri" w:cs="Times New Roman"/>
        </w:rPr>
        <w:t>1</w:t>
      </w:r>
      <w:r w:rsidRPr="005B1095">
        <w:rPr>
          <w:rFonts w:eastAsia="Calibri" w:cs="Times New Roman"/>
        </w:rPr>
        <w:t>.</w:t>
      </w:r>
      <w:r w:rsidRPr="005B1095">
        <w:rPr>
          <w:rFonts w:eastAsia="Calibri" w:cs="Times New Roman"/>
        </w:rPr>
        <w:tab/>
        <w:t>Public Good</w:t>
      </w:r>
    </w:p>
    <w:p w:rsidR="00E20540" w:rsidRPr="005B1095" w:rsidRDefault="00E20540" w:rsidP="00B16DB8">
      <w:pPr>
        <w:spacing w:line="480" w:lineRule="auto"/>
        <w:ind w:firstLine="720"/>
        <w:rPr>
          <w:rFonts w:eastAsia="Calibri" w:cs="Times New Roman"/>
        </w:rPr>
      </w:pPr>
      <w:r w:rsidRPr="005B1095">
        <w:rPr>
          <w:rFonts w:eastAsia="Calibri" w:cs="Times New Roman"/>
        </w:rPr>
        <w:t>Public goods, according to economists, have two characteristics that ensure market failure around their provision, making government action</w:t>
      </w:r>
      <w:r w:rsidR="00B16DB8">
        <w:rPr>
          <w:rFonts w:eastAsia="Calibri" w:cs="Times New Roman"/>
        </w:rPr>
        <w:t xml:space="preserve"> requisite</w:t>
      </w:r>
      <w:r w:rsidRPr="005B1095">
        <w:rPr>
          <w:rFonts w:eastAsia="Calibri" w:cs="Times New Roman"/>
        </w:rPr>
        <w:t>.</w:t>
      </w:r>
      <w:r w:rsidR="003B12E5" w:rsidRPr="003B12E5">
        <w:rPr>
          <w:rStyle w:val="FootnoteReference"/>
          <w:rFonts w:eastAsia="Calibri" w:cs="Times New Roman"/>
          <w:sz w:val="24"/>
        </w:rPr>
        <w:t xml:space="preserve"> </w:t>
      </w:r>
      <w:r w:rsidR="003B12E5" w:rsidRPr="005B1095">
        <w:rPr>
          <w:rStyle w:val="FootnoteReference"/>
          <w:rFonts w:eastAsia="Calibri" w:cs="Times New Roman"/>
          <w:sz w:val="24"/>
        </w:rPr>
        <w:footnoteReference w:id="209"/>
      </w:r>
      <w:r w:rsidRPr="005B1095">
        <w:rPr>
          <w:rFonts w:eastAsia="Calibri" w:cs="Times New Roman"/>
        </w:rPr>
        <w:t xml:space="preserve">  First, they are non-excludable:  if the good is made available, you can’t keep folks out, or force them to pay to take advantage.  Second, they are non-rivalrous, meaning no matter how many folks take advantage, there’s still enough to keep going around.</w:t>
      </w:r>
      <w:r w:rsidRPr="005B1095">
        <w:rPr>
          <w:rStyle w:val="FootnoteReference"/>
          <w:rFonts w:eastAsia="Calibri" w:cs="Times New Roman"/>
          <w:sz w:val="24"/>
        </w:rPr>
        <w:footnoteReference w:id="210"/>
      </w:r>
      <w:r w:rsidRPr="005B1095">
        <w:rPr>
          <w:rFonts w:eastAsia="Calibri" w:cs="Times New Roman"/>
        </w:rPr>
        <w:t xml:space="preserve"> </w:t>
      </w:r>
      <w:r w:rsidR="003B12E5">
        <w:rPr>
          <w:rFonts w:eastAsia="Calibri" w:cs="Times New Roman"/>
        </w:rPr>
        <w:t xml:space="preserve">As a result, </w:t>
      </w:r>
      <w:proofErr w:type="spellStart"/>
      <w:r w:rsidR="003B12E5" w:rsidRPr="005B1095">
        <w:rPr>
          <w:rFonts w:eastAsia="Calibri" w:cs="Times New Roman"/>
        </w:rPr>
        <w:t>Tiebout</w:t>
      </w:r>
      <w:proofErr w:type="spellEnd"/>
      <w:r w:rsidR="003B12E5" w:rsidRPr="005B1095">
        <w:rPr>
          <w:rFonts w:eastAsia="Calibri" w:cs="Times New Roman"/>
        </w:rPr>
        <w:t xml:space="preserve"> explains, </w:t>
      </w:r>
      <w:r w:rsidR="00B16DB8" w:rsidRPr="005B1095">
        <w:rPr>
          <w:rFonts w:eastAsia="Calibri" w:cs="Times New Roman"/>
        </w:rPr>
        <w:t>“</w:t>
      </w:r>
      <w:r w:rsidR="003B12E5">
        <w:rPr>
          <w:rFonts w:eastAsia="Calibri" w:cs="Times New Roman"/>
        </w:rPr>
        <w:t>[a]</w:t>
      </w:r>
      <w:r w:rsidR="00B16DB8" w:rsidRPr="005B1095">
        <w:rPr>
          <w:rFonts w:eastAsia="Calibri" w:cs="Times New Roman"/>
        </w:rPr>
        <w:t xml:space="preserve"> public good is one which should be produced, but for which there is no feasible method of charging the consumers.”</w:t>
      </w:r>
      <w:r w:rsidR="00B16DB8" w:rsidRPr="005B1095">
        <w:rPr>
          <w:rStyle w:val="FootnoteReference"/>
          <w:rFonts w:eastAsia="Calibri" w:cs="Times New Roman"/>
          <w:sz w:val="24"/>
        </w:rPr>
        <w:footnoteReference w:id="211"/>
      </w:r>
      <w:r w:rsidR="00B16DB8" w:rsidRPr="005B1095">
        <w:rPr>
          <w:rFonts w:eastAsia="Calibri" w:cs="Times New Roman"/>
        </w:rPr>
        <w:t xml:space="preserve"> </w:t>
      </w:r>
      <w:r w:rsidRPr="005B1095">
        <w:rPr>
          <w:rFonts w:eastAsia="Calibri" w:cs="Times New Roman"/>
        </w:rPr>
        <w:t>The classic example of a public good is a defense against ballistic missiles.</w:t>
      </w:r>
      <w:r w:rsidRPr="005B1095">
        <w:rPr>
          <w:rStyle w:val="FootnoteReference"/>
          <w:rFonts w:eastAsia="Calibri" w:cs="Times New Roman"/>
          <w:sz w:val="24"/>
        </w:rPr>
        <w:footnoteReference w:id="212"/>
      </w:r>
      <w:r w:rsidRPr="005B1095">
        <w:rPr>
          <w:rFonts w:eastAsia="Calibri" w:cs="Times New Roman"/>
        </w:rPr>
        <w:t xml:space="preserve">  It’s hard for market providers to charge for public goods, because folks will free ride and still take advantage.  The answer, economic theory says, is government stepping in, taxing everyone, and providing the good for everyone’s benefit.</w:t>
      </w:r>
      <w:r w:rsidRPr="005B1095">
        <w:rPr>
          <w:rFonts w:eastAsia="Calibri" w:cs="Times New Roman"/>
          <w:vertAlign w:val="superscript"/>
        </w:rPr>
        <w:footnoteReference w:id="213"/>
      </w:r>
    </w:p>
    <w:p w:rsidR="00E20540" w:rsidRPr="005B1095" w:rsidRDefault="00E20540" w:rsidP="00E20540">
      <w:pPr>
        <w:spacing w:line="480" w:lineRule="auto"/>
        <w:rPr>
          <w:rFonts w:eastAsia="Calibri" w:cs="Times New Roman"/>
        </w:rPr>
      </w:pPr>
      <w:r w:rsidRPr="005B1095">
        <w:rPr>
          <w:rFonts w:eastAsia="Calibri" w:cs="Times New Roman"/>
        </w:rPr>
        <w:tab/>
        <w:t>The protection function is</w:t>
      </w:r>
      <w:r>
        <w:rPr>
          <w:rFonts w:eastAsia="Calibri" w:cs="Times New Roman"/>
        </w:rPr>
        <w:t xml:space="preserve">, for some, </w:t>
      </w:r>
      <w:r w:rsidRPr="005B1095">
        <w:rPr>
          <w:rFonts w:eastAsia="Calibri" w:cs="Times New Roman"/>
        </w:rPr>
        <w:t xml:space="preserve">high on the list of public goods. Here’s </w:t>
      </w:r>
      <w:proofErr w:type="spellStart"/>
      <w:r w:rsidRPr="005B1095">
        <w:rPr>
          <w:rFonts w:eastAsia="Calibri" w:cs="Times New Roman"/>
        </w:rPr>
        <w:t>Mancur</w:t>
      </w:r>
      <w:proofErr w:type="spellEnd"/>
      <w:r w:rsidRPr="005B1095">
        <w:rPr>
          <w:rFonts w:eastAsia="Calibri" w:cs="Times New Roman"/>
        </w:rPr>
        <w:t xml:space="preserve"> Olson, who’s unequivocal:</w:t>
      </w:r>
    </w:p>
    <w:p w:rsidR="00E20540" w:rsidRPr="005B1095" w:rsidRDefault="00E20540" w:rsidP="00E20540">
      <w:pPr>
        <w:ind w:left="720" w:right="720"/>
        <w:rPr>
          <w:rFonts w:eastAsia="Calibri" w:cs="Times New Roman"/>
        </w:rPr>
      </w:pPr>
      <w:r w:rsidRPr="005B1095">
        <w:rPr>
          <w:rFonts w:eastAsia="Calibri" w:cs="Times New Roman"/>
        </w:rPr>
        <w:t xml:space="preserve">“The basic and most elementary goods or services provided by government, like defense and police protection, and the system of law and order generally, are such that they go to everyone, or practically everyone in the nation. </w:t>
      </w:r>
      <w:r w:rsidRPr="005B1095">
        <w:rPr>
          <w:rFonts w:eastAsia="Calibri" w:cs="Times New Roman"/>
          <w:i/>
        </w:rPr>
        <w:t>It would obviously not be feasible, if indeed it were possible, to deny the protection provided by the military services, the police, and the courts to those who did not voluntarily pay their share of the costs of government</w:t>
      </w:r>
      <w:r w:rsidRPr="005B1095">
        <w:rPr>
          <w:rFonts w:eastAsia="Calibri" w:cs="Times New Roman"/>
        </w:rPr>
        <w:t>.”</w:t>
      </w:r>
      <w:r w:rsidRPr="005B1095">
        <w:rPr>
          <w:rFonts w:eastAsia="Calibri" w:cs="Times New Roman"/>
          <w:vertAlign w:val="superscript"/>
        </w:rPr>
        <w:footnoteReference w:id="214"/>
      </w:r>
    </w:p>
    <w:p w:rsidR="00E20540" w:rsidRPr="005B1095" w:rsidRDefault="00E20540" w:rsidP="00E20540">
      <w:pPr>
        <w:rPr>
          <w:rFonts w:eastAsia="Calibri" w:cs="Times New Roman"/>
        </w:rPr>
      </w:pPr>
    </w:p>
    <w:p w:rsidR="003C3818" w:rsidRPr="005B1095" w:rsidRDefault="00E20540" w:rsidP="00E20540">
      <w:pPr>
        <w:spacing w:line="480" w:lineRule="auto"/>
        <w:rPr>
          <w:rFonts w:eastAsia="Calibri" w:cs="Times New Roman"/>
        </w:rPr>
      </w:pPr>
      <w:r w:rsidRPr="005B1095">
        <w:rPr>
          <w:rFonts w:eastAsia="Calibri" w:cs="Times New Roman"/>
        </w:rPr>
        <w:tab/>
      </w:r>
      <w:r w:rsidR="003B12E5">
        <w:rPr>
          <w:rFonts w:eastAsia="Calibri" w:cs="Times New Roman"/>
        </w:rPr>
        <w:t>The problem is that the protection function actually is not a public good</w:t>
      </w:r>
      <w:r w:rsidRPr="005B1095">
        <w:rPr>
          <w:rFonts w:eastAsia="Calibri" w:cs="Times New Roman"/>
        </w:rPr>
        <w:t xml:space="preserve">.  Is </w:t>
      </w:r>
      <w:r w:rsidR="003B12E5">
        <w:rPr>
          <w:rFonts w:eastAsia="Calibri" w:cs="Times New Roman"/>
        </w:rPr>
        <w:t>protection</w:t>
      </w:r>
      <w:r w:rsidRPr="005B1095">
        <w:rPr>
          <w:rFonts w:eastAsia="Calibri" w:cs="Times New Roman"/>
        </w:rPr>
        <w:t xml:space="preserve"> excludable?  Sure: people can live in gated communities, or hire guards.  </w:t>
      </w:r>
      <w:r w:rsidR="003B12E5">
        <w:rPr>
          <w:rFonts w:eastAsia="Calibri" w:cs="Times New Roman"/>
        </w:rPr>
        <w:t xml:space="preserve">Indeed, government seems quite plainly capable of protecting the residents of some communities but not others. </w:t>
      </w:r>
      <w:r w:rsidRPr="005B1095">
        <w:rPr>
          <w:rFonts w:eastAsia="Calibri" w:cs="Times New Roman"/>
        </w:rPr>
        <w:t>Is public safety non-rivalrous?  Hardly.  There’s only so much to go around, as anyone who’s waited two hours for officers to arrive after calling 911 quickly realizes.  Sometimes those calls aren’t answered at all.</w:t>
      </w:r>
      <w:r w:rsidRPr="005B1095">
        <w:rPr>
          <w:rStyle w:val="FootnoteReference"/>
          <w:rFonts w:eastAsia="Calibri" w:cs="Times New Roman"/>
          <w:sz w:val="24"/>
        </w:rPr>
        <w:footnoteReference w:id="215"/>
      </w:r>
      <w:r w:rsidRPr="005B1095">
        <w:rPr>
          <w:rFonts w:eastAsia="Calibri" w:cs="Times New Roman"/>
        </w:rPr>
        <w:t xml:space="preserve">  Besides, Olson’s just wrong on his “if indeed it were possible” to deny services to the non-paying point</w:t>
      </w:r>
      <w:r w:rsidR="003C3818">
        <w:rPr>
          <w:rFonts w:eastAsia="Calibri" w:cs="Times New Roman"/>
        </w:rPr>
        <w:t>. That may be true of ballistic missile defense, but</w:t>
      </w:r>
      <w:r w:rsidRPr="005B1095">
        <w:rPr>
          <w:rFonts w:eastAsia="Calibri" w:cs="Times New Roman"/>
        </w:rPr>
        <w:t xml:space="preserve">  we charge user fees for things around the protection function all the time.</w:t>
      </w:r>
      <w:r w:rsidRPr="005B1095">
        <w:rPr>
          <w:rFonts w:eastAsia="Calibri" w:cs="Times New Roman"/>
          <w:vertAlign w:val="superscript"/>
        </w:rPr>
        <w:footnoteReference w:id="216"/>
      </w:r>
      <w:r w:rsidRPr="005B1095">
        <w:rPr>
          <w:rFonts w:eastAsia="Calibri" w:cs="Times New Roman"/>
        </w:rPr>
        <w:t xml:space="preserve"> Some jurisdictions </w:t>
      </w:r>
      <w:r w:rsidR="003B12E5">
        <w:rPr>
          <w:rFonts w:eastAsia="Calibri" w:cs="Times New Roman"/>
        </w:rPr>
        <w:t xml:space="preserve">even </w:t>
      </w:r>
      <w:r w:rsidRPr="005B1095">
        <w:rPr>
          <w:rFonts w:eastAsia="Calibri" w:cs="Times New Roman"/>
        </w:rPr>
        <w:t xml:space="preserve">charge arrestees for the honor of being </w:t>
      </w:r>
      <w:bookmarkStart w:id="1" w:name="_Hlk47270405"/>
      <w:r w:rsidRPr="005B1095">
        <w:rPr>
          <w:rFonts w:eastAsia="Calibri" w:cs="Times New Roman"/>
        </w:rPr>
        <w:t>arrested</w:t>
      </w:r>
      <w:bookmarkEnd w:id="1"/>
      <w:r w:rsidRPr="005B1095">
        <w:rPr>
          <w:rFonts w:eastAsia="Calibri" w:cs="Times New Roman"/>
        </w:rPr>
        <w:t>.</w:t>
      </w:r>
      <w:r w:rsidRPr="005B1095">
        <w:rPr>
          <w:rFonts w:eastAsia="Calibri" w:cs="Times New Roman"/>
          <w:vertAlign w:val="superscript"/>
        </w:rPr>
        <w:footnoteReference w:id="217"/>
      </w:r>
      <w:r w:rsidRPr="005B1095">
        <w:rPr>
          <w:rFonts w:eastAsia="Calibri" w:cs="Times New Roman"/>
        </w:rPr>
        <w:t xml:space="preserve">  Whether this is sane or despicable is another question, but it’s doable.  We could certainly charge for 911 if we wanted, and maybe we should if calls turn out to be frivolous, in order to curtail unnecessary usage.</w:t>
      </w:r>
      <w:r w:rsidRPr="005B1095">
        <w:rPr>
          <w:rFonts w:eastAsia="Calibri" w:cs="Times New Roman"/>
          <w:vertAlign w:val="superscript"/>
        </w:rPr>
        <w:footnoteReference w:id="218"/>
      </w:r>
    </w:p>
    <w:p w:rsidR="00E20540" w:rsidRPr="005B1095" w:rsidRDefault="00E20540" w:rsidP="00E20540">
      <w:pPr>
        <w:spacing w:line="480" w:lineRule="auto"/>
        <w:rPr>
          <w:rFonts w:eastAsia="Calibri" w:cs="Times New Roman"/>
        </w:rPr>
      </w:pPr>
      <w:r w:rsidRPr="005B1095">
        <w:rPr>
          <w:rFonts w:eastAsia="Calibri" w:cs="Times New Roman"/>
        </w:rPr>
        <w:tab/>
        <w:t xml:space="preserve">On the other hand, there are other aspects of </w:t>
      </w:r>
      <w:r w:rsidR="003C3818">
        <w:rPr>
          <w:rFonts w:eastAsia="Calibri" w:cs="Times New Roman"/>
        </w:rPr>
        <w:t>public</w:t>
      </w:r>
      <w:r w:rsidRPr="005B1095">
        <w:rPr>
          <w:rFonts w:eastAsia="Calibri" w:cs="Times New Roman"/>
        </w:rPr>
        <w:t xml:space="preserve"> safety beyond protection that unequivocally are public goods.  One of them is clean air.  Like a ballistic missile defense system, it’s hard if not impossible to exclude people from breathing clean air, and if available it is abundant.  Charging for it is difficult, so government deploys its regulatory authority to ensure we have access.</w:t>
      </w:r>
      <w:r w:rsidRPr="005B1095">
        <w:rPr>
          <w:rFonts w:eastAsia="Calibri" w:cs="Times New Roman"/>
          <w:vertAlign w:val="superscript"/>
        </w:rPr>
        <w:footnoteReference w:id="219"/>
      </w:r>
      <w:r w:rsidR="003C3818">
        <w:rPr>
          <w:rFonts w:eastAsia="Calibri" w:cs="Times New Roman"/>
        </w:rPr>
        <w:t xml:space="preserve"> </w:t>
      </w:r>
      <w:r w:rsidR="003B12E5">
        <w:rPr>
          <w:rFonts w:eastAsia="Calibri" w:cs="Times New Roman"/>
        </w:rPr>
        <w:t xml:space="preserve"> In short, </w:t>
      </w:r>
      <w:r w:rsidR="003C3818">
        <w:rPr>
          <w:rFonts w:eastAsia="Calibri" w:cs="Times New Roman"/>
        </w:rPr>
        <w:t>the public goods argument works for some elements of public safety, but not for the protection function.</w:t>
      </w:r>
    </w:p>
    <w:p w:rsidR="00E20540" w:rsidRPr="005B1095" w:rsidRDefault="00E20540" w:rsidP="00E20540">
      <w:pPr>
        <w:spacing w:line="480" w:lineRule="auto"/>
        <w:rPr>
          <w:rFonts w:eastAsia="Calibri" w:cs="Times New Roman"/>
        </w:rPr>
      </w:pPr>
      <w:r w:rsidRPr="005B1095">
        <w:rPr>
          <w:rFonts w:eastAsia="Calibri" w:cs="Times New Roman"/>
        </w:rPr>
        <w:tab/>
      </w:r>
      <w:r w:rsidR="002E6625">
        <w:rPr>
          <w:rFonts w:eastAsia="Calibri" w:cs="Times New Roman"/>
        </w:rPr>
        <w:t>3</w:t>
      </w:r>
      <w:r w:rsidRPr="005B1095">
        <w:rPr>
          <w:rFonts w:eastAsia="Calibri" w:cs="Times New Roman"/>
        </w:rPr>
        <w:t>.</w:t>
      </w:r>
      <w:r w:rsidRPr="005B1095">
        <w:rPr>
          <w:rFonts w:eastAsia="Calibri" w:cs="Times New Roman"/>
        </w:rPr>
        <w:tab/>
        <w:t>Externalities</w:t>
      </w:r>
    </w:p>
    <w:p w:rsidR="00E20540" w:rsidRDefault="00E20540" w:rsidP="00E20540">
      <w:pPr>
        <w:spacing w:line="480" w:lineRule="auto"/>
        <w:rPr>
          <w:rFonts w:eastAsia="Calibri" w:cs="Times New Roman"/>
        </w:rPr>
      </w:pPr>
      <w:r w:rsidRPr="005B1095">
        <w:rPr>
          <w:rFonts w:eastAsia="Calibri" w:cs="Times New Roman"/>
        </w:rPr>
        <w:tab/>
        <w:t xml:space="preserve">There’s a weaker form of this argument, </w:t>
      </w:r>
      <w:r w:rsidR="003C3818">
        <w:rPr>
          <w:rFonts w:eastAsia="Calibri" w:cs="Times New Roman"/>
        </w:rPr>
        <w:t>which is that</w:t>
      </w:r>
      <w:r w:rsidRPr="005B1095">
        <w:rPr>
          <w:rFonts w:eastAsia="Calibri" w:cs="Times New Roman"/>
        </w:rPr>
        <w:t xml:space="preserve">  government has a special role to play when activities performed by private entities create externalities that government provision could avoid.</w:t>
      </w:r>
      <w:r w:rsidRPr="005B1095">
        <w:rPr>
          <w:rFonts w:eastAsia="Calibri" w:cs="Times New Roman"/>
          <w:vertAlign w:val="superscript"/>
        </w:rPr>
        <w:footnoteReference w:id="220"/>
      </w:r>
      <w:r w:rsidRPr="005B1095">
        <w:rPr>
          <w:rFonts w:eastAsia="Calibri" w:cs="Times New Roman"/>
        </w:rPr>
        <w:t xml:space="preserve">  Which is to say, even if we allow others to provide certain functions, private provision imposes costs on the rest of us.  So we are better off if government does the job</w:t>
      </w:r>
      <w:r w:rsidR="006D4F19">
        <w:rPr>
          <w:rFonts w:eastAsia="Calibri" w:cs="Times New Roman"/>
        </w:rPr>
        <w:t>, in order to avoid those externalities</w:t>
      </w:r>
      <w:r w:rsidRPr="005B1095">
        <w:rPr>
          <w:rFonts w:eastAsia="Calibri" w:cs="Times New Roman"/>
        </w:rPr>
        <w:t>.  Perhaps that explains why protection is privileged and other elements of safety are not.</w:t>
      </w:r>
    </w:p>
    <w:p w:rsidR="002E6625" w:rsidRDefault="003C3818" w:rsidP="002E6625">
      <w:pPr>
        <w:spacing w:line="480" w:lineRule="auto"/>
        <w:ind w:firstLine="720"/>
        <w:rPr>
          <w:rFonts w:eastAsia="Calibri" w:cs="Times New Roman"/>
        </w:rPr>
      </w:pPr>
      <w:r>
        <w:rPr>
          <w:rFonts w:eastAsia="Calibri" w:cs="Times New Roman"/>
        </w:rPr>
        <w:t xml:space="preserve">This is hardly a crazy argument. </w:t>
      </w:r>
      <w:r w:rsidR="001B55C1" w:rsidRPr="005B1095">
        <w:rPr>
          <w:rFonts w:eastAsia="Calibri" w:cs="Times New Roman"/>
        </w:rPr>
        <w:t>If I</w:t>
      </w:r>
      <w:r w:rsidR="006D4F19">
        <w:rPr>
          <w:rFonts w:eastAsia="Calibri" w:cs="Times New Roman"/>
        </w:rPr>
        <w:t xml:space="preserve"> purchase or create my</w:t>
      </w:r>
      <w:r w:rsidR="001B55C1" w:rsidRPr="005B1095">
        <w:rPr>
          <w:rFonts w:eastAsia="Calibri" w:cs="Times New Roman"/>
        </w:rPr>
        <w:t xml:space="preserve"> own food, or housing, or even education, that may not impose a burden of any sort on others.  If I privatize my personal security, on the other hand,  I may interfere with people’s liberty wrongly, or even do them injury.</w:t>
      </w:r>
      <w:r w:rsidR="00227C47">
        <w:rPr>
          <w:rStyle w:val="FootnoteReference"/>
          <w:rFonts w:eastAsia="Calibri" w:cs="Times New Roman"/>
        </w:rPr>
        <w:footnoteReference w:id="221"/>
      </w:r>
      <w:r w:rsidR="00227C47">
        <w:rPr>
          <w:rFonts w:eastAsia="Calibri" w:cs="Times New Roman"/>
        </w:rPr>
        <w:t xml:space="preserve"> </w:t>
      </w:r>
      <w:r w:rsidR="001B55C1">
        <w:rPr>
          <w:rFonts w:eastAsia="Calibri" w:cs="Times New Roman"/>
        </w:rPr>
        <w:t xml:space="preserve">We can’t very well have people running around shooting each other up whenever they feel wronged. </w:t>
      </w:r>
      <w:r w:rsidR="00ED2F47">
        <w:rPr>
          <w:rFonts w:eastAsia="Calibri" w:cs="Times New Roman"/>
        </w:rPr>
        <w:t>Thus, as</w:t>
      </w:r>
      <w:r w:rsidR="00A7630F">
        <w:rPr>
          <w:rFonts w:eastAsia="Calibri" w:cs="Times New Roman"/>
        </w:rPr>
        <w:t xml:space="preserve"> Max Weber </w:t>
      </w:r>
      <w:r w:rsidR="006D4F19">
        <w:rPr>
          <w:rFonts w:eastAsia="Calibri" w:cs="Times New Roman"/>
        </w:rPr>
        <w:t>famously</w:t>
      </w:r>
      <w:r w:rsidR="00A7630F">
        <w:rPr>
          <w:rFonts w:eastAsia="Calibri" w:cs="Times New Roman"/>
        </w:rPr>
        <w:t xml:space="preserve"> conclude</w:t>
      </w:r>
      <w:r w:rsidR="006D4F19">
        <w:rPr>
          <w:rFonts w:eastAsia="Calibri" w:cs="Times New Roman"/>
        </w:rPr>
        <w:t>d</w:t>
      </w:r>
      <w:r w:rsidR="00A7630F">
        <w:rPr>
          <w:rFonts w:eastAsia="Calibri" w:cs="Times New Roman"/>
        </w:rPr>
        <w:t xml:space="preserve"> </w:t>
      </w:r>
      <w:r w:rsidR="00A7630F" w:rsidRPr="00960A24">
        <w:rPr>
          <w:rFonts w:cs="Times New Roman"/>
        </w:rPr>
        <w:t xml:space="preserve">“[A] state is a human community that (successfully) claims the </w:t>
      </w:r>
      <w:r w:rsidR="00A7630F" w:rsidRPr="00960A24">
        <w:rPr>
          <w:rFonts w:cs="Times New Roman"/>
          <w:i/>
          <w:iCs/>
        </w:rPr>
        <w:t xml:space="preserve">monopoly of the legitimate use of physical force </w:t>
      </w:r>
      <w:r w:rsidR="00A7630F" w:rsidRPr="00960A24">
        <w:rPr>
          <w:rFonts w:cs="Times New Roman"/>
        </w:rPr>
        <w:t>within a given territory.”</w:t>
      </w:r>
      <w:r w:rsidR="00A7630F">
        <w:rPr>
          <w:rStyle w:val="FootnoteReference"/>
          <w:rFonts w:cs="Times New Roman"/>
        </w:rPr>
        <w:footnoteReference w:id="222"/>
      </w:r>
      <w:r w:rsidR="00A7630F">
        <w:rPr>
          <w:rFonts w:cs="Times New Roman"/>
        </w:rPr>
        <w:t xml:space="preserve">  </w:t>
      </w:r>
    </w:p>
    <w:p w:rsidR="008C3BDD" w:rsidRDefault="00ED2F47" w:rsidP="0059349E">
      <w:pPr>
        <w:spacing w:line="480" w:lineRule="auto"/>
        <w:ind w:firstLine="720"/>
        <w:rPr>
          <w:rFonts w:eastAsia="Calibri" w:cs="Times New Roman"/>
        </w:rPr>
      </w:pPr>
      <w:r>
        <w:rPr>
          <w:rFonts w:eastAsia="Calibri" w:cs="Times New Roman"/>
        </w:rPr>
        <w:t>This, however,</w:t>
      </w:r>
      <w:r w:rsidR="002E6625" w:rsidRPr="005B1095">
        <w:rPr>
          <w:rFonts w:eastAsia="Calibri" w:cs="Times New Roman"/>
        </w:rPr>
        <w:t xml:space="preserve"> would be radically inconsistent with </w:t>
      </w:r>
      <w:r w:rsidR="006D4F19">
        <w:rPr>
          <w:rFonts w:eastAsia="Calibri" w:cs="Times New Roman"/>
        </w:rPr>
        <w:t xml:space="preserve">our practice. </w:t>
      </w:r>
      <w:r w:rsidR="0059349E" w:rsidRPr="005B1095">
        <w:rPr>
          <w:rFonts w:eastAsia="Calibri" w:cs="Times New Roman"/>
        </w:rPr>
        <w:t>People buy</w:t>
      </w:r>
      <w:r w:rsidR="0059349E">
        <w:rPr>
          <w:rFonts w:eastAsia="Calibri" w:cs="Times New Roman"/>
        </w:rPr>
        <w:t xml:space="preserve">, possess, and use </w:t>
      </w:r>
      <w:r w:rsidR="0059349E" w:rsidRPr="005B1095">
        <w:rPr>
          <w:rFonts w:eastAsia="Calibri" w:cs="Times New Roman"/>
        </w:rPr>
        <w:t xml:space="preserve">guns </w:t>
      </w:r>
      <w:r w:rsidR="0059349E">
        <w:rPr>
          <w:rFonts w:eastAsia="Calibri" w:cs="Times New Roman"/>
        </w:rPr>
        <w:t>all the time for self-protection.</w:t>
      </w:r>
      <w:r w:rsidR="0059349E" w:rsidRPr="004C412F">
        <w:rPr>
          <w:rFonts w:eastAsia="Calibri" w:cs="Times New Roman"/>
          <w:vertAlign w:val="superscript"/>
        </w:rPr>
        <w:t xml:space="preserve"> </w:t>
      </w:r>
      <w:r w:rsidR="0059349E" w:rsidRPr="005B1095">
        <w:rPr>
          <w:rFonts w:eastAsia="Calibri" w:cs="Times New Roman"/>
          <w:vertAlign w:val="superscript"/>
        </w:rPr>
        <w:footnoteReference w:id="223"/>
      </w:r>
      <w:r w:rsidR="0059349E">
        <w:rPr>
          <w:rFonts w:eastAsia="Calibri" w:cs="Times New Roman"/>
        </w:rPr>
        <w:t xml:space="preserve"> Even the</w:t>
      </w:r>
      <w:r w:rsidR="006D4F19">
        <w:rPr>
          <w:rFonts w:eastAsia="Calibri" w:cs="Times New Roman"/>
        </w:rPr>
        <w:t xml:space="preserve"> core </w:t>
      </w:r>
      <w:r w:rsidR="002E6625" w:rsidRPr="005B1095">
        <w:rPr>
          <w:rFonts w:eastAsia="Calibri" w:cs="Times New Roman"/>
        </w:rPr>
        <w:t>policing</w:t>
      </w:r>
      <w:r w:rsidR="006D4F19">
        <w:rPr>
          <w:rFonts w:eastAsia="Calibri" w:cs="Times New Roman"/>
        </w:rPr>
        <w:t xml:space="preserve"> function</w:t>
      </w:r>
      <w:r w:rsidR="002E6625" w:rsidRPr="005B1095">
        <w:rPr>
          <w:rFonts w:eastAsia="Calibri" w:cs="Times New Roman"/>
        </w:rPr>
        <w:t xml:space="preserve">, the state’s </w:t>
      </w:r>
      <w:r w:rsidR="006D4F19">
        <w:rPr>
          <w:rFonts w:eastAsia="Calibri" w:cs="Times New Roman"/>
        </w:rPr>
        <w:t xml:space="preserve">ultimate </w:t>
      </w:r>
      <w:r w:rsidR="002E6625" w:rsidRPr="005B1095">
        <w:rPr>
          <w:rFonts w:eastAsia="Calibri" w:cs="Times New Roman"/>
        </w:rPr>
        <w:t xml:space="preserve">use of force, often is taken up by private hands.  </w:t>
      </w:r>
      <w:r w:rsidR="006D4F19">
        <w:rPr>
          <w:rFonts w:eastAsia="Calibri" w:cs="Times New Roman"/>
        </w:rPr>
        <w:t>Scholars</w:t>
      </w:r>
      <w:r w:rsidR="006D4F19" w:rsidRPr="005B1095">
        <w:rPr>
          <w:rFonts w:eastAsia="Calibri" w:cs="Times New Roman"/>
        </w:rPr>
        <w:t xml:space="preserve"> document the pervasive role </w:t>
      </w:r>
      <w:r>
        <w:rPr>
          <w:rFonts w:eastAsia="Calibri" w:cs="Times New Roman"/>
        </w:rPr>
        <w:t>private security forces</w:t>
      </w:r>
      <w:r w:rsidR="006D4F19" w:rsidRPr="005B1095">
        <w:rPr>
          <w:rFonts w:eastAsia="Calibri" w:cs="Times New Roman"/>
        </w:rPr>
        <w:t xml:space="preserve"> play, </w:t>
      </w:r>
      <w:r>
        <w:rPr>
          <w:rFonts w:eastAsia="Calibri" w:cs="Times New Roman"/>
        </w:rPr>
        <w:t xml:space="preserve">and have played, </w:t>
      </w:r>
      <w:r w:rsidR="006D4F19" w:rsidRPr="005B1095">
        <w:rPr>
          <w:rFonts w:eastAsia="Calibri" w:cs="Times New Roman"/>
        </w:rPr>
        <w:t>from department store guards to private detectives, to personal security companies.</w:t>
      </w:r>
      <w:r w:rsidR="006D4F19" w:rsidRPr="005B1095">
        <w:rPr>
          <w:rFonts w:eastAsia="Calibri" w:cs="Times New Roman"/>
          <w:vertAlign w:val="superscript"/>
        </w:rPr>
        <w:footnoteReference w:id="224"/>
      </w:r>
      <w:r w:rsidR="004C412F">
        <w:rPr>
          <w:rFonts w:eastAsia="Calibri" w:cs="Times New Roman"/>
        </w:rPr>
        <w:t xml:space="preserve"> </w:t>
      </w:r>
      <w:r w:rsidR="002E6625" w:rsidRPr="005B1095">
        <w:rPr>
          <w:rFonts w:eastAsia="Calibri" w:cs="Times New Roman"/>
        </w:rPr>
        <w:t>Elizabeth Joh recounts in detail how “privately paid police behave like law enforcement officers:  detaining individuals, conducting searches, investigating crimes, and maintaining order.”</w:t>
      </w:r>
      <w:r w:rsidR="002E6625" w:rsidRPr="005B1095">
        <w:rPr>
          <w:rFonts w:eastAsia="Calibri" w:cs="Times New Roman"/>
          <w:vertAlign w:val="superscript"/>
        </w:rPr>
        <w:footnoteReference w:id="225"/>
      </w:r>
      <w:r w:rsidR="002E6625" w:rsidRPr="005B1095">
        <w:rPr>
          <w:rFonts w:eastAsia="Calibri" w:cs="Times New Roman"/>
        </w:rPr>
        <w:t xml:space="preserve"> If anything, the privatization of safety is </w:t>
      </w:r>
      <w:r w:rsidR="0059349E">
        <w:rPr>
          <w:rFonts w:eastAsia="Calibri" w:cs="Times New Roman"/>
        </w:rPr>
        <w:t xml:space="preserve">at present is such </w:t>
      </w:r>
      <w:r w:rsidR="002E6625" w:rsidRPr="005B1095">
        <w:rPr>
          <w:rFonts w:eastAsia="Calibri" w:cs="Times New Roman"/>
        </w:rPr>
        <w:t>that scholars like Ian Loader and Neil Walker worry</w:t>
      </w:r>
      <w:r w:rsidR="006D4F19">
        <w:rPr>
          <w:rFonts w:eastAsia="Calibri" w:cs="Times New Roman"/>
        </w:rPr>
        <w:t>—</w:t>
      </w:r>
      <w:r w:rsidR="004C412F">
        <w:rPr>
          <w:rFonts w:eastAsia="Calibri" w:cs="Times New Roman"/>
        </w:rPr>
        <w:t>echoing</w:t>
      </w:r>
      <w:r w:rsidR="006D4F19">
        <w:rPr>
          <w:rFonts w:eastAsia="Calibri" w:cs="Times New Roman"/>
        </w:rPr>
        <w:t xml:space="preserve"> Weber—that </w:t>
      </w:r>
      <w:r w:rsidR="002E6625" w:rsidRPr="005B1095">
        <w:rPr>
          <w:rFonts w:eastAsia="Calibri" w:cs="Times New Roman"/>
        </w:rPr>
        <w:t>we tilt too far in that direction, threatening the core of what it even means to be a government.</w:t>
      </w:r>
      <w:r w:rsidR="002E6625" w:rsidRPr="005B1095">
        <w:rPr>
          <w:rFonts w:eastAsia="Calibri" w:cs="Times New Roman"/>
          <w:vertAlign w:val="superscript"/>
        </w:rPr>
        <w:footnoteReference w:id="226"/>
      </w:r>
      <w:r w:rsidR="0059349E">
        <w:rPr>
          <w:rFonts w:eastAsia="Calibri" w:cs="Times New Roman"/>
        </w:rPr>
        <w:t xml:space="preserve"> </w:t>
      </w:r>
    </w:p>
    <w:p w:rsidR="00F91ED6" w:rsidRDefault="004C412F" w:rsidP="008C3BDD">
      <w:pPr>
        <w:spacing w:line="480" w:lineRule="auto"/>
        <w:ind w:firstLine="720"/>
        <w:rPr>
          <w:rFonts w:eastAsia="Calibri" w:cs="Times New Roman"/>
        </w:rPr>
      </w:pPr>
      <w:r>
        <w:rPr>
          <w:rFonts w:eastAsia="Calibri" w:cs="Times New Roman"/>
        </w:rPr>
        <w:t>E</w:t>
      </w:r>
      <w:r w:rsidR="008C3BDD">
        <w:rPr>
          <w:rFonts w:eastAsia="Calibri" w:cs="Times New Roman"/>
        </w:rPr>
        <w:t xml:space="preserve">xisting law and </w:t>
      </w:r>
      <w:r w:rsidR="0059349E">
        <w:rPr>
          <w:rFonts w:eastAsia="Calibri" w:cs="Times New Roman"/>
        </w:rPr>
        <w:t>apparently the</w:t>
      </w:r>
      <w:r w:rsidR="008C3BDD">
        <w:rPr>
          <w:rFonts w:eastAsia="Calibri" w:cs="Times New Roman"/>
        </w:rPr>
        <w:t xml:space="preserve"> Constitution</w:t>
      </w:r>
      <w:r>
        <w:rPr>
          <w:rFonts w:eastAsia="Calibri" w:cs="Times New Roman"/>
        </w:rPr>
        <w:t xml:space="preserve"> say </w:t>
      </w:r>
      <w:r w:rsidR="0059349E">
        <w:rPr>
          <w:rFonts w:eastAsia="Calibri" w:cs="Times New Roman"/>
        </w:rPr>
        <w:t>using guns for self-defense is a right</w:t>
      </w:r>
      <w:r w:rsidR="008C3BDD">
        <w:rPr>
          <w:rFonts w:eastAsia="Calibri" w:cs="Times New Roman"/>
        </w:rPr>
        <w:t xml:space="preserve">. </w:t>
      </w:r>
      <w:r w:rsidR="00F91ED6" w:rsidRPr="005B1095">
        <w:rPr>
          <w:rFonts w:eastAsia="Calibri" w:cs="Times New Roman"/>
        </w:rPr>
        <w:t>Some states permit people to “stand their ground” in the face of threats, allowing them to engage in sanctioned private violence.</w:t>
      </w:r>
      <w:r w:rsidR="00F91ED6" w:rsidRPr="005B1095">
        <w:rPr>
          <w:rFonts w:eastAsia="Calibri" w:cs="Times New Roman"/>
          <w:vertAlign w:val="superscript"/>
        </w:rPr>
        <w:footnoteReference w:id="227"/>
      </w:r>
      <w:r w:rsidR="008C3BDD">
        <w:rPr>
          <w:rFonts w:eastAsia="Calibri" w:cs="Times New Roman"/>
        </w:rPr>
        <w:t xml:space="preserve">  </w:t>
      </w:r>
      <w:r>
        <w:rPr>
          <w:rFonts w:eastAsia="Calibri" w:cs="Times New Roman"/>
        </w:rPr>
        <w:t>The Supreme Court’s interpretation of the</w:t>
      </w:r>
      <w:r w:rsidR="00F91ED6" w:rsidRPr="005B1095">
        <w:rPr>
          <w:rFonts w:eastAsia="Calibri" w:cs="Times New Roman"/>
        </w:rPr>
        <w:t xml:space="preserve"> Second Amendment </w:t>
      </w:r>
      <w:r>
        <w:rPr>
          <w:rFonts w:eastAsia="Calibri" w:cs="Times New Roman"/>
        </w:rPr>
        <w:t xml:space="preserve">as including a right to possess weapons for self-defense </w:t>
      </w:r>
      <w:r w:rsidR="00F91ED6" w:rsidRPr="005B1095">
        <w:rPr>
          <w:rFonts w:eastAsia="Calibri" w:cs="Times New Roman"/>
        </w:rPr>
        <w:t>undercut</w:t>
      </w:r>
      <w:r w:rsidR="008C3BDD">
        <w:rPr>
          <w:rFonts w:eastAsia="Calibri" w:cs="Times New Roman"/>
        </w:rPr>
        <w:t>s</w:t>
      </w:r>
      <w:r w:rsidR="00F91ED6" w:rsidRPr="005B1095">
        <w:rPr>
          <w:rFonts w:eastAsia="Calibri" w:cs="Times New Roman"/>
        </w:rPr>
        <w:t xml:space="preserve"> the monopoly argument altogether.</w:t>
      </w:r>
      <w:r w:rsidR="00F91ED6" w:rsidRPr="005B1095">
        <w:rPr>
          <w:rFonts w:eastAsia="Calibri" w:cs="Times New Roman"/>
          <w:vertAlign w:val="superscript"/>
        </w:rPr>
        <w:footnoteReference w:id="228"/>
      </w:r>
      <w:r w:rsidR="00F91ED6" w:rsidRPr="005B1095">
        <w:rPr>
          <w:rFonts w:eastAsia="Calibri" w:cs="Times New Roman"/>
        </w:rPr>
        <w:t xml:space="preserve">  If Hobbes is right, the Supreme Court may well be wrong.  At least where government is doing its job with regard to public safety—and “doing its job” does not mean there won’t be the occasional fail—maybe we don’t </w:t>
      </w:r>
      <w:r w:rsidR="0059349E">
        <w:rPr>
          <w:rFonts w:eastAsia="Calibri" w:cs="Times New Roman"/>
        </w:rPr>
        <w:t xml:space="preserve">actually </w:t>
      </w:r>
      <w:r w:rsidR="00F91ED6" w:rsidRPr="005B1095">
        <w:rPr>
          <w:rFonts w:eastAsia="Calibri" w:cs="Times New Roman"/>
        </w:rPr>
        <w:t>have a right to carry our weapon about, brandishing it at all who seem threatening.</w:t>
      </w:r>
      <w:r w:rsidR="0059349E">
        <w:rPr>
          <w:rFonts w:eastAsia="Calibri" w:cs="Times New Roman"/>
        </w:rPr>
        <w:t xml:space="preserve"> </w:t>
      </w:r>
      <w:r>
        <w:rPr>
          <w:rFonts w:eastAsia="Calibri" w:cs="Times New Roman"/>
        </w:rPr>
        <w:t xml:space="preserve">It’s ironic, to say the least, that we criminalize using guns for self-defense in communities that seem to fail Hobbes caveat, in that government is unable to stop violence, and allow them in places that seem perfectly pacified. </w:t>
      </w:r>
      <w:r w:rsidR="00F91ED6" w:rsidRPr="005B1095">
        <w:rPr>
          <w:rFonts w:eastAsia="Calibri" w:cs="Times New Roman"/>
        </w:rPr>
        <w:t xml:space="preserve">But that’s not how the Supreme Court sees it, and popular opinion seems to support </w:t>
      </w:r>
      <w:r w:rsidR="008C3BDD">
        <w:rPr>
          <w:rFonts w:eastAsia="Calibri" w:cs="Times New Roman"/>
        </w:rPr>
        <w:t>the Court</w:t>
      </w:r>
      <w:r w:rsidR="00F91ED6" w:rsidRPr="005B1095">
        <w:rPr>
          <w:rFonts w:eastAsia="Calibri" w:cs="Times New Roman"/>
        </w:rPr>
        <w:t>.</w:t>
      </w:r>
      <w:r w:rsidR="00F91ED6" w:rsidRPr="005B1095">
        <w:rPr>
          <w:rFonts w:eastAsia="Calibri" w:cs="Times New Roman"/>
          <w:vertAlign w:val="superscript"/>
        </w:rPr>
        <w:footnoteReference w:id="229"/>
      </w:r>
    </w:p>
    <w:p w:rsidR="00E20540" w:rsidRPr="005B1095" w:rsidRDefault="0059349E" w:rsidP="00A7630F">
      <w:pPr>
        <w:spacing w:line="480" w:lineRule="auto"/>
        <w:ind w:firstLine="720"/>
        <w:rPr>
          <w:rFonts w:eastAsia="Calibri" w:cs="Times New Roman"/>
        </w:rPr>
      </w:pPr>
      <w:r>
        <w:rPr>
          <w:rFonts w:eastAsia="Calibri" w:cs="Times New Roman"/>
        </w:rPr>
        <w:t>Not only is there a right to private protection, externalities notwithstanding, but</w:t>
      </w:r>
      <w:r w:rsidR="00A7630F">
        <w:rPr>
          <w:rFonts w:eastAsia="Calibri" w:cs="Times New Roman"/>
        </w:rPr>
        <w:t xml:space="preserve"> the </w:t>
      </w:r>
      <w:r w:rsidR="002E6625">
        <w:rPr>
          <w:rFonts w:eastAsia="Calibri" w:cs="Times New Roman"/>
        </w:rPr>
        <w:t>g</w:t>
      </w:r>
      <w:r w:rsidR="00E20540" w:rsidRPr="005B1095">
        <w:rPr>
          <w:rFonts w:eastAsia="Calibri" w:cs="Times New Roman"/>
        </w:rPr>
        <w:t>overnment</w:t>
      </w:r>
      <w:r w:rsidR="00A7630F">
        <w:rPr>
          <w:rFonts w:eastAsia="Calibri" w:cs="Times New Roman"/>
        </w:rPr>
        <w:t>’s</w:t>
      </w:r>
      <w:r w:rsidR="00E20540" w:rsidRPr="005B1095">
        <w:rPr>
          <w:rFonts w:eastAsia="Calibri" w:cs="Times New Roman"/>
        </w:rPr>
        <w:t xml:space="preserve"> provision of security itself</w:t>
      </w:r>
      <w:r w:rsidR="00A7630F">
        <w:rPr>
          <w:rFonts w:eastAsia="Calibri" w:cs="Times New Roman"/>
        </w:rPr>
        <w:t xml:space="preserve"> can have</w:t>
      </w:r>
      <w:r w:rsidR="00E20540" w:rsidRPr="005B1095">
        <w:rPr>
          <w:rFonts w:eastAsia="Calibri" w:cs="Times New Roman"/>
        </w:rPr>
        <w:t xml:space="preserve"> serious externalities, whopping ones</w:t>
      </w:r>
      <w:r w:rsidR="002E6625">
        <w:rPr>
          <w:rFonts w:eastAsia="Calibri" w:cs="Times New Roman"/>
        </w:rPr>
        <w:t>.</w:t>
      </w:r>
      <w:r w:rsidR="00E85CCA">
        <w:rPr>
          <w:rFonts w:eastAsia="Calibri" w:cs="Times New Roman"/>
        </w:rPr>
        <w:t xml:space="preserve"> That is certainly the perception of those—including people living in very violent and crime-ridden communities—who argue we should </w:t>
      </w:r>
      <w:r w:rsidR="00A7630F">
        <w:rPr>
          <w:rFonts w:eastAsia="Calibri" w:cs="Times New Roman"/>
        </w:rPr>
        <w:t xml:space="preserve">defund the police or </w:t>
      </w:r>
      <w:r w:rsidR="00E20540" w:rsidRPr="005B1095">
        <w:rPr>
          <w:rFonts w:eastAsia="Calibri" w:cs="Times New Roman"/>
        </w:rPr>
        <w:t>abolish</w:t>
      </w:r>
      <w:r w:rsidR="00A7630F">
        <w:rPr>
          <w:rFonts w:eastAsia="Calibri" w:cs="Times New Roman"/>
        </w:rPr>
        <w:t xml:space="preserve"> them altogether</w:t>
      </w:r>
      <w:r w:rsidR="00E20540" w:rsidRPr="005B1095">
        <w:rPr>
          <w:rFonts w:eastAsia="Calibri" w:cs="Times New Roman"/>
        </w:rPr>
        <w:t>.</w:t>
      </w:r>
      <w:r w:rsidR="00E20540" w:rsidRPr="005B1095">
        <w:rPr>
          <w:rFonts w:eastAsia="Calibri" w:cs="Times New Roman"/>
          <w:vertAlign w:val="superscript"/>
        </w:rPr>
        <w:footnoteReference w:id="230"/>
      </w:r>
      <w:r w:rsidR="00E20540" w:rsidRPr="005B1095">
        <w:rPr>
          <w:rFonts w:eastAsia="Calibri" w:cs="Times New Roman"/>
        </w:rPr>
        <w:t xml:space="preserve">  </w:t>
      </w:r>
    </w:p>
    <w:p w:rsidR="00E20540" w:rsidRPr="005B1095" w:rsidRDefault="0059349E" w:rsidP="00E20540">
      <w:pPr>
        <w:spacing w:line="480" w:lineRule="auto"/>
        <w:ind w:firstLine="720"/>
        <w:rPr>
          <w:rFonts w:eastAsia="Calibri" w:cs="Times New Roman"/>
        </w:rPr>
      </w:pPr>
      <w:r>
        <w:rPr>
          <w:rFonts w:eastAsia="Calibri" w:cs="Times New Roman"/>
        </w:rPr>
        <w:t>In any event, if</w:t>
      </w:r>
      <w:r w:rsidR="00E20540" w:rsidRPr="005B1095">
        <w:rPr>
          <w:rFonts w:eastAsia="Calibri" w:cs="Times New Roman"/>
        </w:rPr>
        <w:t xml:space="preserve"> externalities </w:t>
      </w:r>
      <w:r w:rsidR="008C3BDD">
        <w:rPr>
          <w:rFonts w:eastAsia="Calibri" w:cs="Times New Roman"/>
        </w:rPr>
        <w:t xml:space="preserve">were what </w:t>
      </w:r>
      <w:r w:rsidR="00E20540" w:rsidRPr="005B1095">
        <w:rPr>
          <w:rFonts w:eastAsia="Calibri" w:cs="Times New Roman"/>
        </w:rPr>
        <w:t>justified government stepping in and pushing others out, that is true in spades for many of the other aspects of individual safety that take a lower place on the totem pole.  Consider homelessness</w:t>
      </w:r>
      <w:r>
        <w:rPr>
          <w:rFonts w:eastAsia="Calibri" w:cs="Times New Roman"/>
        </w:rPr>
        <w:t>, which many view as imposing</w:t>
      </w:r>
      <w:r w:rsidR="00E20540" w:rsidRPr="005B1095">
        <w:rPr>
          <w:rFonts w:eastAsia="Calibri" w:cs="Times New Roman"/>
        </w:rPr>
        <w:t xml:space="preserve"> enormous externalities.  People complain vociferously about those without shelter living on the street:  they raise issues of hygiene, of interference with use of public spaces, and even seem to advance the deeply dubious justification that they don’t want to have to see people in need.</w:t>
      </w:r>
      <w:r w:rsidR="00E20540" w:rsidRPr="005B1095">
        <w:rPr>
          <w:rFonts w:eastAsia="Calibri" w:cs="Times New Roman"/>
          <w:vertAlign w:val="superscript"/>
        </w:rPr>
        <w:footnoteReference w:id="231"/>
      </w:r>
      <w:r w:rsidR="00E20540" w:rsidRPr="005B1095">
        <w:rPr>
          <w:rFonts w:eastAsia="Calibri" w:cs="Times New Roman"/>
        </w:rPr>
        <w:t xml:space="preserve">  Think what you will of these arguments, they seem to present the very sort of externalities government should help address.  (Of course, government sometimes does address them, albeit using the police, which only serves to create a replacement set of externalities, and does not really address the problem.)</w:t>
      </w:r>
      <w:r w:rsidR="00E20540" w:rsidRPr="005B1095">
        <w:rPr>
          <w:rFonts w:eastAsia="Calibri" w:cs="Times New Roman"/>
          <w:vertAlign w:val="superscript"/>
        </w:rPr>
        <w:footnoteReference w:id="232"/>
      </w:r>
    </w:p>
    <w:p w:rsidR="00E20540" w:rsidRPr="005B1095" w:rsidRDefault="00E20540" w:rsidP="00E20540">
      <w:pPr>
        <w:spacing w:line="480" w:lineRule="auto"/>
        <w:ind w:firstLine="720"/>
        <w:rPr>
          <w:rFonts w:eastAsia="Calibri" w:cs="Times New Roman"/>
        </w:rPr>
      </w:pPr>
      <w:r w:rsidRPr="005B1095">
        <w:rPr>
          <w:rFonts w:eastAsia="Calibri" w:cs="Times New Roman"/>
        </w:rPr>
        <w:t>Or take the failure to educate people, which is so beset with externalities that some people even denote it a public good.  It’s not really—look how quickly a school system can get overwhelmed with too many students.  But the externalities are vast: uneducated people can’t participate in a meaningful way in democracy, they can’t provide for themselves</w:t>
      </w:r>
      <w:r w:rsidR="0059349E">
        <w:rPr>
          <w:rFonts w:eastAsia="Calibri" w:cs="Times New Roman"/>
        </w:rPr>
        <w:t xml:space="preserve">, they </w:t>
      </w:r>
      <w:r w:rsidRPr="005B1095">
        <w:rPr>
          <w:rFonts w:eastAsia="Calibri" w:cs="Times New Roman"/>
        </w:rPr>
        <w:t>become a burden on the rest of us.</w:t>
      </w:r>
      <w:r w:rsidRPr="005B1095">
        <w:rPr>
          <w:rFonts w:eastAsia="Calibri" w:cs="Times New Roman"/>
          <w:vertAlign w:val="superscript"/>
        </w:rPr>
        <w:footnoteReference w:id="233"/>
      </w:r>
      <w:r w:rsidRPr="005B1095">
        <w:rPr>
          <w:rFonts w:eastAsia="Calibri" w:cs="Times New Roman"/>
        </w:rPr>
        <w:t xml:space="preserve">  Still, even though education is considered an important part of government’s work, we don’t consider it government’s first job, and in many jurisdictions it is a struggle to get government to spend the money the job requires.</w:t>
      </w:r>
      <w:r w:rsidRPr="005B1095">
        <w:rPr>
          <w:rFonts w:eastAsia="Calibri" w:cs="Times New Roman"/>
          <w:vertAlign w:val="superscript"/>
        </w:rPr>
        <w:footnoteReference w:id="234"/>
      </w:r>
      <w:r w:rsidRPr="005B1095">
        <w:rPr>
          <w:rFonts w:eastAsia="Calibri" w:cs="Times New Roman"/>
        </w:rPr>
        <w:t xml:space="preserve">  In Detroit, there is an endless focus on public safety—unsuccessful in important ways, but still a focus—while children have been required to show up at places that it is a joke to call a school.</w:t>
      </w:r>
      <w:r w:rsidRPr="005B1095">
        <w:rPr>
          <w:rFonts w:eastAsia="Calibri" w:cs="Times New Roman"/>
          <w:vertAlign w:val="superscript"/>
        </w:rPr>
        <w:footnoteReference w:id="235"/>
      </w:r>
    </w:p>
    <w:p w:rsidR="00C01143" w:rsidRPr="005B1095" w:rsidRDefault="00E20540" w:rsidP="00A7630F">
      <w:pPr>
        <w:spacing w:line="480" w:lineRule="auto"/>
        <w:rPr>
          <w:rFonts w:eastAsia="Calibri" w:cs="Times New Roman"/>
        </w:rPr>
      </w:pPr>
      <w:r w:rsidRPr="005B1095">
        <w:rPr>
          <w:rFonts w:eastAsia="Calibri" w:cs="Times New Roman"/>
        </w:rPr>
        <w:tab/>
        <w:t xml:space="preserve">There’s every reason, therefore, to call into question whether economic arguments like public goods and externalities </w:t>
      </w:r>
      <w:r w:rsidR="00A7630F">
        <w:rPr>
          <w:rFonts w:eastAsia="Calibri" w:cs="Times New Roman"/>
        </w:rPr>
        <w:t>can justify the government having a monopoly on the protection function at least so long as it involves policing.</w:t>
      </w:r>
    </w:p>
    <w:p w:rsidR="00C01143" w:rsidRPr="008C3BDD" w:rsidRDefault="002E6625" w:rsidP="008C3BDD">
      <w:pPr>
        <w:spacing w:line="480" w:lineRule="auto"/>
        <w:ind w:firstLine="720"/>
        <w:rPr>
          <w:rFonts w:eastAsia="Calibri" w:cs="Times New Roman"/>
        </w:rPr>
      </w:pPr>
      <w:r>
        <w:rPr>
          <w:rFonts w:eastAsia="Calibri" w:cs="Times New Roman"/>
        </w:rPr>
        <w:t>4</w:t>
      </w:r>
      <w:r w:rsidR="008C3BDD">
        <w:rPr>
          <w:rFonts w:eastAsia="Calibri" w:cs="Times New Roman"/>
        </w:rPr>
        <w:t>.</w:t>
      </w:r>
      <w:r w:rsidR="008C3BDD">
        <w:rPr>
          <w:rFonts w:eastAsia="Calibri" w:cs="Times New Roman"/>
        </w:rPr>
        <w:tab/>
        <w:t>The True Meaning of Protection</w:t>
      </w:r>
    </w:p>
    <w:p w:rsidR="00A7630F" w:rsidRDefault="00C01143" w:rsidP="00A7630F">
      <w:pPr>
        <w:spacing w:line="480" w:lineRule="auto"/>
        <w:ind w:firstLine="720"/>
        <w:rPr>
          <w:rFonts w:eastAsia="Calibri" w:cs="Times New Roman"/>
        </w:rPr>
      </w:pPr>
      <w:r w:rsidRPr="005B1095">
        <w:rPr>
          <w:rFonts w:eastAsia="Calibri" w:cs="Times New Roman"/>
        </w:rPr>
        <w:t>Having said that,</w:t>
      </w:r>
      <w:r w:rsidR="00A7630F">
        <w:rPr>
          <w:rFonts w:eastAsia="Calibri" w:cs="Times New Roman"/>
        </w:rPr>
        <w:t xml:space="preserve"> there is a very different way for government to provide protection, and in this sense government does have at least a quasi</w:t>
      </w:r>
      <w:r w:rsidR="00EF5393">
        <w:rPr>
          <w:rFonts w:eastAsia="Calibri" w:cs="Times New Roman"/>
        </w:rPr>
        <w:t>-</w:t>
      </w:r>
      <w:r w:rsidR="00A7630F">
        <w:rPr>
          <w:rFonts w:eastAsia="Calibri" w:cs="Times New Roman"/>
        </w:rPr>
        <w:t>monopoly.</w:t>
      </w:r>
      <w:r w:rsidR="00EF5393">
        <w:rPr>
          <w:rFonts w:eastAsia="Calibri" w:cs="Times New Roman"/>
        </w:rPr>
        <w:t xml:space="preserve"> Government performs its protection function </w:t>
      </w:r>
      <w:r w:rsidR="00B73B63">
        <w:rPr>
          <w:rFonts w:eastAsia="Calibri" w:cs="Times New Roman"/>
        </w:rPr>
        <w:t xml:space="preserve">not by keeping the streets safe with cops, but </w:t>
      </w:r>
      <w:r w:rsidR="00EF5393">
        <w:rPr>
          <w:rFonts w:eastAsia="Calibri" w:cs="Times New Roman"/>
        </w:rPr>
        <w:t xml:space="preserve">by </w:t>
      </w:r>
      <w:r w:rsidR="00CC50F1">
        <w:rPr>
          <w:rFonts w:eastAsia="Calibri" w:cs="Times New Roman"/>
        </w:rPr>
        <w:t>retaining</w:t>
      </w:r>
      <w:r w:rsidR="00EF5393">
        <w:rPr>
          <w:rFonts w:eastAsia="Calibri" w:cs="Times New Roman"/>
        </w:rPr>
        <w:t xml:space="preserve"> the ultimate authority to define right and wrong conduct, and </w:t>
      </w:r>
      <w:r w:rsidR="00CC50F1">
        <w:rPr>
          <w:rFonts w:eastAsia="Calibri" w:cs="Times New Roman"/>
        </w:rPr>
        <w:t>to</w:t>
      </w:r>
      <w:r w:rsidR="00EF5393">
        <w:rPr>
          <w:rFonts w:eastAsia="Calibri" w:cs="Times New Roman"/>
        </w:rPr>
        <w:t xml:space="preserve"> punish</w:t>
      </w:r>
      <w:r w:rsidR="00CC50F1">
        <w:rPr>
          <w:rFonts w:eastAsia="Calibri" w:cs="Times New Roman"/>
        </w:rPr>
        <w:t xml:space="preserve"> </w:t>
      </w:r>
      <w:r w:rsidR="00EF5393">
        <w:rPr>
          <w:rFonts w:eastAsia="Calibri" w:cs="Times New Roman"/>
        </w:rPr>
        <w:t xml:space="preserve">violations. This power rests firmly on concerns about externalities, as Robert Nozick famously argued in </w:t>
      </w:r>
      <w:r w:rsidR="00EF5393" w:rsidRPr="00EF5393">
        <w:rPr>
          <w:rFonts w:eastAsia="Calibri" w:cs="Times New Roman"/>
          <w:i/>
        </w:rPr>
        <w:t>Anarchy, State, and Utopia.</w:t>
      </w:r>
      <w:r w:rsidR="00EF5393">
        <w:rPr>
          <w:rFonts w:eastAsia="Calibri" w:cs="Times New Roman"/>
        </w:rPr>
        <w:t xml:space="preserve"> Absent government power, “private and personal enforcement of one’s rights . . . leads to feuds, to an endless series of acts of retaliation and exactions of compensation.”</w:t>
      </w:r>
      <w:r w:rsidR="00EF5393">
        <w:rPr>
          <w:rStyle w:val="FootnoteReference"/>
          <w:rFonts w:eastAsia="Calibri" w:cs="Times New Roman"/>
        </w:rPr>
        <w:footnoteReference w:id="236"/>
      </w:r>
    </w:p>
    <w:p w:rsidR="00C01143" w:rsidRPr="005B1095" w:rsidRDefault="00A7630F" w:rsidP="00C01143">
      <w:pPr>
        <w:spacing w:line="480" w:lineRule="auto"/>
        <w:ind w:firstLine="720"/>
        <w:rPr>
          <w:rFonts w:eastAsia="Calibri" w:cs="Times New Roman"/>
        </w:rPr>
      </w:pPr>
      <w:r>
        <w:rPr>
          <w:rFonts w:eastAsia="Calibri" w:cs="Times New Roman"/>
        </w:rPr>
        <w:t>I</w:t>
      </w:r>
      <w:r w:rsidR="00C01143" w:rsidRPr="005B1095">
        <w:rPr>
          <w:rFonts w:eastAsia="Calibri" w:cs="Times New Roman"/>
        </w:rPr>
        <w:t xml:space="preserve">n the classical model, government’s role was to assure protection not so much by mobilized police forces, as by </w:t>
      </w:r>
      <w:r w:rsidR="00C01143" w:rsidRPr="005B1095">
        <w:rPr>
          <w:rFonts w:eastAsia="Calibri" w:cs="Times New Roman"/>
          <w:i/>
        </w:rPr>
        <w:t>passing laws</w:t>
      </w:r>
      <w:r>
        <w:rPr>
          <w:rFonts w:eastAsia="Calibri" w:cs="Times New Roman"/>
          <w:i/>
        </w:rPr>
        <w:t xml:space="preserve">, </w:t>
      </w:r>
      <w:r>
        <w:rPr>
          <w:rFonts w:eastAsia="Calibri" w:cs="Times New Roman"/>
        </w:rPr>
        <w:t xml:space="preserve">and then controlling the </w:t>
      </w:r>
      <w:r w:rsidR="00CC50F1">
        <w:rPr>
          <w:rFonts w:eastAsia="Calibri" w:cs="Times New Roman"/>
        </w:rPr>
        <w:t>remedies—including punishment—for</w:t>
      </w:r>
      <w:r>
        <w:rPr>
          <w:rFonts w:eastAsia="Calibri" w:cs="Times New Roman"/>
        </w:rPr>
        <w:t xml:space="preserve"> violations</w:t>
      </w:r>
      <w:r w:rsidR="00C01143" w:rsidRPr="005B1095">
        <w:rPr>
          <w:rFonts w:eastAsia="Calibri" w:cs="Times New Roman"/>
        </w:rPr>
        <w:t xml:space="preserve">.  This is what Hobbes and Bentham, and Locke, and many others </w:t>
      </w:r>
      <w:r w:rsidR="00CC50F1">
        <w:rPr>
          <w:rFonts w:eastAsia="Calibri" w:cs="Times New Roman"/>
        </w:rPr>
        <w:t>had in mind for the state’s role in providing public safety.</w:t>
      </w:r>
      <w:r w:rsidR="00C01143" w:rsidRPr="005B1095">
        <w:rPr>
          <w:rFonts w:eastAsia="Calibri" w:cs="Times New Roman"/>
          <w:vertAlign w:val="superscript"/>
        </w:rPr>
        <w:footnoteReference w:id="237"/>
      </w:r>
      <w:r w:rsidR="00C01143" w:rsidRPr="005B1095">
        <w:rPr>
          <w:rFonts w:eastAsia="Calibri" w:cs="Times New Roman"/>
        </w:rPr>
        <w:t xml:space="preserve"> The </w:t>
      </w:r>
      <w:r w:rsidR="00CC50F1">
        <w:rPr>
          <w:rFonts w:eastAsia="Calibri" w:cs="Times New Roman"/>
        </w:rPr>
        <w:t>would</w:t>
      </w:r>
      <w:r w:rsidR="00C01143" w:rsidRPr="005B1095">
        <w:rPr>
          <w:rFonts w:eastAsia="Calibri" w:cs="Times New Roman"/>
        </w:rPr>
        <w:t xml:space="preserve"> describe conduct that was </w:t>
      </w:r>
      <w:r>
        <w:rPr>
          <w:rFonts w:eastAsia="Calibri" w:cs="Times New Roman"/>
        </w:rPr>
        <w:t>permissible and not, and</w:t>
      </w:r>
      <w:r w:rsidR="00C01143" w:rsidRPr="005B1095">
        <w:rPr>
          <w:rFonts w:eastAsia="Calibri" w:cs="Times New Roman"/>
        </w:rPr>
        <w:t xml:space="preserve"> provide </w:t>
      </w:r>
      <w:r w:rsidR="00C01143" w:rsidRPr="005B1095">
        <w:rPr>
          <w:rFonts w:eastAsia="Calibri" w:cs="Times New Roman"/>
          <w:i/>
        </w:rPr>
        <w:t>remedies</w:t>
      </w:r>
      <w:r w:rsidR="00C01143" w:rsidRPr="005B1095">
        <w:rPr>
          <w:rFonts w:eastAsia="Calibri" w:cs="Times New Roman"/>
        </w:rPr>
        <w:t xml:space="preserve"> for violation</w:t>
      </w:r>
      <w:r w:rsidR="00CC50F1">
        <w:rPr>
          <w:rFonts w:eastAsia="Calibri" w:cs="Times New Roman"/>
        </w:rPr>
        <w:t>s</w:t>
      </w:r>
      <w:r w:rsidR="00C01143" w:rsidRPr="005B1095">
        <w:rPr>
          <w:rFonts w:eastAsia="Calibri" w:cs="Times New Roman"/>
        </w:rPr>
        <w:t>.  As Locke said, “political power” was the “RIGHT of making laws with penalties of death, and consequently all less penalties, for the regulating and preserving of property.”</w:t>
      </w:r>
      <w:r w:rsidR="00C01143" w:rsidRPr="005B1095">
        <w:rPr>
          <w:rFonts w:eastAsia="Calibri" w:cs="Times New Roman"/>
          <w:vertAlign w:val="superscript"/>
        </w:rPr>
        <w:footnoteReference w:id="238"/>
      </w:r>
      <w:r w:rsidR="00C01143" w:rsidRPr="005B1095">
        <w:rPr>
          <w:rFonts w:eastAsia="Calibri" w:cs="Times New Roman"/>
        </w:rPr>
        <w:t xml:space="preserve">  The very point of civil society, stressed Locke, was “setting up a known authority, to which every one of that society may appeal upon any injury received, or controversy that may arise, and which every one of the society ought to obey.”</w:t>
      </w:r>
      <w:r w:rsidR="00C01143" w:rsidRPr="005B1095">
        <w:rPr>
          <w:rFonts w:eastAsia="Calibri" w:cs="Times New Roman"/>
          <w:vertAlign w:val="superscript"/>
        </w:rPr>
        <w:footnoteReference w:id="239"/>
      </w:r>
      <w:r w:rsidR="00CC50F1">
        <w:rPr>
          <w:rFonts w:eastAsia="Calibri" w:cs="Times New Roman"/>
        </w:rPr>
        <w:t xml:space="preserve">  </w:t>
      </w:r>
      <w:r w:rsidR="00C01143" w:rsidRPr="005B1095">
        <w:rPr>
          <w:rFonts w:eastAsia="Calibri" w:cs="Times New Roman"/>
        </w:rPr>
        <w:t>The theory was that the availability of these remedies would serve as a deterrent to others injuring us, and thus violating our basic rights.  As Hobbes put it, laws were needed to “make known the common measure by which every man is to know what is his, and what another’s” and to compel observance because “it is no less, but much more necessary to prevent violence and rapine, than to punish the same when it is committed.”</w:t>
      </w:r>
      <w:r w:rsidR="00C01143" w:rsidRPr="005B1095">
        <w:rPr>
          <w:rFonts w:eastAsia="Calibri" w:cs="Times New Roman"/>
          <w:vertAlign w:val="superscript"/>
        </w:rPr>
        <w:footnoteReference w:id="240"/>
      </w:r>
    </w:p>
    <w:p w:rsidR="00C01143" w:rsidRDefault="00C01143" w:rsidP="00C01143">
      <w:pPr>
        <w:spacing w:line="480" w:lineRule="auto"/>
        <w:rPr>
          <w:rFonts w:eastAsia="Calibri" w:cs="Times New Roman"/>
        </w:rPr>
      </w:pPr>
      <w:r w:rsidRPr="005B1095">
        <w:rPr>
          <w:rFonts w:eastAsia="Calibri" w:cs="Times New Roman"/>
        </w:rPr>
        <w:tab/>
        <w:t xml:space="preserve">Although the policing aspect of the protection function is not, as we have seen, a public good, the lawmaking </w:t>
      </w:r>
      <w:r w:rsidR="003E4E74">
        <w:rPr>
          <w:rFonts w:eastAsia="Calibri" w:cs="Times New Roman"/>
        </w:rPr>
        <w:t xml:space="preserve">and enforcement </w:t>
      </w:r>
      <w:r w:rsidRPr="005B1095">
        <w:rPr>
          <w:rFonts w:eastAsia="Calibri" w:cs="Times New Roman"/>
        </w:rPr>
        <w:t xml:space="preserve">function is.  It is more like that missile defense: a blanket that at least in theory covers us all.  And to the extent it doesn’t actually work that way in practice, </w:t>
      </w:r>
      <w:r w:rsidR="00B73B63">
        <w:rPr>
          <w:rFonts w:eastAsia="Calibri" w:cs="Times New Roman"/>
        </w:rPr>
        <w:t xml:space="preserve">such as in violent communities, </w:t>
      </w:r>
      <w:r w:rsidRPr="005B1095">
        <w:rPr>
          <w:rFonts w:eastAsia="Calibri" w:cs="Times New Roman"/>
        </w:rPr>
        <w:t>that’s a clear indicator of governmental failure.</w:t>
      </w:r>
    </w:p>
    <w:p w:rsidR="00CC50F1" w:rsidRDefault="003E4E74" w:rsidP="00CC50F1">
      <w:pPr>
        <w:spacing w:line="480" w:lineRule="auto"/>
        <w:rPr>
          <w:rFonts w:eastAsia="Calibri" w:cs="Times New Roman"/>
        </w:rPr>
      </w:pPr>
      <w:r>
        <w:rPr>
          <w:rFonts w:eastAsia="Calibri" w:cs="Times New Roman"/>
        </w:rPr>
        <w:tab/>
      </w:r>
      <w:r w:rsidR="00CC50F1">
        <w:rPr>
          <w:rFonts w:eastAsia="Calibri" w:cs="Times New Roman"/>
        </w:rPr>
        <w:t>This power can and could be delegated of course. W</w:t>
      </w:r>
      <w:r w:rsidRPr="005B1095">
        <w:rPr>
          <w:rFonts w:eastAsia="Calibri" w:cs="Times New Roman"/>
        </w:rPr>
        <w:t>ell into the 19</w:t>
      </w:r>
      <w:r w:rsidRPr="005B1095">
        <w:rPr>
          <w:rFonts w:eastAsia="Calibri" w:cs="Times New Roman"/>
          <w:vertAlign w:val="superscript"/>
        </w:rPr>
        <w:t>th</w:t>
      </w:r>
      <w:r w:rsidRPr="005B1095">
        <w:rPr>
          <w:rFonts w:eastAsia="Calibri" w:cs="Times New Roman"/>
        </w:rPr>
        <w:t xml:space="preserve"> century, and in some places into the 20</w:t>
      </w:r>
      <w:r w:rsidRPr="005B1095">
        <w:rPr>
          <w:rFonts w:eastAsia="Calibri" w:cs="Times New Roman"/>
          <w:vertAlign w:val="superscript"/>
        </w:rPr>
        <w:t>th</w:t>
      </w:r>
      <w:r w:rsidRPr="005B1095">
        <w:rPr>
          <w:rFonts w:eastAsia="Calibri" w:cs="Times New Roman"/>
        </w:rPr>
        <w:t xml:space="preserve">, the very decision to prosecute </w:t>
      </w:r>
      <w:r>
        <w:rPr>
          <w:rFonts w:eastAsia="Calibri" w:cs="Times New Roman"/>
        </w:rPr>
        <w:t>some</w:t>
      </w:r>
      <w:r w:rsidRPr="005B1095">
        <w:rPr>
          <w:rFonts w:eastAsia="Calibri" w:cs="Times New Roman"/>
        </w:rPr>
        <w:t xml:space="preserve"> matter</w:t>
      </w:r>
      <w:r>
        <w:rPr>
          <w:rFonts w:eastAsia="Calibri" w:cs="Times New Roman"/>
        </w:rPr>
        <w:t>s</w:t>
      </w:r>
      <w:r w:rsidRPr="005B1095">
        <w:rPr>
          <w:rFonts w:eastAsia="Calibri" w:cs="Times New Roman"/>
        </w:rPr>
        <w:t xml:space="preserve"> criminally rested in private hands.</w:t>
      </w:r>
      <w:r w:rsidRPr="005B1095">
        <w:rPr>
          <w:rStyle w:val="FootnoteReference"/>
          <w:rFonts w:eastAsia="Calibri" w:cs="Times New Roman"/>
          <w:sz w:val="24"/>
        </w:rPr>
        <w:footnoteReference w:id="241"/>
      </w:r>
      <w:r w:rsidRPr="005B1095">
        <w:rPr>
          <w:rFonts w:eastAsia="Calibri" w:cs="Times New Roman"/>
        </w:rPr>
        <w:t xml:space="preserve">  On </w:t>
      </w:r>
      <w:r>
        <w:rPr>
          <w:rFonts w:eastAsia="Calibri" w:cs="Times New Roman"/>
        </w:rPr>
        <w:t>a victim’s</w:t>
      </w:r>
      <w:r w:rsidRPr="005B1095">
        <w:rPr>
          <w:rFonts w:eastAsia="Calibri" w:cs="Times New Roman"/>
        </w:rPr>
        <w:t xml:space="preserve"> say-so</w:t>
      </w:r>
      <w:r>
        <w:rPr>
          <w:rFonts w:eastAsia="Calibri" w:cs="Times New Roman"/>
        </w:rPr>
        <w:t xml:space="preserve"> </w:t>
      </w:r>
      <w:r w:rsidRPr="005B1095">
        <w:rPr>
          <w:rFonts w:eastAsia="Calibri" w:cs="Times New Roman"/>
        </w:rPr>
        <w:t xml:space="preserve">the accused even </w:t>
      </w:r>
      <w:r>
        <w:rPr>
          <w:rFonts w:eastAsia="Calibri" w:cs="Times New Roman"/>
        </w:rPr>
        <w:t>c</w:t>
      </w:r>
      <w:r w:rsidRPr="005B1095">
        <w:rPr>
          <w:rFonts w:eastAsia="Calibri" w:cs="Times New Roman"/>
        </w:rPr>
        <w:t>ould be committed to jail pending trial, unless bailed.</w:t>
      </w:r>
      <w:r w:rsidRPr="005B1095">
        <w:rPr>
          <w:rStyle w:val="FootnoteReference"/>
          <w:rFonts w:eastAsia="Calibri" w:cs="Times New Roman"/>
          <w:sz w:val="24"/>
        </w:rPr>
        <w:footnoteReference w:id="242"/>
      </w:r>
      <w:r w:rsidRPr="005B1095">
        <w:rPr>
          <w:rFonts w:eastAsia="Calibri" w:cs="Times New Roman"/>
        </w:rPr>
        <w:t xml:space="preserve"> Private counsel was retained to prosecute a case should a defendant be bound over.</w:t>
      </w:r>
      <w:r w:rsidRPr="005B1095">
        <w:rPr>
          <w:rFonts w:eastAsia="Calibri" w:cs="Times New Roman"/>
          <w:vertAlign w:val="superscript"/>
        </w:rPr>
        <w:footnoteReference w:id="243"/>
      </w:r>
      <w:r w:rsidRPr="005B1095">
        <w:rPr>
          <w:rFonts w:eastAsia="Calibri" w:cs="Times New Roman"/>
        </w:rPr>
        <w:t xml:space="preserve"> </w:t>
      </w:r>
      <w:r>
        <w:rPr>
          <w:rFonts w:eastAsia="Calibri" w:cs="Times New Roman"/>
        </w:rPr>
        <w:t>A</w:t>
      </w:r>
      <w:r w:rsidRPr="005B1095">
        <w:rPr>
          <w:rFonts w:eastAsia="Calibri" w:cs="Times New Roman"/>
        </w:rPr>
        <w:t>s late as the 1950s, though, twenty-eight states depended on private prosecution of misdemeanors.</w:t>
      </w:r>
      <w:r w:rsidRPr="005B1095">
        <w:rPr>
          <w:rStyle w:val="FootnoteReference"/>
          <w:rFonts w:eastAsia="Calibri" w:cs="Times New Roman"/>
          <w:sz w:val="24"/>
        </w:rPr>
        <w:footnoteReference w:id="244"/>
      </w:r>
      <w:r w:rsidRPr="005B1095">
        <w:rPr>
          <w:rFonts w:eastAsia="Calibri" w:cs="Times New Roman"/>
        </w:rPr>
        <w:t xml:space="preserve">  </w:t>
      </w:r>
      <w:r w:rsidR="00CC50F1">
        <w:rPr>
          <w:rFonts w:eastAsia="Calibri" w:cs="Times New Roman"/>
        </w:rPr>
        <w:t xml:space="preserve">Today there </w:t>
      </w:r>
      <w:r w:rsidR="00E86005">
        <w:rPr>
          <w:rFonts w:eastAsia="Calibri" w:cs="Times New Roman"/>
        </w:rPr>
        <w:t>are many varieties of private dispute resolution</w:t>
      </w:r>
      <w:r w:rsidR="00EF5393">
        <w:rPr>
          <w:rFonts w:eastAsia="Calibri" w:cs="Times New Roman"/>
        </w:rPr>
        <w:t>, such as mediation or arbitration</w:t>
      </w:r>
      <w:r w:rsidR="00E86005">
        <w:rPr>
          <w:rFonts w:eastAsia="Calibri" w:cs="Times New Roman"/>
        </w:rPr>
        <w:t>.</w:t>
      </w:r>
      <w:r w:rsidR="00C01143" w:rsidRPr="005B1095">
        <w:rPr>
          <w:rFonts w:eastAsia="Calibri" w:cs="Times New Roman"/>
        </w:rPr>
        <w:t xml:space="preserve">  </w:t>
      </w:r>
      <w:r w:rsidR="004C4A4D">
        <w:rPr>
          <w:rFonts w:eastAsia="Calibri" w:cs="Times New Roman"/>
        </w:rPr>
        <w:t>G</w:t>
      </w:r>
      <w:r w:rsidR="00C01143" w:rsidRPr="005B1095">
        <w:rPr>
          <w:rFonts w:eastAsia="Calibri" w:cs="Times New Roman"/>
        </w:rPr>
        <w:t>overnment</w:t>
      </w:r>
      <w:r w:rsidR="00CC50F1">
        <w:rPr>
          <w:rFonts w:eastAsia="Calibri" w:cs="Times New Roman"/>
        </w:rPr>
        <w:t>s</w:t>
      </w:r>
      <w:r w:rsidR="00C01143" w:rsidRPr="005B1095">
        <w:rPr>
          <w:rFonts w:eastAsia="Calibri" w:cs="Times New Roman"/>
        </w:rPr>
        <w:t xml:space="preserve"> delegate </w:t>
      </w:r>
      <w:r w:rsidR="004C4A4D">
        <w:rPr>
          <w:rFonts w:eastAsia="Calibri" w:cs="Times New Roman"/>
        </w:rPr>
        <w:t xml:space="preserve">to </w:t>
      </w:r>
      <w:r w:rsidR="00C01143" w:rsidRPr="005B1095">
        <w:rPr>
          <w:rFonts w:eastAsia="Calibri" w:cs="Times New Roman"/>
        </w:rPr>
        <w:t xml:space="preserve">homeowners associations  </w:t>
      </w:r>
      <w:r w:rsidR="004C4A4D">
        <w:rPr>
          <w:rFonts w:eastAsia="Calibri" w:cs="Times New Roman"/>
        </w:rPr>
        <w:t>the power adopt</w:t>
      </w:r>
      <w:r w:rsidR="00C01143" w:rsidRPr="005B1095">
        <w:rPr>
          <w:rFonts w:eastAsia="Calibri" w:cs="Times New Roman"/>
        </w:rPr>
        <w:t xml:space="preserve"> enforceable rules</w:t>
      </w:r>
      <w:r w:rsidR="00EA0CD1">
        <w:rPr>
          <w:rFonts w:eastAsia="Calibri" w:cs="Times New Roman"/>
        </w:rPr>
        <w:t xml:space="preserve">, or </w:t>
      </w:r>
      <w:r w:rsidR="004C4A4D">
        <w:rPr>
          <w:rFonts w:eastAsia="Calibri" w:cs="Times New Roman"/>
        </w:rPr>
        <w:t xml:space="preserve">defer to </w:t>
      </w:r>
      <w:r w:rsidR="00EA0CD1">
        <w:rPr>
          <w:rFonts w:eastAsia="Calibri" w:cs="Times New Roman"/>
        </w:rPr>
        <w:t>penalties imposed by a religious tribunal</w:t>
      </w:r>
      <w:r w:rsidR="00C01143" w:rsidRPr="005B1095">
        <w:rPr>
          <w:rFonts w:eastAsia="Calibri" w:cs="Times New Roman"/>
        </w:rPr>
        <w:t>.</w:t>
      </w:r>
      <w:r w:rsidR="00C01143" w:rsidRPr="005B1095">
        <w:rPr>
          <w:rFonts w:eastAsia="Calibri" w:cs="Times New Roman"/>
          <w:vertAlign w:val="superscript"/>
        </w:rPr>
        <w:footnoteReference w:id="245"/>
      </w:r>
      <w:r w:rsidR="00C01143" w:rsidRPr="005B1095">
        <w:rPr>
          <w:rFonts w:eastAsia="Calibri" w:cs="Times New Roman"/>
        </w:rPr>
        <w:t xml:space="preserve"> </w:t>
      </w:r>
      <w:r w:rsidR="004C4A4D">
        <w:rPr>
          <w:rFonts w:eastAsia="Calibri" w:cs="Times New Roman"/>
        </w:rPr>
        <w:t>“R</w:t>
      </w:r>
      <w:r w:rsidR="00EA0CD1">
        <w:rPr>
          <w:rFonts w:eastAsia="Calibri" w:cs="Times New Roman"/>
        </w:rPr>
        <w:t>estorative justice,” often means putting in private hands the imposition of remedies to resolve even what are public crimes</w:t>
      </w:r>
      <w:r w:rsidR="004C4A4D">
        <w:rPr>
          <w:rStyle w:val="FootnoteReference"/>
          <w:rFonts w:eastAsia="Calibri" w:cs="Times New Roman"/>
        </w:rPr>
        <w:footnoteReference w:id="246"/>
      </w:r>
      <w:r w:rsidR="004C4A4D">
        <w:rPr>
          <w:rFonts w:eastAsia="Calibri" w:cs="Times New Roman"/>
        </w:rPr>
        <w:t xml:space="preserve"> </w:t>
      </w:r>
    </w:p>
    <w:p w:rsidR="00C01143" w:rsidRDefault="00CC50F1" w:rsidP="00CC50F1">
      <w:pPr>
        <w:spacing w:line="480" w:lineRule="auto"/>
        <w:ind w:firstLine="720"/>
        <w:rPr>
          <w:rFonts w:eastAsia="Calibri" w:cs="Times New Roman"/>
        </w:rPr>
      </w:pPr>
      <w:r>
        <w:rPr>
          <w:rFonts w:eastAsia="Calibri" w:cs="Times New Roman"/>
        </w:rPr>
        <w:t xml:space="preserve">At bottom, though, </w:t>
      </w:r>
      <w:r w:rsidR="004C4A4D">
        <w:rPr>
          <w:rFonts w:eastAsia="Calibri" w:cs="Times New Roman"/>
        </w:rPr>
        <w:t>the ultimate</w:t>
      </w:r>
      <w:r w:rsidR="00C01143" w:rsidRPr="005B1095">
        <w:rPr>
          <w:rFonts w:eastAsia="Calibri" w:cs="Times New Roman"/>
        </w:rPr>
        <w:t xml:space="preserve"> power to make and enforce law </w:t>
      </w:r>
      <w:r w:rsidR="004C4A4D">
        <w:rPr>
          <w:rFonts w:eastAsia="Calibri" w:cs="Times New Roman"/>
        </w:rPr>
        <w:t>remains in</w:t>
      </w:r>
      <w:r w:rsidR="00C01143" w:rsidRPr="005B1095">
        <w:rPr>
          <w:rFonts w:eastAsia="Calibri" w:cs="Times New Roman"/>
        </w:rPr>
        <w:t xml:space="preserve"> government</w:t>
      </w:r>
      <w:r w:rsidR="004C4A4D">
        <w:rPr>
          <w:rFonts w:eastAsia="Calibri" w:cs="Times New Roman"/>
        </w:rPr>
        <w:t xml:space="preserve"> hands</w:t>
      </w:r>
      <w:r w:rsidR="00C01143" w:rsidRPr="005B1095">
        <w:rPr>
          <w:rFonts w:eastAsia="Calibri" w:cs="Times New Roman"/>
        </w:rPr>
        <w:t>.</w:t>
      </w:r>
      <w:r w:rsidR="00EF5393">
        <w:rPr>
          <w:rFonts w:eastAsia="Calibri" w:cs="Times New Roman"/>
        </w:rPr>
        <w:t xml:space="preserve"> As Nozick explains, nodding to the choice of people to use state mechanisms despite the existence of private forms, “[o]</w:t>
      </w:r>
      <w:proofErr w:type="spellStart"/>
      <w:r w:rsidR="00EF5393">
        <w:rPr>
          <w:rFonts w:eastAsia="Calibri" w:cs="Times New Roman"/>
        </w:rPr>
        <w:t>nly</w:t>
      </w:r>
      <w:proofErr w:type="spellEnd"/>
      <w:r w:rsidR="00EF5393">
        <w:rPr>
          <w:rFonts w:eastAsia="Calibri" w:cs="Times New Roman"/>
        </w:rPr>
        <w:t xml:space="preserve"> the state can enforce a judgment against the will of one of the parties.”</w:t>
      </w:r>
      <w:r w:rsidR="00EF5393">
        <w:rPr>
          <w:rStyle w:val="FootnoteReference"/>
          <w:rFonts w:eastAsia="Calibri" w:cs="Times New Roman"/>
        </w:rPr>
        <w:footnoteReference w:id="247"/>
      </w:r>
    </w:p>
    <w:p w:rsidR="00EF5393" w:rsidRDefault="00EF5393" w:rsidP="00C01143">
      <w:pPr>
        <w:spacing w:line="480" w:lineRule="auto"/>
        <w:rPr>
          <w:rFonts w:eastAsia="Calibri" w:cs="Times New Roman"/>
        </w:rPr>
      </w:pPr>
      <w:r>
        <w:rPr>
          <w:rFonts w:eastAsia="Calibri" w:cs="Times New Roman"/>
        </w:rPr>
        <w:tab/>
      </w:r>
      <w:r w:rsidR="003E4E74">
        <w:rPr>
          <w:rFonts w:eastAsia="Calibri" w:cs="Times New Roman"/>
        </w:rPr>
        <w:t>T</w:t>
      </w:r>
      <w:r w:rsidR="007A1C54">
        <w:rPr>
          <w:rFonts w:eastAsia="Calibri" w:cs="Times New Roman"/>
        </w:rPr>
        <w:t xml:space="preserve">his </w:t>
      </w:r>
      <w:r w:rsidR="00111E0F">
        <w:rPr>
          <w:rFonts w:eastAsia="Calibri" w:cs="Times New Roman"/>
        </w:rPr>
        <w:t xml:space="preserve">classical understanding of what public safety means </w:t>
      </w:r>
      <w:r w:rsidR="004C4A4D">
        <w:rPr>
          <w:rFonts w:eastAsia="Calibri" w:cs="Times New Roman"/>
        </w:rPr>
        <w:t xml:space="preserve">undercuts entirely the publicly-held notion about protection being job one of government. </w:t>
      </w:r>
      <w:r w:rsidR="007A1C54">
        <w:rPr>
          <w:rFonts w:eastAsia="Calibri" w:cs="Times New Roman"/>
        </w:rPr>
        <w:t xml:space="preserve">When people </w:t>
      </w:r>
      <w:r w:rsidR="004C4A4D">
        <w:rPr>
          <w:rFonts w:eastAsia="Calibri" w:cs="Times New Roman"/>
        </w:rPr>
        <w:t xml:space="preserve">stand in front of flags and bunting and </w:t>
      </w:r>
      <w:r w:rsidR="007A1C54">
        <w:rPr>
          <w:rFonts w:eastAsia="Calibri" w:cs="Times New Roman"/>
        </w:rPr>
        <w:t xml:space="preserve">give speeches about </w:t>
      </w:r>
      <w:r w:rsidR="004C4A4D">
        <w:rPr>
          <w:rFonts w:eastAsia="Calibri" w:cs="Times New Roman"/>
        </w:rPr>
        <w:t>government’s role in achieving public safety, they</w:t>
      </w:r>
      <w:r w:rsidR="007A1C54">
        <w:rPr>
          <w:rFonts w:eastAsia="Calibri" w:cs="Times New Roman"/>
        </w:rPr>
        <w:t xml:space="preserve"> hardly are </w:t>
      </w:r>
      <w:r w:rsidR="004C4A4D">
        <w:rPr>
          <w:rFonts w:eastAsia="Calibri" w:cs="Times New Roman"/>
        </w:rPr>
        <w:t>valorizing</w:t>
      </w:r>
      <w:r w:rsidR="007A1C54">
        <w:rPr>
          <w:rFonts w:eastAsia="Calibri" w:cs="Times New Roman"/>
        </w:rPr>
        <w:t xml:space="preserve"> judges, let alone </w:t>
      </w:r>
      <w:r w:rsidR="00111E0F">
        <w:rPr>
          <w:rFonts w:eastAsia="Calibri" w:cs="Times New Roman"/>
        </w:rPr>
        <w:t xml:space="preserve">executioners and </w:t>
      </w:r>
      <w:r w:rsidR="007A1C54">
        <w:rPr>
          <w:rFonts w:eastAsia="Calibri" w:cs="Times New Roman"/>
        </w:rPr>
        <w:t>corrections officers. They mean the cops riding around in fast cars, carrying guns, doing regular policing. Yet these folks have very little role—aside from serving the occasional warrant, or supervising the attachment of property</w:t>
      </w:r>
      <w:r w:rsidR="004C4A4D">
        <w:rPr>
          <w:rFonts w:eastAsia="Calibri" w:cs="Times New Roman"/>
        </w:rPr>
        <w:t>—in achieving a law-and-remedy based understanding of protection</w:t>
      </w:r>
    </w:p>
    <w:p w:rsidR="00C01143" w:rsidRPr="005B1095" w:rsidRDefault="007A1C54" w:rsidP="003E4E74">
      <w:pPr>
        <w:spacing w:line="480" w:lineRule="auto"/>
        <w:rPr>
          <w:rFonts w:eastAsia="Calibri" w:cs="Times New Roman"/>
        </w:rPr>
      </w:pPr>
      <w:r>
        <w:rPr>
          <w:rFonts w:eastAsia="Calibri" w:cs="Times New Roman"/>
        </w:rPr>
        <w:tab/>
        <w:t>More fundamentally, o</w:t>
      </w:r>
      <w:r w:rsidR="00C01143" w:rsidRPr="005B1095">
        <w:rPr>
          <w:rFonts w:eastAsia="Calibri" w:cs="Times New Roman"/>
        </w:rPr>
        <w:t xml:space="preserve">nce we reduce protection to the lawmaking function, that hardly sets it apart from almost everything else government does or could do in the name of assuring individual safety.  </w:t>
      </w:r>
      <w:r w:rsidR="004C4A4D">
        <w:rPr>
          <w:rFonts w:eastAsia="Calibri" w:cs="Times New Roman"/>
        </w:rPr>
        <w:t>Many regulatory efforts, whether around government benefits, or clean water and clean air, involve law establishing rights, entitlements, and obligations, which can be adjudicated</w:t>
      </w:r>
      <w:r w:rsidR="003E4E74">
        <w:rPr>
          <w:rFonts w:eastAsia="Calibri" w:cs="Times New Roman"/>
        </w:rPr>
        <w:t xml:space="preserve">. And violators of the rules are subject to punishment. This is just how government works. </w:t>
      </w:r>
    </w:p>
    <w:p w:rsidR="00C01143" w:rsidRPr="005B1095" w:rsidRDefault="007277F9" w:rsidP="00C01143">
      <w:pPr>
        <w:spacing w:line="480" w:lineRule="auto"/>
        <w:rPr>
          <w:rFonts w:eastAsia="Calibri" w:cs="Times New Roman"/>
          <w:i/>
        </w:rPr>
      </w:pPr>
      <w:r>
        <w:rPr>
          <w:rFonts w:eastAsia="Calibri" w:cs="Times New Roman"/>
          <w:i/>
        </w:rPr>
        <w:t>E</w:t>
      </w:r>
      <w:r w:rsidR="00C01143" w:rsidRPr="005B1095">
        <w:rPr>
          <w:rFonts w:eastAsia="Calibri" w:cs="Times New Roman"/>
          <w:i/>
        </w:rPr>
        <w:t>.</w:t>
      </w:r>
      <w:r w:rsidR="00C01143" w:rsidRPr="005B1095">
        <w:rPr>
          <w:rFonts w:eastAsia="Calibri" w:cs="Times New Roman"/>
          <w:i/>
        </w:rPr>
        <w:tab/>
        <w:t>Capacity and Capability</w:t>
      </w:r>
    </w:p>
    <w:p w:rsidR="00C01143" w:rsidRPr="005B1095" w:rsidRDefault="00C01143" w:rsidP="00C01143">
      <w:pPr>
        <w:spacing w:line="480" w:lineRule="auto"/>
        <w:rPr>
          <w:rFonts w:eastAsia="Calibri" w:cs="Times New Roman"/>
        </w:rPr>
      </w:pPr>
      <w:r w:rsidRPr="005B1095">
        <w:rPr>
          <w:rFonts w:eastAsia="Calibri" w:cs="Times New Roman"/>
        </w:rPr>
        <w:tab/>
        <w:t xml:space="preserve">This does raise another way that protection might possibly be special, though, which relates to capacity.  Government’s capacity to provide public safety simply </w:t>
      </w:r>
      <w:r w:rsidR="00227C47" w:rsidRPr="005B1095">
        <w:rPr>
          <w:rFonts w:eastAsia="Calibri" w:cs="Times New Roman"/>
        </w:rPr>
        <w:t xml:space="preserve">may </w:t>
      </w:r>
      <w:r w:rsidRPr="005B1095">
        <w:rPr>
          <w:rFonts w:eastAsia="Calibri" w:cs="Times New Roman"/>
        </w:rPr>
        <w:t>be limited. Is there then something about the protection function that makes government more capable of providing it, as opposed to the other elements of individual safety, whether along the lines of capacity or ability?  Which is to say, it’s not clear it is most important, but it might be easiest to provide.</w:t>
      </w:r>
    </w:p>
    <w:p w:rsidR="00C01143" w:rsidRPr="005B1095" w:rsidRDefault="00C01143" w:rsidP="00C01143">
      <w:pPr>
        <w:spacing w:line="480" w:lineRule="auto"/>
        <w:rPr>
          <w:rFonts w:eastAsia="Calibri" w:cs="Times New Roman"/>
        </w:rPr>
      </w:pPr>
      <w:r w:rsidRPr="005B1095">
        <w:rPr>
          <w:rFonts w:eastAsia="Calibri" w:cs="Times New Roman"/>
        </w:rPr>
        <w:tab/>
        <w:t>As for capacity, the answer seems simple:  no.  Providing government functions takes resources, but how those resources are allocated is simply a political decision about taxation and expenditure.  In theory government could spend for food, or transportation, and not for protection.  One might deem that foolish—apparently enough do that we accord primacy to protection over food, housing, or health care.  But that’s purely a function of aggregated preferences of the electorate, something we take up in Part V.</w:t>
      </w:r>
    </w:p>
    <w:p w:rsidR="00C01143" w:rsidRPr="005B1095" w:rsidRDefault="00C01143" w:rsidP="00C01143">
      <w:pPr>
        <w:spacing w:line="480" w:lineRule="auto"/>
        <w:rPr>
          <w:rFonts w:eastAsia="Calibri" w:cs="Times New Roman"/>
        </w:rPr>
      </w:pPr>
      <w:r w:rsidRPr="005B1095">
        <w:rPr>
          <w:rFonts w:eastAsia="Calibri" w:cs="Times New Roman"/>
        </w:rPr>
        <w:tab/>
        <w:t xml:space="preserve">The same is true of capability.  It’s difficult to see what makes the state uniquely capable of providing the protection function.  </w:t>
      </w:r>
      <w:r w:rsidR="00227C47">
        <w:rPr>
          <w:rFonts w:eastAsia="Calibri" w:cs="Times New Roman"/>
        </w:rPr>
        <w:t>O</w:t>
      </w:r>
      <w:r w:rsidRPr="005B1095">
        <w:rPr>
          <w:rFonts w:eastAsia="Calibri" w:cs="Times New Roman"/>
        </w:rPr>
        <w:t>ther than lawmaking, much of it has been provided privately at times.  It’s true that over time we moved to a system of public provision, but that doesn’t mean the state is particularly good at protection, as opposed to other safety functions.  If anything, we are living in a time of ample evidence that the protection function is severely broken.</w:t>
      </w:r>
    </w:p>
    <w:p w:rsidR="00C01143" w:rsidRPr="005B1095" w:rsidRDefault="00C01143" w:rsidP="00C01143">
      <w:pPr>
        <w:spacing w:line="480" w:lineRule="auto"/>
        <w:rPr>
          <w:rFonts w:eastAsia="Calibri" w:cs="Times New Roman"/>
        </w:rPr>
      </w:pPr>
      <w:r w:rsidRPr="005B1095">
        <w:rPr>
          <w:rFonts w:eastAsia="Calibri" w:cs="Times New Roman"/>
        </w:rPr>
        <w:tab/>
        <w:t>There assuredly are those who prefer to rely on private institutions for some of the other functions of public safety, but it’s hard to make a persuasive argument that the state is unsuited to those tasks vis a vis protection, or that in fact the private provision of them is successful.  There’s a real strain of antipathy among some in the United States to “big government” and a prevalent sense that help should come in the form of volunteerism and private charity.  George H. W. Bush saw “one thousand points of light” — “all the community organizations that are spread like stars throughout the Nation, doing good.”</w:t>
      </w:r>
      <w:r w:rsidRPr="005B1095">
        <w:rPr>
          <w:rStyle w:val="FootnoteReference"/>
          <w:rFonts w:eastAsia="Calibri" w:cs="Times New Roman"/>
          <w:sz w:val="24"/>
        </w:rPr>
        <w:footnoteReference w:id="248"/>
      </w:r>
      <w:r w:rsidRPr="005B1095">
        <w:rPr>
          <w:rFonts w:eastAsia="Calibri" w:cs="Times New Roman"/>
        </w:rPr>
        <w:t xml:space="preserve">  </w:t>
      </w:r>
      <w:r w:rsidR="00227C47">
        <w:rPr>
          <w:rFonts w:eastAsia="Calibri" w:cs="Times New Roman"/>
        </w:rPr>
        <w:t>This reflects a</w:t>
      </w:r>
      <w:r w:rsidRPr="005B1095">
        <w:rPr>
          <w:rFonts w:eastAsia="Calibri" w:cs="Times New Roman"/>
        </w:rPr>
        <w:t xml:space="preserve"> strong ideological strain that believes private philanthropy is the answer to want, not government intervention.</w:t>
      </w:r>
    </w:p>
    <w:p w:rsidR="00C01143" w:rsidRPr="005B1095" w:rsidRDefault="00C01143" w:rsidP="00C01143">
      <w:pPr>
        <w:spacing w:line="480" w:lineRule="auto"/>
        <w:rPr>
          <w:rFonts w:eastAsia="Calibri" w:cs="Times New Roman"/>
        </w:rPr>
      </w:pPr>
      <w:r w:rsidRPr="005B1095">
        <w:rPr>
          <w:rFonts w:eastAsia="Calibri" w:cs="Times New Roman"/>
        </w:rPr>
        <w:tab/>
        <w:t>Although charitable purpose and performance are altogether commendable, as an argument about capability this one has real difficulties. Private philanthropy is much too patchwork and dependent on happenstance to be the answer to basic necessity.</w:t>
      </w:r>
      <w:r w:rsidRPr="005B1095">
        <w:rPr>
          <w:rStyle w:val="FootnoteReference"/>
          <w:rFonts w:eastAsia="Calibri" w:cs="Times New Roman"/>
          <w:sz w:val="24"/>
        </w:rPr>
        <w:footnoteReference w:id="249"/>
      </w:r>
      <w:r w:rsidRPr="005B1095">
        <w:rPr>
          <w:rFonts w:eastAsia="Calibri" w:cs="Times New Roman"/>
        </w:rPr>
        <w:t xml:space="preserve">  Some givers may want to feed the hungry or work in a soup kitchen, others may prefer their name on a plaque outside an academic building.  No one is coordinating those gifts, and seeing that people don’t fall through the cracks—unless it is government, at least in some of the areas.  </w:t>
      </w:r>
      <w:r w:rsidR="00227C47">
        <w:rPr>
          <w:rFonts w:eastAsia="Calibri" w:cs="Times New Roman"/>
        </w:rPr>
        <w:t>Besides,</w:t>
      </w:r>
      <w:r w:rsidRPr="005B1095">
        <w:rPr>
          <w:rFonts w:eastAsia="Calibri" w:cs="Times New Roman"/>
        </w:rPr>
        <w:t xml:space="preserve"> in terms of human dignity there’s a significant difference between being forced to accept charity, or invited to accept an “entitlement” that is yours.  Charity undoubtedly makes the giver feel good, and recipients usually are grateful.  But for the truly needy, it’s unclear that gratitude ought to be demanded (even if always offered).</w:t>
      </w:r>
    </w:p>
    <w:p w:rsidR="00C01143" w:rsidRPr="005B1095" w:rsidRDefault="007277F9" w:rsidP="00C01143">
      <w:pPr>
        <w:spacing w:line="480" w:lineRule="auto"/>
        <w:rPr>
          <w:rFonts w:eastAsia="Calibri" w:cs="Times New Roman"/>
          <w:i/>
        </w:rPr>
      </w:pPr>
      <w:r>
        <w:rPr>
          <w:rFonts w:eastAsia="Calibri" w:cs="Times New Roman"/>
          <w:i/>
        </w:rPr>
        <w:t>F</w:t>
      </w:r>
      <w:r w:rsidR="00C01143" w:rsidRPr="005B1095">
        <w:rPr>
          <w:rFonts w:eastAsia="Calibri" w:cs="Times New Roman"/>
          <w:i/>
        </w:rPr>
        <w:t>.</w:t>
      </w:r>
      <w:r w:rsidR="00C01143" w:rsidRPr="005B1095">
        <w:rPr>
          <w:rFonts w:eastAsia="Calibri" w:cs="Times New Roman"/>
          <w:i/>
        </w:rPr>
        <w:tab/>
        <w:t>Dependence</w:t>
      </w:r>
    </w:p>
    <w:p w:rsidR="00C01143" w:rsidRPr="005B1095" w:rsidRDefault="00C01143" w:rsidP="00C01143">
      <w:pPr>
        <w:spacing w:line="480" w:lineRule="auto"/>
        <w:ind w:firstLine="720"/>
        <w:rPr>
          <w:rFonts w:eastAsia="Calibri" w:cs="Times New Roman"/>
        </w:rPr>
      </w:pPr>
      <w:r w:rsidRPr="005B1095">
        <w:rPr>
          <w:rFonts w:eastAsia="Calibri" w:cs="Times New Roman"/>
        </w:rPr>
        <w:t xml:space="preserve">There’s one final argument that might support an obligation on government to provide protection, but not other elements of safety:  that of dependence.  The idea here is that government can’t just promise to do something, then drop the ball.  This argument, ironically, finds root in </w:t>
      </w:r>
      <w:proofErr w:type="spellStart"/>
      <w:r w:rsidRPr="005B1095">
        <w:rPr>
          <w:rFonts w:eastAsia="Calibri" w:cs="Times New Roman"/>
          <w:i/>
        </w:rPr>
        <w:t>DeShaney</w:t>
      </w:r>
      <w:proofErr w:type="spellEnd"/>
      <w:r w:rsidRPr="005B1095">
        <w:rPr>
          <w:rFonts w:eastAsia="Calibri" w:cs="Times New Roman"/>
        </w:rPr>
        <w:t xml:space="preserve">.  As we’ve seen, the Supreme Court denied any affirmative obligation on government to watch out for Joshua.  </w:t>
      </w:r>
      <w:r w:rsidR="001655D4">
        <w:rPr>
          <w:rFonts w:eastAsia="Calibri" w:cs="Times New Roman"/>
        </w:rPr>
        <w:t>H</w:t>
      </w:r>
      <w:r w:rsidR="001655D4" w:rsidRPr="005B1095">
        <w:rPr>
          <w:rFonts w:eastAsia="Calibri" w:cs="Times New Roman"/>
        </w:rPr>
        <w:t>owever</w:t>
      </w:r>
      <w:r w:rsidR="001655D4">
        <w:rPr>
          <w:rFonts w:eastAsia="Calibri" w:cs="Times New Roman"/>
        </w:rPr>
        <w:t>, t</w:t>
      </w:r>
      <w:r w:rsidRPr="005B1095">
        <w:rPr>
          <w:rFonts w:eastAsia="Calibri" w:cs="Times New Roman"/>
        </w:rPr>
        <w:t>he majority justices acknowledged precedents holding that if Joshua had been a dependent of the government, then the obligation would have arisen to care for him.  The classic example</w:t>
      </w:r>
      <w:r w:rsidR="001655D4">
        <w:rPr>
          <w:rFonts w:eastAsia="Calibri" w:cs="Times New Roman"/>
        </w:rPr>
        <w:t xml:space="preserve">—albeit one honored </w:t>
      </w:r>
      <w:r w:rsidR="00227C47">
        <w:rPr>
          <w:rFonts w:eastAsia="Calibri" w:cs="Times New Roman"/>
        </w:rPr>
        <w:t>too often</w:t>
      </w:r>
      <w:r w:rsidR="001655D4">
        <w:rPr>
          <w:rFonts w:eastAsia="Calibri" w:cs="Times New Roman"/>
        </w:rPr>
        <w:t xml:space="preserve"> in the breach</w:t>
      </w:r>
      <w:r w:rsidR="00227C47">
        <w:rPr>
          <w:rFonts w:eastAsia="Calibri" w:cs="Times New Roman"/>
        </w:rPr>
        <w:t>, and horrifically</w:t>
      </w:r>
      <w:r w:rsidR="001655D4">
        <w:rPr>
          <w:rFonts w:eastAsia="Calibri" w:cs="Times New Roman"/>
        </w:rPr>
        <w:t xml:space="preserve"> during this pandemic—is that</w:t>
      </w:r>
      <w:r w:rsidRPr="005B1095">
        <w:rPr>
          <w:rFonts w:eastAsia="Calibri" w:cs="Times New Roman"/>
        </w:rPr>
        <w:t xml:space="preserve"> if a person is in </w:t>
      </w:r>
      <w:r w:rsidR="001655D4">
        <w:rPr>
          <w:rFonts w:eastAsia="Calibri" w:cs="Times New Roman"/>
        </w:rPr>
        <w:t xml:space="preserve">carceral </w:t>
      </w:r>
      <w:r w:rsidRPr="005B1095">
        <w:rPr>
          <w:rFonts w:eastAsia="Calibri" w:cs="Times New Roman"/>
        </w:rPr>
        <w:t xml:space="preserve">custody then the government is obliged to provide sufficient </w:t>
      </w:r>
      <w:r w:rsidR="001655D4">
        <w:rPr>
          <w:rFonts w:eastAsia="Calibri" w:cs="Times New Roman"/>
        </w:rPr>
        <w:t xml:space="preserve">medical </w:t>
      </w:r>
      <w:r w:rsidRPr="005B1095">
        <w:rPr>
          <w:rFonts w:eastAsia="Calibri" w:cs="Times New Roman"/>
        </w:rPr>
        <w:t>care.</w:t>
      </w:r>
      <w:r w:rsidRPr="005B1095">
        <w:rPr>
          <w:rFonts w:eastAsia="Calibri" w:cs="Times New Roman"/>
          <w:vertAlign w:val="superscript"/>
        </w:rPr>
        <w:footnoteReference w:id="250"/>
      </w:r>
      <w:r w:rsidRPr="005B1095">
        <w:rPr>
          <w:rFonts w:eastAsia="Calibri" w:cs="Times New Roman"/>
        </w:rPr>
        <w:t xml:space="preserve">  The same is true of other institutions such as for the mentally disabled, foster care, and other instances in which government plays a custodial role.  As the Court puts it, these cases “stand . . . for the proposition that when the State takes a person into custody and holds him there against his will, the Constitution imposes upon it a corresponding duty to assume some responsibility for his safety and general well-being.”</w:t>
      </w:r>
      <w:r w:rsidRPr="005B1095">
        <w:rPr>
          <w:rStyle w:val="FootnoteReference"/>
          <w:rFonts w:eastAsia="Calibri" w:cs="Times New Roman"/>
          <w:sz w:val="24"/>
        </w:rPr>
        <w:footnoteReference w:id="251"/>
      </w:r>
      <w:r w:rsidRPr="005B1095">
        <w:rPr>
          <w:rFonts w:eastAsia="Calibri" w:cs="Times New Roman"/>
        </w:rPr>
        <w:t xml:space="preserve">  </w:t>
      </w:r>
    </w:p>
    <w:p w:rsidR="00C01143" w:rsidRPr="005B1095" w:rsidRDefault="00C01143" w:rsidP="00C01143">
      <w:pPr>
        <w:spacing w:line="480" w:lineRule="auto"/>
        <w:ind w:firstLine="720"/>
        <w:rPr>
          <w:rFonts w:eastAsia="Calibri" w:cs="Times New Roman"/>
        </w:rPr>
      </w:pPr>
      <w:r w:rsidRPr="005B1095">
        <w:rPr>
          <w:rFonts w:eastAsia="Calibri" w:cs="Times New Roman"/>
        </w:rPr>
        <w:t xml:space="preserve">Perhaps then, </w:t>
      </w:r>
      <w:proofErr w:type="spellStart"/>
      <w:r w:rsidRPr="005B1095">
        <w:rPr>
          <w:rFonts w:eastAsia="Calibri" w:cs="Times New Roman"/>
          <w:i/>
        </w:rPr>
        <w:t>DeShaney</w:t>
      </w:r>
      <w:r w:rsidRPr="005B1095">
        <w:rPr>
          <w:rFonts w:eastAsia="Calibri" w:cs="Times New Roman"/>
        </w:rPr>
        <w:t>’s</w:t>
      </w:r>
      <w:proofErr w:type="spellEnd"/>
      <w:r w:rsidRPr="005B1095">
        <w:rPr>
          <w:rFonts w:eastAsia="Calibri" w:cs="Times New Roman"/>
        </w:rPr>
        <w:t xml:space="preserve"> </w:t>
      </w:r>
      <w:r w:rsidR="00A404E4">
        <w:rPr>
          <w:rFonts w:eastAsia="Calibri" w:cs="Times New Roman"/>
        </w:rPr>
        <w:t xml:space="preserve">factual </w:t>
      </w:r>
      <w:r w:rsidRPr="005B1095">
        <w:rPr>
          <w:rFonts w:eastAsia="Calibri" w:cs="Times New Roman"/>
        </w:rPr>
        <w:t xml:space="preserve">holding to one side, the oft-stated role of the state in protecting people has created some sort of dependency to do the job.  Sure, some people have purchased guns, and intend to defend their homes against intruders.  But many of us </w:t>
      </w:r>
      <w:r w:rsidR="00A404E4">
        <w:rPr>
          <w:rFonts w:eastAsia="Calibri" w:cs="Times New Roman"/>
        </w:rPr>
        <w:t xml:space="preserve">relied on the government doing its job to protect our person and property. </w:t>
      </w:r>
    </w:p>
    <w:p w:rsidR="00C01143" w:rsidRPr="005B1095" w:rsidRDefault="00C01143" w:rsidP="00C01143">
      <w:pPr>
        <w:spacing w:line="480" w:lineRule="auto"/>
        <w:ind w:firstLine="720"/>
        <w:rPr>
          <w:rFonts w:eastAsia="Calibri" w:cs="Times New Roman"/>
        </w:rPr>
      </w:pPr>
      <w:r w:rsidRPr="005B1095">
        <w:rPr>
          <w:rFonts w:eastAsia="Calibri" w:cs="Times New Roman"/>
        </w:rPr>
        <w:t>But if there is something to dependence</w:t>
      </w:r>
      <w:r w:rsidR="00A404E4">
        <w:rPr>
          <w:rFonts w:eastAsia="Calibri" w:cs="Times New Roman"/>
        </w:rPr>
        <w:t xml:space="preserve">, </w:t>
      </w:r>
      <w:r w:rsidRPr="005B1095">
        <w:rPr>
          <w:rFonts w:eastAsia="Calibri" w:cs="Times New Roman"/>
        </w:rPr>
        <w:t xml:space="preserve">then surely </w:t>
      </w:r>
      <w:r w:rsidR="00A404E4">
        <w:rPr>
          <w:rFonts w:eastAsia="Calibri" w:cs="Times New Roman"/>
        </w:rPr>
        <w:t xml:space="preserve">the </w:t>
      </w:r>
      <w:r w:rsidRPr="005B1095">
        <w:rPr>
          <w:rFonts w:eastAsia="Calibri" w:cs="Times New Roman"/>
        </w:rPr>
        <w:t>government can create reliance interests in ways other than by taking people into custody.  The government promises</w:t>
      </w:r>
      <w:r w:rsidR="00227C47">
        <w:rPr>
          <w:rFonts w:eastAsia="Calibri" w:cs="Times New Roman"/>
        </w:rPr>
        <w:t xml:space="preserve"> </w:t>
      </w:r>
      <w:r w:rsidRPr="005B1095">
        <w:rPr>
          <w:rFonts w:eastAsia="Calibri" w:cs="Times New Roman"/>
        </w:rPr>
        <w:t>to do lots of things for us, and in undertaking to do these things, we often give up our ability to provide for ourselves.  A simple clear example is undertaking to provide potable drinking water</w:t>
      </w:r>
      <w:r w:rsidR="00227C47">
        <w:rPr>
          <w:rFonts w:eastAsia="Calibri" w:cs="Times New Roman"/>
        </w:rPr>
        <w:t>, which the government has promised many people and failed them, such as in Flint.</w:t>
      </w:r>
      <w:r w:rsidRPr="005B1095">
        <w:rPr>
          <w:rFonts w:eastAsia="Calibri" w:cs="Times New Roman"/>
        </w:rPr>
        <w:t xml:space="preserve"> Education is another obvious example: all fifty states not only promise to provide it, they mandate that students partake</w:t>
      </w:r>
      <w:r w:rsidR="00227C47">
        <w:rPr>
          <w:rFonts w:eastAsia="Calibri" w:cs="Times New Roman"/>
        </w:rPr>
        <w:t xml:space="preserve"> (and again too often failed)</w:t>
      </w:r>
      <w:r w:rsidRPr="005B1095">
        <w:rPr>
          <w:rFonts w:eastAsia="Calibri" w:cs="Times New Roman"/>
        </w:rPr>
        <w:t xml:space="preserve">.  </w:t>
      </w:r>
    </w:p>
    <w:p w:rsidR="00C01143" w:rsidRPr="005B1095" w:rsidRDefault="00C01143" w:rsidP="00C01143">
      <w:pPr>
        <w:spacing w:line="480" w:lineRule="auto"/>
        <w:ind w:firstLine="720"/>
        <w:rPr>
          <w:rFonts w:eastAsia="Calibri" w:cs="Times New Roman"/>
        </w:rPr>
      </w:pPr>
      <w:r w:rsidRPr="005B1095">
        <w:rPr>
          <w:rFonts w:eastAsia="Calibri" w:cs="Times New Roman"/>
        </w:rPr>
        <w:t xml:space="preserve">It seems only appropriate that if government makes a solemn promise to provide us with things essential to our safety, and creates reliance thereby, then the government must make good on its promise.  Perhaps with warning from the government we have to take back that responsibility and </w:t>
      </w:r>
      <w:r w:rsidR="00A404E4">
        <w:rPr>
          <w:rFonts w:eastAsia="Calibri" w:cs="Times New Roman"/>
        </w:rPr>
        <w:t xml:space="preserve">once again </w:t>
      </w:r>
      <w:r w:rsidRPr="005B1095">
        <w:rPr>
          <w:rFonts w:eastAsia="Calibri" w:cs="Times New Roman"/>
        </w:rPr>
        <w:t xml:space="preserve">become self-sufficient.  In the face of a promise, though, and reliance, the government has got to perform.  </w:t>
      </w:r>
    </w:p>
    <w:p w:rsidR="00C01143" w:rsidRPr="005B1095" w:rsidRDefault="00C01143" w:rsidP="00C01143">
      <w:pPr>
        <w:spacing w:line="480" w:lineRule="auto"/>
        <w:ind w:firstLine="720"/>
        <w:rPr>
          <w:rFonts w:eastAsia="Calibri" w:cs="Times New Roman"/>
        </w:rPr>
      </w:pPr>
      <w:r w:rsidRPr="005B1095">
        <w:rPr>
          <w:rFonts w:eastAsia="Calibri" w:cs="Times New Roman"/>
        </w:rPr>
        <w:t xml:space="preserve">If this is the case, then many functions beyond protection fall on the dependence side of the line.  Water, as we have seen.  Clean air.  Education for sure.  Perhaps soon health care.  </w:t>
      </w:r>
      <w:r w:rsidR="00A404E4">
        <w:rPr>
          <w:rFonts w:eastAsia="Calibri" w:cs="Times New Roman"/>
        </w:rPr>
        <w:t>P</w:t>
      </w:r>
      <w:r w:rsidRPr="005B1095">
        <w:rPr>
          <w:rFonts w:eastAsia="Calibri" w:cs="Times New Roman"/>
        </w:rPr>
        <w:t>rotection surely is not special in this regard.</w:t>
      </w:r>
    </w:p>
    <w:p w:rsidR="00C01143" w:rsidRPr="005B1095" w:rsidRDefault="00C01143" w:rsidP="00C01143">
      <w:pPr>
        <w:spacing w:line="480" w:lineRule="auto"/>
        <w:jc w:val="center"/>
        <w:rPr>
          <w:rFonts w:eastAsia="Calibri" w:cs="Times New Roman"/>
        </w:rPr>
      </w:pPr>
      <w:r w:rsidRPr="005B1095">
        <w:rPr>
          <w:rFonts w:eastAsia="Calibri" w:cs="Times New Roman"/>
        </w:rPr>
        <w:t>*</w:t>
      </w:r>
      <w:r w:rsidRPr="005B1095">
        <w:rPr>
          <w:rFonts w:eastAsia="Calibri" w:cs="Times New Roman"/>
        </w:rPr>
        <w:tab/>
        <w:t>*</w:t>
      </w:r>
      <w:r w:rsidRPr="005B1095">
        <w:rPr>
          <w:rFonts w:eastAsia="Calibri" w:cs="Times New Roman"/>
        </w:rPr>
        <w:tab/>
        <w:t>*</w:t>
      </w:r>
    </w:p>
    <w:p w:rsidR="00757A10" w:rsidRDefault="00C01143" w:rsidP="00227C47">
      <w:pPr>
        <w:spacing w:line="480" w:lineRule="auto"/>
        <w:rPr>
          <w:rFonts w:eastAsia="Calibri" w:cs="Times New Roman"/>
        </w:rPr>
      </w:pPr>
      <w:r w:rsidRPr="005B1095">
        <w:rPr>
          <w:rFonts w:eastAsia="Calibri" w:cs="Times New Roman"/>
        </w:rPr>
        <w:tab/>
        <w:t xml:space="preserve">We’ve looked at a set of rationales for why protection might be deemed the first duty of government, but not many other aspects of individual safety.  Although many of them </w:t>
      </w:r>
      <w:r w:rsidR="00CB6CC4">
        <w:rPr>
          <w:rFonts w:eastAsia="Calibri" w:cs="Times New Roman"/>
        </w:rPr>
        <w:t>do</w:t>
      </w:r>
      <w:r w:rsidRPr="005B1095">
        <w:rPr>
          <w:rFonts w:eastAsia="Calibri" w:cs="Times New Roman"/>
        </w:rPr>
        <w:t xml:space="preserve"> justify including protection as </w:t>
      </w:r>
      <w:r w:rsidR="00CB6CC4">
        <w:rPr>
          <w:rFonts w:eastAsia="Calibri" w:cs="Times New Roman"/>
        </w:rPr>
        <w:t xml:space="preserve">a critical </w:t>
      </w:r>
      <w:r w:rsidRPr="005B1095">
        <w:rPr>
          <w:rFonts w:eastAsia="Calibri" w:cs="Times New Roman"/>
        </w:rPr>
        <w:t xml:space="preserve">part of public safety, what’s telling is that they don’t necessarily exclude </w:t>
      </w:r>
      <w:r w:rsidR="00227C47">
        <w:rPr>
          <w:rFonts w:eastAsia="Calibri" w:cs="Times New Roman"/>
        </w:rPr>
        <w:t>many</w:t>
      </w:r>
      <w:r w:rsidRPr="005B1095">
        <w:rPr>
          <w:rFonts w:eastAsia="Calibri" w:cs="Times New Roman"/>
        </w:rPr>
        <w:t xml:space="preserve"> other elements of individual safet</w:t>
      </w:r>
      <w:r w:rsidR="00227C47">
        <w:rPr>
          <w:rFonts w:eastAsia="Calibri" w:cs="Times New Roman"/>
        </w:rPr>
        <w:t>y</w:t>
      </w:r>
      <w:r w:rsidRPr="005B1095">
        <w:rPr>
          <w:rFonts w:eastAsia="Calibri" w:cs="Times New Roman"/>
        </w:rPr>
        <w:t xml:space="preserve">, nor particularly privilege the protection function.  </w:t>
      </w:r>
    </w:p>
    <w:p w:rsidR="00757A10" w:rsidRPr="00F259BB" w:rsidRDefault="00757A10" w:rsidP="00757A10">
      <w:pPr>
        <w:spacing w:line="480" w:lineRule="auto"/>
        <w:contextualSpacing/>
        <w:jc w:val="center"/>
        <w:rPr>
          <w:rFonts w:eastAsia="Calibri"/>
          <w:smallCaps/>
        </w:rPr>
      </w:pPr>
      <w:r w:rsidRPr="00F259BB">
        <w:rPr>
          <w:rFonts w:eastAsia="Calibri"/>
          <w:smallCaps/>
        </w:rPr>
        <w:t>V.</w:t>
      </w:r>
      <w:r w:rsidRPr="00F259BB">
        <w:rPr>
          <w:rFonts w:eastAsia="Calibri"/>
          <w:smallCaps/>
        </w:rPr>
        <w:tab/>
        <w:t>Obstacles</w:t>
      </w:r>
    </w:p>
    <w:p w:rsidR="00757A10" w:rsidRPr="00F259BB" w:rsidRDefault="00757A10" w:rsidP="00757A10">
      <w:pPr>
        <w:spacing w:line="480" w:lineRule="auto"/>
        <w:contextualSpacing/>
        <w:rPr>
          <w:rFonts w:eastAsia="Calibri"/>
        </w:rPr>
      </w:pPr>
      <w:r w:rsidRPr="00F259BB">
        <w:rPr>
          <w:rFonts w:eastAsia="Calibri"/>
        </w:rPr>
        <w:tab/>
        <w:t xml:space="preserve">Credit where credit is due.  In a country of over 300 million people, with a complex interlocking (but sometimes competing) governmental structure, we have provided the means for people to be and feel safe in many ways.  </w:t>
      </w:r>
      <w:r w:rsidR="00AB238C">
        <w:rPr>
          <w:rFonts w:eastAsia="Calibri"/>
        </w:rPr>
        <w:t>Prior to the pandemic, and hopefully after it recedes, t</w:t>
      </w:r>
      <w:r w:rsidRPr="00F259BB">
        <w:rPr>
          <w:rFonts w:eastAsia="Calibri"/>
        </w:rPr>
        <w:t xml:space="preserve">he majority of us are fed, and protected from all but the most random acts of violence and serious crime.  We sleep under roofs, our kids go to relatively decent schools, and we lead ordinary lives.  Nothing here is meant to minimize what an extraordinary achievement that </w:t>
      </w:r>
      <w:r w:rsidR="007A1944">
        <w:rPr>
          <w:rFonts w:eastAsia="Calibri"/>
        </w:rPr>
        <w:t xml:space="preserve">alone </w:t>
      </w:r>
      <w:r w:rsidRPr="00F259BB">
        <w:rPr>
          <w:rFonts w:eastAsia="Calibri"/>
        </w:rPr>
        <w:t xml:space="preserve">represents. </w:t>
      </w:r>
    </w:p>
    <w:p w:rsidR="00757A10" w:rsidRPr="00F259BB" w:rsidRDefault="00757A10" w:rsidP="00757A10">
      <w:pPr>
        <w:spacing w:line="480" w:lineRule="auto"/>
        <w:ind w:firstLine="720"/>
        <w:contextualSpacing/>
        <w:rPr>
          <w:rFonts w:eastAsia="Calibri"/>
        </w:rPr>
      </w:pPr>
      <w:r w:rsidRPr="00F259BB">
        <w:rPr>
          <w:rFonts w:eastAsia="Calibri"/>
        </w:rPr>
        <w:t xml:space="preserve">But though that may well be the norm, there is, </w:t>
      </w:r>
      <w:r w:rsidR="00AB238C">
        <w:rPr>
          <w:rFonts w:eastAsia="Calibri"/>
        </w:rPr>
        <w:t>as we saw from Part III</w:t>
      </w:r>
      <w:r w:rsidRPr="00F259BB">
        <w:rPr>
          <w:rFonts w:eastAsia="Calibri"/>
        </w:rPr>
        <w:t>, substantial deviation as well.  Far too many people—literally millions of people, in this wealthy country—are not safe, in too many ways.  They suffer, they starve, they live on the street, they are uneducated</w:t>
      </w:r>
      <w:r w:rsidR="007A1944">
        <w:rPr>
          <w:rFonts w:eastAsia="Calibri"/>
        </w:rPr>
        <w:t>,</w:t>
      </w:r>
      <w:r w:rsidRPr="00F259BB">
        <w:rPr>
          <w:rFonts w:eastAsia="Calibri"/>
        </w:rPr>
        <w:t xml:space="preserve"> </w:t>
      </w:r>
      <w:r w:rsidR="007A1944">
        <w:rPr>
          <w:rFonts w:eastAsia="Calibri"/>
        </w:rPr>
        <w:t>they</w:t>
      </w:r>
      <w:r w:rsidRPr="00F259BB">
        <w:rPr>
          <w:rFonts w:eastAsia="Calibri"/>
        </w:rPr>
        <w:t xml:space="preserve"> cannot find work, </w:t>
      </w:r>
      <w:r w:rsidR="007A1944">
        <w:rPr>
          <w:rFonts w:eastAsia="Calibri"/>
        </w:rPr>
        <w:t xml:space="preserve">they struggle to get by, </w:t>
      </w:r>
      <w:r w:rsidRPr="00F259BB">
        <w:rPr>
          <w:rFonts w:eastAsia="Calibri"/>
        </w:rPr>
        <w:t>they become ill and don’t have care, not because we couldn’t help—but because we don’t.</w:t>
      </w:r>
      <w:r w:rsidRPr="00F259BB">
        <w:rPr>
          <w:rFonts w:eastAsia="Calibri"/>
        </w:rPr>
        <w:tab/>
      </w:r>
    </w:p>
    <w:p w:rsidR="00757A10" w:rsidRPr="00F259BB" w:rsidRDefault="00757A10" w:rsidP="00757A10">
      <w:pPr>
        <w:spacing w:line="480" w:lineRule="auto"/>
        <w:ind w:firstLine="720"/>
        <w:contextualSpacing/>
        <w:rPr>
          <w:rFonts w:eastAsia="Calibri"/>
        </w:rPr>
      </w:pPr>
      <w:r w:rsidRPr="00F259BB">
        <w:rPr>
          <w:rFonts w:eastAsia="Calibri"/>
        </w:rPr>
        <w:t xml:space="preserve">The question this final Part </w:t>
      </w:r>
      <w:r w:rsidR="00AB238C">
        <w:rPr>
          <w:rFonts w:eastAsia="Calibri"/>
        </w:rPr>
        <w:t xml:space="preserve">takes up </w:t>
      </w:r>
      <w:r w:rsidRPr="00F259BB">
        <w:rPr>
          <w:rFonts w:eastAsia="Calibri"/>
        </w:rPr>
        <w:t xml:space="preserve">is why </w:t>
      </w:r>
      <w:r w:rsidR="00AB238C">
        <w:rPr>
          <w:rFonts w:eastAsia="Calibri"/>
        </w:rPr>
        <w:t xml:space="preserve">as a society </w:t>
      </w:r>
      <w:r w:rsidRPr="00F259BB">
        <w:rPr>
          <w:rFonts w:eastAsia="Calibri"/>
        </w:rPr>
        <w:t xml:space="preserve">we don’t do better, what are the sorts of obstacles we face to achieving public safety for those who do not currently experience safe lives.  </w:t>
      </w:r>
      <w:r w:rsidR="007A1944">
        <w:rPr>
          <w:rFonts w:eastAsia="Calibri"/>
        </w:rPr>
        <w:t>Unfortunately, there’s no magic bullet, no set of shazam recommendations to fix this.</w:t>
      </w:r>
      <w:r w:rsidRPr="00F259BB">
        <w:rPr>
          <w:rFonts w:eastAsia="Calibri"/>
        </w:rPr>
        <w:t xml:space="preserve">  Rather, </w:t>
      </w:r>
      <w:r w:rsidR="00AB238C">
        <w:rPr>
          <w:rFonts w:eastAsia="Calibri"/>
        </w:rPr>
        <w:t>there are</w:t>
      </w:r>
      <w:r w:rsidRPr="00F259BB">
        <w:rPr>
          <w:rFonts w:eastAsia="Calibri"/>
        </w:rPr>
        <w:t xml:space="preserve"> a set of difficult-to-overcome obstacles that keep us from stepping up our game</w:t>
      </w:r>
      <w:r w:rsidR="007A1944">
        <w:rPr>
          <w:rFonts w:eastAsia="Calibri"/>
        </w:rPr>
        <w:t>.</w:t>
      </w:r>
      <w:r w:rsidR="008E0AEC">
        <w:rPr>
          <w:rFonts w:eastAsia="Calibri"/>
        </w:rPr>
        <w:t xml:space="preserve"> </w:t>
      </w:r>
      <w:r w:rsidRPr="00F259BB">
        <w:rPr>
          <w:rFonts w:eastAsia="Calibri"/>
        </w:rPr>
        <w:t xml:space="preserve">Which </w:t>
      </w:r>
      <w:r w:rsidR="007A1944">
        <w:rPr>
          <w:rFonts w:eastAsia="Calibri"/>
        </w:rPr>
        <w:t>is not</w:t>
      </w:r>
      <w:r w:rsidRPr="00F259BB">
        <w:rPr>
          <w:rFonts w:eastAsia="Calibri"/>
        </w:rPr>
        <w:t xml:space="preserve"> to say change is impossible—</w:t>
      </w:r>
      <w:r w:rsidR="007A1944">
        <w:rPr>
          <w:rFonts w:eastAsia="Calibri"/>
        </w:rPr>
        <w:t>but</w:t>
      </w:r>
      <w:r w:rsidRPr="00F259BB">
        <w:rPr>
          <w:rFonts w:eastAsia="Calibri"/>
        </w:rPr>
        <w:t xml:space="preserve"> it is going to be immeasurably difficult</w:t>
      </w:r>
      <w:r w:rsidR="007A1944">
        <w:rPr>
          <w:rFonts w:eastAsia="Calibri"/>
        </w:rPr>
        <w:t xml:space="preserve">, and perhaps incremental improvement is all we can hope for. </w:t>
      </w:r>
      <w:r w:rsidR="00DA6221">
        <w:rPr>
          <w:rFonts w:eastAsia="Calibri"/>
        </w:rPr>
        <w:t xml:space="preserve">This Part is about facing reality </w:t>
      </w:r>
      <w:r w:rsidRPr="00F259BB">
        <w:rPr>
          <w:rFonts w:eastAsia="Calibri"/>
        </w:rPr>
        <w:t>with eyes wide open.</w:t>
      </w:r>
    </w:p>
    <w:p w:rsidR="00757A10" w:rsidRPr="00F259BB" w:rsidRDefault="00757A10" w:rsidP="00757A10">
      <w:pPr>
        <w:spacing w:line="480" w:lineRule="auto"/>
        <w:contextualSpacing/>
        <w:rPr>
          <w:i/>
        </w:rPr>
      </w:pPr>
      <w:r w:rsidRPr="00F259BB">
        <w:rPr>
          <w:i/>
        </w:rPr>
        <w:t>A.</w:t>
      </w:r>
      <w:r w:rsidRPr="00F259BB">
        <w:rPr>
          <w:i/>
        </w:rPr>
        <w:tab/>
        <w:t xml:space="preserve">Our Elderly Constitution </w:t>
      </w:r>
    </w:p>
    <w:p w:rsidR="00757A10" w:rsidRPr="00F259BB" w:rsidRDefault="00757A10" w:rsidP="00DA6221">
      <w:pPr>
        <w:spacing w:line="480" w:lineRule="auto"/>
        <w:contextualSpacing/>
      </w:pPr>
      <w:r w:rsidRPr="00F259BB">
        <w:tab/>
        <w:t xml:space="preserve">Begin with our Constitution, a document written so long ago that it just didn’t occur to put positive or affirmative </w:t>
      </w:r>
      <w:r w:rsidR="00DA6221">
        <w:t xml:space="preserve">social </w:t>
      </w:r>
      <w:r w:rsidRPr="00F259BB">
        <w:t xml:space="preserve">rights in, </w:t>
      </w:r>
      <w:r w:rsidR="00DA6221">
        <w:t>al</w:t>
      </w:r>
      <w:r w:rsidRPr="00F259BB">
        <w:t>though that’s what many modern constitutions do.</w:t>
      </w:r>
      <w:r w:rsidRPr="00F259BB">
        <w:rPr>
          <w:rStyle w:val="FootnoteReference"/>
          <w:sz w:val="24"/>
        </w:rPr>
        <w:footnoteReference w:id="252"/>
      </w:r>
      <w:r w:rsidRPr="00F259BB">
        <w:t xml:space="preserve">  It might be education, or meeting the most basic needs of the destitute, or health care.</w:t>
      </w:r>
      <w:r w:rsidRPr="00F259BB">
        <w:rPr>
          <w:rStyle w:val="FootnoteReference"/>
          <w:sz w:val="24"/>
        </w:rPr>
        <w:footnoteReference w:id="253"/>
      </w:r>
      <w:r w:rsidRPr="00F259BB">
        <w:t xml:space="preserve">  Whether in South Africa, or India, or in </w:t>
      </w:r>
      <w:r w:rsidR="008E0AEC">
        <w:t>those of the United</w:t>
      </w:r>
      <w:r w:rsidRPr="00F259BB">
        <w:t xml:space="preserve"> </w:t>
      </w:r>
      <w:r w:rsidR="008E0AEC">
        <w:t>S</w:t>
      </w:r>
      <w:r w:rsidRPr="00F259BB">
        <w:t>tates that guarantee a public education, these provisions do exist.</w:t>
      </w:r>
      <w:r w:rsidRPr="00F259BB">
        <w:rPr>
          <w:rStyle w:val="FootnoteReference"/>
          <w:sz w:val="24"/>
        </w:rPr>
        <w:footnoteReference w:id="254"/>
      </w:r>
    </w:p>
    <w:p w:rsidR="00757A10" w:rsidRPr="00F259BB" w:rsidRDefault="00757A10" w:rsidP="00757A10">
      <w:pPr>
        <w:spacing w:line="480" w:lineRule="auto"/>
        <w:contextualSpacing/>
      </w:pPr>
      <w:r w:rsidRPr="00F259BB">
        <w:tab/>
      </w:r>
      <w:r w:rsidR="008E0AEC">
        <w:t xml:space="preserve">Just because </w:t>
      </w:r>
      <w:r w:rsidR="00DA6221">
        <w:t>something is</w:t>
      </w:r>
      <w:r w:rsidR="008E0AEC">
        <w:t xml:space="preserve"> guarantee</w:t>
      </w:r>
      <w:r w:rsidR="00DA6221">
        <w:t>d</w:t>
      </w:r>
      <w:r w:rsidR="008E0AEC">
        <w:t xml:space="preserve"> in a constitution does not necessarily make it so. </w:t>
      </w:r>
      <w:r w:rsidRPr="00F259BB">
        <w:t>It’s hard to look at places that have affirmative social rights and think, yes, they’ve solved that problem, cracked that nut. Too often, affirmative rights are honored at least in part—sometimes in significant part—in the breach.</w:t>
      </w:r>
      <w:r w:rsidRPr="00F259BB">
        <w:rPr>
          <w:rStyle w:val="FootnoteReference"/>
          <w:sz w:val="24"/>
        </w:rPr>
        <w:footnoteReference w:id="255"/>
      </w:r>
      <w:r w:rsidRPr="00F259BB">
        <w:t xml:space="preserve">  </w:t>
      </w:r>
    </w:p>
    <w:p w:rsidR="00757A10" w:rsidRPr="00F259BB" w:rsidRDefault="00757A10" w:rsidP="00757A10">
      <w:pPr>
        <w:spacing w:line="480" w:lineRule="auto"/>
        <w:contextualSpacing/>
      </w:pPr>
      <w:r w:rsidRPr="00F259BB">
        <w:tab/>
        <w:t>What constitutionalizing accomplishes, though, is to facilitate a dialogue—or maybe just a power struggle—that gets courts into the game of demanding that government do better.</w:t>
      </w:r>
      <w:r w:rsidRPr="00F259BB">
        <w:rPr>
          <w:rStyle w:val="FootnoteReference"/>
          <w:sz w:val="24"/>
        </w:rPr>
        <w:footnoteReference w:id="256"/>
      </w:r>
      <w:r w:rsidRPr="00F259BB">
        <w:t xml:space="preserve">  </w:t>
      </w:r>
      <w:r w:rsidR="00DA6221">
        <w:t>Some states’</w:t>
      </w:r>
      <w:r w:rsidRPr="00F259BB">
        <w:t xml:space="preserve"> experience with public education is just one example.</w:t>
      </w:r>
      <w:r w:rsidRPr="00F259BB">
        <w:rPr>
          <w:rStyle w:val="FootnoteReference"/>
          <w:sz w:val="24"/>
        </w:rPr>
        <w:footnoteReference w:id="257"/>
      </w:r>
      <w:r w:rsidRPr="00F259BB">
        <w:t xml:space="preserve">  </w:t>
      </w:r>
      <w:r w:rsidR="00DA6221">
        <w:t xml:space="preserve">New </w:t>
      </w:r>
      <w:proofErr w:type="spellStart"/>
      <w:r w:rsidR="00DA6221">
        <w:t>Jersy</w:t>
      </w:r>
      <w:proofErr w:type="spellEnd"/>
      <w:r w:rsidRPr="00F259BB">
        <w:t xml:space="preserve"> courts recognized a constitutional right to an adequate education, and by hook and crook forced the more overtly political branches to fund much of what needs funding.</w:t>
      </w:r>
      <w:r w:rsidRPr="00F259BB">
        <w:rPr>
          <w:rStyle w:val="FootnoteReference"/>
          <w:sz w:val="24"/>
        </w:rPr>
        <w:footnoteReference w:id="258"/>
      </w:r>
      <w:r w:rsidR="008E0AEC">
        <w:t xml:space="preserve"> </w:t>
      </w:r>
      <w:r w:rsidRPr="00F259BB">
        <w:t xml:space="preserve">It’s </w:t>
      </w:r>
      <w:r w:rsidR="00DA6221">
        <w:t>far from</w:t>
      </w:r>
      <w:r w:rsidRPr="00F259BB">
        <w:t xml:space="preserve"> perfect</w:t>
      </w:r>
      <w:r w:rsidR="00DA6221">
        <w:t>.</w:t>
      </w:r>
      <w:r w:rsidR="00DA6221">
        <w:rPr>
          <w:rStyle w:val="FootnoteReference"/>
        </w:rPr>
        <w:footnoteReference w:id="259"/>
      </w:r>
      <w:r w:rsidR="00DA6221">
        <w:t xml:space="preserve">  B</w:t>
      </w:r>
      <w:r w:rsidRPr="00F259BB">
        <w:t>ut empowering another branch of government can accomplish.</w:t>
      </w:r>
      <w:r w:rsidRPr="00F259BB">
        <w:rPr>
          <w:rStyle w:val="FootnoteReference"/>
          <w:sz w:val="24"/>
        </w:rPr>
        <w:footnoteReference w:id="260"/>
      </w:r>
      <w:r w:rsidRPr="00F259BB">
        <w:t xml:space="preserve">  The same is true in countries that have far fewer resources than we do, but through this sort of constitutional dialogue have done a plausible job of assuring basic public services essential to human safety.</w:t>
      </w:r>
      <w:r w:rsidRPr="00F259BB">
        <w:rPr>
          <w:rStyle w:val="FootnoteReference"/>
          <w:sz w:val="24"/>
        </w:rPr>
        <w:footnoteReference w:id="261"/>
      </w:r>
      <w:r w:rsidR="00F96742">
        <w:t xml:space="preserve"> </w:t>
      </w:r>
      <w:r w:rsidR="008E0AEC">
        <w:t>H</w:t>
      </w:r>
      <w:r w:rsidR="00F96742">
        <w:t>aving things said in a Constitution</w:t>
      </w:r>
      <w:r w:rsidR="008E0AEC">
        <w:t xml:space="preserve"> also plays an important expressive function</w:t>
      </w:r>
      <w:r w:rsidR="00F96742">
        <w:t>, in terms of empowering social movements, legislators, and others who seek to promote government action.</w:t>
      </w:r>
    </w:p>
    <w:p w:rsidR="00757A10" w:rsidRPr="00F259BB" w:rsidRDefault="00757A10" w:rsidP="00757A10">
      <w:pPr>
        <w:spacing w:line="480" w:lineRule="auto"/>
        <w:ind w:firstLine="720"/>
        <w:contextualSpacing/>
      </w:pPr>
      <w:r w:rsidRPr="00F259BB">
        <w:t>On these terms, our Constitution fails utterly.</w:t>
      </w:r>
      <w:r w:rsidRPr="00F259BB">
        <w:rPr>
          <w:rStyle w:val="FootnoteReference"/>
          <w:sz w:val="24"/>
        </w:rPr>
        <w:footnoteReference w:id="262"/>
      </w:r>
      <w:r w:rsidRPr="00F259BB">
        <w:t xml:space="preserve">  It’s hard to imagine a constitution written today—even here in these United States—that would not have at least some nod to some of these aspects of basic safety such as education or meeting the needs of the truly destitute.</w:t>
      </w:r>
      <w:r w:rsidR="00DA6221">
        <w:t xml:space="preserve"> </w:t>
      </w:r>
    </w:p>
    <w:p w:rsidR="00757A10" w:rsidRPr="00F259BB" w:rsidRDefault="00757A10" w:rsidP="00757A10">
      <w:pPr>
        <w:spacing w:line="480" w:lineRule="auto"/>
        <w:contextualSpacing/>
        <w:rPr>
          <w:rFonts w:eastAsia="Calibri"/>
          <w:i/>
        </w:rPr>
      </w:pPr>
      <w:r w:rsidRPr="00F259BB">
        <w:rPr>
          <w:rFonts w:eastAsia="Calibri"/>
          <w:i/>
        </w:rPr>
        <w:t>B.</w:t>
      </w:r>
      <w:r w:rsidRPr="00F259BB">
        <w:rPr>
          <w:rFonts w:eastAsia="Calibri"/>
          <w:i/>
        </w:rPr>
        <w:tab/>
        <w:t>The Opt-Out Problem</w:t>
      </w:r>
    </w:p>
    <w:p w:rsidR="00757A10" w:rsidRPr="00F259BB" w:rsidRDefault="00757A10" w:rsidP="00757A10">
      <w:pPr>
        <w:spacing w:line="480" w:lineRule="auto"/>
        <w:ind w:firstLine="720"/>
        <w:contextualSpacing/>
        <w:rPr>
          <w:rFonts w:eastAsia="Calibri"/>
        </w:rPr>
      </w:pPr>
      <w:r w:rsidRPr="00F259BB">
        <w:rPr>
          <w:rFonts w:eastAsia="Calibri"/>
        </w:rPr>
        <w:t xml:space="preserve">It’s not just what our Constitution fails to provide, though:  it’s also what it allows.  In critical areas, we permit those who are able to opt out of government services, or enhance what the government offers up, in ways that suck the energy out of collective efforts to do better.  Were it not for this, our civic debates about the various elements of public safety might look very different.  </w:t>
      </w:r>
    </w:p>
    <w:p w:rsidR="00757A10" w:rsidRPr="00F259BB" w:rsidRDefault="00757A10" w:rsidP="00757A10">
      <w:pPr>
        <w:spacing w:line="480" w:lineRule="auto"/>
        <w:ind w:firstLine="720"/>
        <w:contextualSpacing/>
        <w:rPr>
          <w:rFonts w:eastAsia="Calibri"/>
        </w:rPr>
      </w:pPr>
      <w:r w:rsidRPr="00F259BB">
        <w:rPr>
          <w:rFonts w:eastAsia="Calibri"/>
        </w:rPr>
        <w:t xml:space="preserve">Education is a prime example.  </w:t>
      </w:r>
      <w:r w:rsidRPr="00F259BB">
        <w:rPr>
          <w:rFonts w:eastAsia="Calibri"/>
          <w:i/>
        </w:rPr>
        <w:t>Brown v. Board of Education</w:t>
      </w:r>
      <w:r w:rsidRPr="00F259BB">
        <w:rPr>
          <w:rFonts w:eastAsia="Calibri"/>
        </w:rPr>
        <w:t xml:space="preserve">  exacerbated white flight by those determined </w:t>
      </w:r>
      <w:r w:rsidR="00581459">
        <w:rPr>
          <w:rFonts w:eastAsia="Calibri"/>
        </w:rPr>
        <w:t xml:space="preserve">to avoid busing or </w:t>
      </w:r>
      <w:r w:rsidRPr="00F259BB">
        <w:rPr>
          <w:rFonts w:eastAsia="Calibri"/>
        </w:rPr>
        <w:t>send</w:t>
      </w:r>
      <w:r w:rsidR="00581459">
        <w:rPr>
          <w:rFonts w:eastAsia="Calibri"/>
        </w:rPr>
        <w:t>ing</w:t>
      </w:r>
      <w:r w:rsidRPr="00F259BB">
        <w:rPr>
          <w:rFonts w:eastAsia="Calibri"/>
        </w:rPr>
        <w:t xml:space="preserve"> their children to desegregated schools.</w:t>
      </w:r>
      <w:r w:rsidRPr="00F259BB">
        <w:rPr>
          <w:rFonts w:eastAsia="Calibri"/>
          <w:vertAlign w:val="superscript"/>
        </w:rPr>
        <w:footnoteReference w:id="263"/>
      </w:r>
      <w:r w:rsidRPr="00F259BB">
        <w:rPr>
          <w:rFonts w:eastAsia="Calibri"/>
        </w:rPr>
        <w:t xml:space="preserve">  White flight gutted the tax base for </w:t>
      </w:r>
      <w:r w:rsidR="00581459">
        <w:rPr>
          <w:rFonts w:eastAsia="Calibri"/>
        </w:rPr>
        <w:t xml:space="preserve">many </w:t>
      </w:r>
      <w:r w:rsidRPr="00F259BB">
        <w:rPr>
          <w:rFonts w:eastAsia="Calibri"/>
        </w:rPr>
        <w:t>public schools</w:t>
      </w:r>
      <w:r w:rsidR="00581459">
        <w:rPr>
          <w:rFonts w:eastAsia="Calibri"/>
        </w:rPr>
        <w:t xml:space="preserve">; </w:t>
      </w:r>
      <w:r w:rsidRPr="00F259BB">
        <w:rPr>
          <w:rFonts w:eastAsia="Calibri"/>
        </w:rPr>
        <w:t>people with money either enrolled their kids in private schools or moved to suburbs and helped fund affluent school districts.</w:t>
      </w:r>
      <w:r w:rsidRPr="00F259BB">
        <w:rPr>
          <w:rStyle w:val="FootnoteReference"/>
          <w:rFonts w:eastAsia="Calibri"/>
          <w:sz w:val="24"/>
        </w:rPr>
        <w:footnoteReference w:id="264"/>
      </w:r>
      <w:r w:rsidRPr="00F259BB">
        <w:rPr>
          <w:rFonts w:eastAsia="Calibri"/>
        </w:rPr>
        <w:t xml:space="preserve">  The result is that those who can pay for their kids’ fine educations get them.</w:t>
      </w:r>
      <w:r w:rsidRPr="00F259BB">
        <w:rPr>
          <w:rStyle w:val="FootnoteReference"/>
          <w:rFonts w:eastAsia="Calibri"/>
          <w:sz w:val="24"/>
        </w:rPr>
        <w:footnoteReference w:id="265"/>
      </w:r>
      <w:r w:rsidRPr="00F259BB">
        <w:rPr>
          <w:rFonts w:eastAsia="Calibri"/>
        </w:rPr>
        <w:t xml:space="preserve">  And because some people can ensure their kids get a good education, the incentive to see that others also do is deeply diminished.</w:t>
      </w:r>
    </w:p>
    <w:p w:rsidR="00757A10" w:rsidRPr="00F259BB" w:rsidRDefault="00757A10" w:rsidP="00757A10">
      <w:pPr>
        <w:spacing w:line="480" w:lineRule="auto"/>
        <w:ind w:firstLine="720"/>
        <w:contextualSpacing/>
        <w:rPr>
          <w:rFonts w:eastAsia="Calibri"/>
        </w:rPr>
      </w:pPr>
      <w:r w:rsidRPr="00F259BB">
        <w:rPr>
          <w:rFonts w:eastAsia="Calibri"/>
        </w:rPr>
        <w:t>It’s not just education.  It’s health care, and even basic safety from crime and violence</w:t>
      </w:r>
      <w:r w:rsidR="00664776">
        <w:rPr>
          <w:rFonts w:eastAsia="Calibri"/>
        </w:rPr>
        <w:t>—</w:t>
      </w:r>
      <w:r w:rsidRPr="00F259BB">
        <w:rPr>
          <w:rFonts w:eastAsia="Calibri"/>
        </w:rPr>
        <w:t>the heart of the protection function.  People live in gated communities, or geographically segregated communities where they can take charge of their own personal safety.</w:t>
      </w:r>
      <w:r w:rsidRPr="00F259BB">
        <w:rPr>
          <w:rFonts w:eastAsia="Calibri"/>
          <w:vertAlign w:val="superscript"/>
        </w:rPr>
        <w:footnoteReference w:id="266"/>
      </w:r>
      <w:r w:rsidRPr="00F259BB">
        <w:rPr>
          <w:rFonts w:eastAsia="Calibri"/>
        </w:rPr>
        <w:t xml:space="preserve"> They drive to medical parks full of competent and available doctors, whose fees are covered by adequate if not ample insurance.</w:t>
      </w:r>
      <w:r w:rsidRPr="00F259BB">
        <w:rPr>
          <w:rStyle w:val="FootnoteReference"/>
          <w:rFonts w:eastAsia="Calibri"/>
          <w:sz w:val="24"/>
        </w:rPr>
        <w:footnoteReference w:id="267"/>
      </w:r>
    </w:p>
    <w:p w:rsidR="00757A10" w:rsidRDefault="00757A10" w:rsidP="00757A10">
      <w:pPr>
        <w:spacing w:line="480" w:lineRule="auto"/>
        <w:ind w:firstLine="720"/>
        <w:contextualSpacing/>
        <w:rPr>
          <w:rFonts w:eastAsia="Calibri"/>
        </w:rPr>
      </w:pPr>
      <w:r w:rsidRPr="00F259BB">
        <w:rPr>
          <w:rFonts w:eastAsia="Calibri"/>
        </w:rPr>
        <w:t xml:space="preserve">This is not to say that allowing opt-out is wrong, or that it is remotely plausible to see this changing.  </w:t>
      </w:r>
      <w:r w:rsidR="00581459">
        <w:rPr>
          <w:rFonts w:eastAsia="Calibri"/>
        </w:rPr>
        <w:t>T</w:t>
      </w:r>
      <w:r w:rsidR="00581459" w:rsidRPr="00F259BB">
        <w:rPr>
          <w:rFonts w:eastAsia="Calibri"/>
        </w:rPr>
        <w:t>here’s not much in our Constitution that’s likely to allow us to limit private choices like these.</w:t>
      </w:r>
      <w:r w:rsidR="00581459" w:rsidRPr="00F259BB">
        <w:rPr>
          <w:rFonts w:eastAsia="Calibri"/>
          <w:vertAlign w:val="superscript"/>
        </w:rPr>
        <w:footnoteReference w:id="268"/>
      </w:r>
      <w:r w:rsidR="00581459">
        <w:rPr>
          <w:rFonts w:eastAsia="Calibri"/>
        </w:rPr>
        <w:t xml:space="preserve"> </w:t>
      </w:r>
      <w:r w:rsidRPr="00F259BB">
        <w:rPr>
          <w:rFonts w:eastAsia="Calibri"/>
        </w:rPr>
        <w:t xml:space="preserve">But so long as those who can are able to purchase what they need to be safe, the collective will to do better for others necessarily will falter.  </w:t>
      </w:r>
    </w:p>
    <w:p w:rsidR="00664776" w:rsidRPr="00664776" w:rsidRDefault="00664776" w:rsidP="00757A10">
      <w:pPr>
        <w:spacing w:line="480" w:lineRule="auto"/>
        <w:ind w:firstLine="720"/>
        <w:contextualSpacing/>
        <w:rPr>
          <w:rFonts w:eastAsia="Calibri"/>
        </w:rPr>
      </w:pPr>
      <w:r>
        <w:rPr>
          <w:rFonts w:eastAsia="Calibri"/>
        </w:rPr>
        <w:t>On the other hand, as Walker and Loader suggest, we might do better to consider these collective goods, and foster them as such.</w:t>
      </w:r>
      <w:r w:rsidR="00581459">
        <w:rPr>
          <w:rStyle w:val="FootnoteReference"/>
          <w:rFonts w:eastAsia="Calibri"/>
        </w:rPr>
        <w:footnoteReference w:id="269"/>
      </w:r>
      <w:r>
        <w:rPr>
          <w:rFonts w:eastAsia="Calibri"/>
        </w:rPr>
        <w:t xml:space="preserve"> </w:t>
      </w:r>
      <w:r w:rsidR="00040F7B">
        <w:rPr>
          <w:rFonts w:eastAsia="Calibri"/>
        </w:rPr>
        <w:t>S</w:t>
      </w:r>
      <w:r>
        <w:rPr>
          <w:rFonts w:eastAsia="Calibri"/>
        </w:rPr>
        <w:t>ecurity would be enhanced if members of the public generally were looking out for one another</w:t>
      </w:r>
      <w:r w:rsidR="00040F7B">
        <w:rPr>
          <w:rFonts w:eastAsia="Calibri"/>
        </w:rPr>
        <w:t>. The same is true of other elements of safety, like food and housing</w:t>
      </w:r>
      <w:r w:rsidR="00581459">
        <w:rPr>
          <w:rFonts w:eastAsia="Calibri"/>
        </w:rPr>
        <w:t xml:space="preserve">; indeed, </w:t>
      </w:r>
      <w:r w:rsidR="00040F7B">
        <w:rPr>
          <w:rFonts w:eastAsia="Calibri"/>
        </w:rPr>
        <w:t>if we provided more of this more broadly, we likely would have less crime and less need for protection.</w:t>
      </w:r>
    </w:p>
    <w:p w:rsidR="00757A10" w:rsidRPr="00F259BB" w:rsidRDefault="00757A10" w:rsidP="00757A10">
      <w:pPr>
        <w:spacing w:line="480" w:lineRule="auto"/>
        <w:contextualSpacing/>
        <w:rPr>
          <w:rFonts w:eastAsia="Calibri"/>
          <w:i/>
        </w:rPr>
      </w:pPr>
      <w:r w:rsidRPr="00F259BB">
        <w:rPr>
          <w:rFonts w:eastAsia="Calibri"/>
          <w:i/>
        </w:rPr>
        <w:t>C.</w:t>
      </w:r>
      <w:r w:rsidRPr="00F259BB">
        <w:rPr>
          <w:rFonts w:eastAsia="Calibri"/>
          <w:i/>
        </w:rPr>
        <w:tab/>
        <w:t>Self-Interest</w:t>
      </w:r>
    </w:p>
    <w:p w:rsidR="00757A10" w:rsidRPr="00F259BB" w:rsidRDefault="00757A10" w:rsidP="00757A10">
      <w:pPr>
        <w:spacing w:line="480" w:lineRule="auto"/>
        <w:contextualSpacing/>
        <w:rPr>
          <w:rFonts w:eastAsia="Calibri"/>
        </w:rPr>
      </w:pPr>
      <w:r w:rsidRPr="00F259BB">
        <w:rPr>
          <w:rFonts w:eastAsia="Calibri"/>
        </w:rPr>
        <w:tab/>
        <w:t>This points directly to the most obvious cause of our failing to ensure all are safe, which is self-interest.  There’s nothing necessarily wrong with self-interest, either; it makes the world go ‘round.</w:t>
      </w:r>
      <w:r w:rsidRPr="00F259BB">
        <w:rPr>
          <w:rStyle w:val="FootnoteReference"/>
          <w:rFonts w:eastAsia="Calibri"/>
          <w:sz w:val="24"/>
        </w:rPr>
        <w:footnoteReference w:id="270"/>
      </w:r>
      <w:r w:rsidRPr="00F259BB">
        <w:rPr>
          <w:rFonts w:eastAsia="Calibri"/>
        </w:rPr>
        <w:t xml:space="preserve">  But our concern for ourselves can blind us to what is needed by other people</w:t>
      </w:r>
      <w:r w:rsidR="000C792B">
        <w:rPr>
          <w:rFonts w:eastAsia="Calibri"/>
        </w:rPr>
        <w:t>—even if in helping others we might help ourselves, or helping is simply the right thing to do</w:t>
      </w:r>
      <w:r w:rsidRPr="00F259BB">
        <w:rPr>
          <w:rFonts w:eastAsia="Calibri"/>
        </w:rPr>
        <w:t>.</w:t>
      </w:r>
    </w:p>
    <w:p w:rsidR="00757A10" w:rsidRPr="00F259BB" w:rsidRDefault="00757A10" w:rsidP="00757A10">
      <w:pPr>
        <w:spacing w:line="480" w:lineRule="auto"/>
        <w:ind w:firstLine="720"/>
        <w:contextualSpacing/>
        <w:rPr>
          <w:rFonts w:eastAsia="Calibri"/>
        </w:rPr>
      </w:pPr>
      <w:r w:rsidRPr="00F259BB">
        <w:rPr>
          <w:rFonts w:eastAsia="Calibri"/>
        </w:rPr>
        <w:t>Sometimes self-interest arises in zero-sum situations around safety itself.</w:t>
      </w:r>
      <w:r w:rsidR="00581459">
        <w:rPr>
          <w:rFonts w:eastAsia="Calibri"/>
        </w:rPr>
        <w:t xml:space="preserve"> </w:t>
      </w:r>
      <w:r w:rsidR="000C792B">
        <w:rPr>
          <w:rFonts w:eastAsia="Calibri"/>
        </w:rPr>
        <w:t xml:space="preserve">As Justice Stevens said, dissenting in the gun rights case </w:t>
      </w:r>
      <w:r w:rsidR="000C792B" w:rsidRPr="000C792B">
        <w:rPr>
          <w:rFonts w:eastAsia="Calibri"/>
          <w:i/>
        </w:rPr>
        <w:t>McDonald v. Chicago</w:t>
      </w:r>
      <w:r w:rsidR="002C4256">
        <w:rPr>
          <w:rFonts w:eastAsia="Calibri"/>
        </w:rPr>
        <w:t>: “</w:t>
      </w:r>
      <w:r w:rsidR="002C4256" w:rsidRPr="002C4256">
        <w:rPr>
          <w:rFonts w:eastAsia="Calibri"/>
          <w:i/>
        </w:rPr>
        <w:t>Your</w:t>
      </w:r>
      <w:r w:rsidR="000C792B">
        <w:rPr>
          <w:rFonts w:eastAsia="Calibri"/>
        </w:rPr>
        <w:t xml:space="preserve"> interest in keeping and bearing a certain firearm may diminish </w:t>
      </w:r>
      <w:r w:rsidR="000C792B" w:rsidRPr="002C4256">
        <w:rPr>
          <w:rFonts w:eastAsia="Calibri"/>
          <w:i/>
        </w:rPr>
        <w:t>my</w:t>
      </w:r>
      <w:r w:rsidR="000C792B">
        <w:rPr>
          <w:rFonts w:eastAsia="Calibri"/>
        </w:rPr>
        <w:t xml:space="preserve"> interest in being and feeling safe from armed violence.”</w:t>
      </w:r>
      <w:r w:rsidR="000C792B">
        <w:rPr>
          <w:rStyle w:val="FootnoteReference"/>
          <w:rFonts w:eastAsia="Calibri"/>
        </w:rPr>
        <w:footnoteReference w:id="271"/>
      </w:r>
      <w:r w:rsidR="000C792B">
        <w:rPr>
          <w:rFonts w:eastAsia="Calibri"/>
        </w:rPr>
        <w:t xml:space="preserve"> </w:t>
      </w:r>
      <w:r w:rsidRPr="00F259BB">
        <w:rPr>
          <w:rFonts w:eastAsia="Calibri"/>
        </w:rPr>
        <w:t>There’s a homeless person sleeping on a bench near your home.  You don’t feel safe.  So, you call the police to remove him.  Now he’s not safe.</w:t>
      </w:r>
      <w:r w:rsidR="00581459" w:rsidRPr="00581459">
        <w:rPr>
          <w:rFonts w:eastAsia="Calibri"/>
          <w:vertAlign w:val="superscript"/>
        </w:rPr>
        <w:t xml:space="preserve"> </w:t>
      </w:r>
      <w:r w:rsidR="00581459" w:rsidRPr="00F259BB">
        <w:rPr>
          <w:rFonts w:eastAsia="Calibri"/>
          <w:vertAlign w:val="superscript"/>
        </w:rPr>
        <w:footnoteReference w:id="272"/>
      </w:r>
      <w:r w:rsidRPr="00F259BB">
        <w:rPr>
          <w:rFonts w:eastAsia="Calibri"/>
        </w:rPr>
        <w:t xml:space="preserve">  There’s scarcity—be it education dollars, or food, or police—and if they get it, you don’t.  Or at least it feels that way.  To the extent safety either is, or feels as though it is, a choice of yours over mine, we’re simply not going to make easy progress.</w:t>
      </w:r>
    </w:p>
    <w:p w:rsidR="00757A10" w:rsidRPr="00F259BB" w:rsidRDefault="00757A10" w:rsidP="00757A10">
      <w:pPr>
        <w:spacing w:line="480" w:lineRule="auto"/>
        <w:ind w:firstLine="720"/>
        <w:contextualSpacing/>
        <w:rPr>
          <w:rFonts w:eastAsia="Calibri"/>
        </w:rPr>
      </w:pPr>
      <w:r w:rsidRPr="00F259BB">
        <w:rPr>
          <w:rFonts w:eastAsia="Calibri"/>
        </w:rPr>
        <w:t>Even if one’s safety is not truly at risk, the perception of being unsafe can drive outcomes</w:t>
      </w:r>
      <w:r w:rsidR="004C244D">
        <w:rPr>
          <w:rFonts w:eastAsia="Calibri"/>
        </w:rPr>
        <w:t>—</w:t>
      </w:r>
      <w:r w:rsidRPr="00F259BB">
        <w:rPr>
          <w:rFonts w:eastAsia="Calibri"/>
        </w:rPr>
        <w:t xml:space="preserve">although there reasonably ought to be limits here.  To some degree perceptions surely matter; even if people are safe, a perception of a lack of safety renders them insecure.  Still, there ought to be limits on </w:t>
      </w:r>
      <w:r w:rsidR="004C244D">
        <w:rPr>
          <w:rFonts w:eastAsia="Calibri"/>
        </w:rPr>
        <w:t xml:space="preserve">the degree that perception drives government response, </w:t>
      </w:r>
      <w:r w:rsidRPr="00F259BB">
        <w:rPr>
          <w:rFonts w:eastAsia="Calibri"/>
        </w:rPr>
        <w:t>particularly when that perception departs significantly from reality.  Apparently, huge numbers of our compatriots are made to feel unsafe because of the presence of immigrants, helped along by a fearmongering president.</w:t>
      </w:r>
      <w:r w:rsidRPr="00F259BB">
        <w:rPr>
          <w:rFonts w:eastAsia="Calibri"/>
          <w:vertAlign w:val="superscript"/>
        </w:rPr>
        <w:footnoteReference w:id="273"/>
      </w:r>
      <w:r w:rsidRPr="00F259BB">
        <w:rPr>
          <w:rFonts w:eastAsia="Calibri"/>
        </w:rPr>
        <w:t xml:space="preserve">  But if the data does not support the perception, we ought not to tolerate it.</w:t>
      </w:r>
      <w:r w:rsidRPr="00F259BB">
        <w:rPr>
          <w:rFonts w:eastAsia="Calibri"/>
          <w:vertAlign w:val="superscript"/>
        </w:rPr>
        <w:footnoteReference w:id="274"/>
      </w:r>
      <w:r w:rsidRPr="00F259BB">
        <w:rPr>
          <w:rFonts w:eastAsia="Calibri"/>
        </w:rPr>
        <w:t xml:space="preserve">  </w:t>
      </w:r>
      <w:r w:rsidR="004C244D">
        <w:rPr>
          <w:rFonts w:eastAsia="Calibri"/>
        </w:rPr>
        <w:t>The same is true of constant calls to 911 about people doing nothing other than Living While Black.</w:t>
      </w:r>
      <w:r w:rsidR="004C244D">
        <w:rPr>
          <w:rStyle w:val="FootnoteReference"/>
          <w:rFonts w:eastAsia="Calibri"/>
        </w:rPr>
        <w:footnoteReference w:id="275"/>
      </w:r>
      <w:r w:rsidR="004C244D">
        <w:rPr>
          <w:rFonts w:eastAsia="Calibri"/>
        </w:rPr>
        <w:t xml:space="preserve"> Again,</w:t>
      </w:r>
      <w:r w:rsidRPr="00F259BB">
        <w:rPr>
          <w:rFonts w:eastAsia="Calibri"/>
        </w:rPr>
        <w:t xml:space="preserve"> </w:t>
      </w:r>
      <w:r w:rsidR="004C244D">
        <w:rPr>
          <w:rFonts w:eastAsia="Calibri"/>
        </w:rPr>
        <w:t>actions taken to make</w:t>
      </w:r>
      <w:r w:rsidRPr="00F259BB">
        <w:rPr>
          <w:rFonts w:eastAsia="Calibri"/>
        </w:rPr>
        <w:t xml:space="preserve"> some feel safe </w:t>
      </w:r>
      <w:r w:rsidR="004C244D">
        <w:rPr>
          <w:rFonts w:eastAsia="Calibri"/>
        </w:rPr>
        <w:t xml:space="preserve">can </w:t>
      </w:r>
      <w:r w:rsidRPr="00F259BB">
        <w:rPr>
          <w:rFonts w:eastAsia="Calibri"/>
        </w:rPr>
        <w:t>causes</w:t>
      </w:r>
      <w:r w:rsidR="004C244D">
        <w:rPr>
          <w:rFonts w:eastAsia="Calibri"/>
        </w:rPr>
        <w:t xml:space="preserve"> </w:t>
      </w:r>
      <w:r w:rsidRPr="00F259BB">
        <w:rPr>
          <w:rFonts w:eastAsia="Calibri"/>
        </w:rPr>
        <w:t xml:space="preserve">others to </w:t>
      </w:r>
      <w:r w:rsidR="004C244D">
        <w:rPr>
          <w:rFonts w:eastAsia="Calibri"/>
        </w:rPr>
        <w:t xml:space="preserve">feel, or actually be, </w:t>
      </w:r>
      <w:r w:rsidRPr="00F259BB">
        <w:rPr>
          <w:rFonts w:eastAsia="Calibri"/>
        </w:rPr>
        <w:t>unsafe.  Unfortunately, our political process is not designed with adequate guardrails here</w:t>
      </w:r>
      <w:r w:rsidR="004C244D">
        <w:rPr>
          <w:rFonts w:eastAsia="Calibri"/>
        </w:rPr>
        <w:t>.</w:t>
      </w:r>
    </w:p>
    <w:p w:rsidR="00757A10" w:rsidRPr="00F259BB" w:rsidRDefault="00757A10" w:rsidP="002C4256">
      <w:pPr>
        <w:spacing w:line="480" w:lineRule="auto"/>
        <w:contextualSpacing/>
        <w:rPr>
          <w:rFonts w:eastAsia="Calibri"/>
        </w:rPr>
      </w:pPr>
      <w:r w:rsidRPr="00F259BB">
        <w:rPr>
          <w:rFonts w:eastAsia="Calibri"/>
        </w:rPr>
        <w:tab/>
        <w:t>Often, though, it’s not safety v. safety; it’s safety v. money.  You’re not safe because I don’t want to devote my resources to seeing to it that you are safe.  To be clear, money won’t solve every problem.  But there are going to be plenty of situations—housing and education are two obvious examples—in which more money could make a difference.  (And before you cue up the lecture about dollars not being tantamount to educational outcomes, and how the United States spends more than other countries for less good performance, consider equalizing the resources that the country’s richest school district spends to failing schools in Detroit, and see if there is progress.</w:t>
      </w:r>
      <w:r w:rsidRPr="00F259BB">
        <w:rPr>
          <w:rFonts w:eastAsia="Calibri"/>
          <w:vertAlign w:val="superscript"/>
        </w:rPr>
        <w:footnoteReference w:id="276"/>
      </w:r>
      <w:r w:rsidRPr="00F259BB">
        <w:rPr>
          <w:rFonts w:eastAsia="Calibri"/>
        </w:rPr>
        <w:t>) The haves have and the have nots haven’t, and we’d be net safer if the haves were willing to help out more, but they aren’t.  Which doesn't mean they have to.  They are perfectly entitled to insist that it’s their money and they need one more fancy meal or vacation or house.  So long as they do, though, we can expect the status quo to stick.</w:t>
      </w:r>
    </w:p>
    <w:p w:rsidR="00757A10" w:rsidRPr="00F259BB" w:rsidRDefault="00757A10" w:rsidP="00757A10">
      <w:pPr>
        <w:spacing w:line="480" w:lineRule="auto"/>
        <w:contextualSpacing/>
        <w:rPr>
          <w:rFonts w:eastAsia="Calibri"/>
          <w:i/>
        </w:rPr>
      </w:pPr>
      <w:r w:rsidRPr="00F259BB">
        <w:rPr>
          <w:rFonts w:eastAsia="Calibri"/>
          <w:i/>
        </w:rPr>
        <w:t>D.</w:t>
      </w:r>
      <w:r w:rsidRPr="00F259BB">
        <w:rPr>
          <w:rFonts w:eastAsia="Calibri"/>
          <w:i/>
        </w:rPr>
        <w:tab/>
        <w:t>Othering, and the American Dilemma</w:t>
      </w:r>
    </w:p>
    <w:p w:rsidR="00757A10" w:rsidRPr="00F259BB" w:rsidRDefault="00757A10" w:rsidP="00757A10">
      <w:pPr>
        <w:spacing w:line="480" w:lineRule="auto"/>
        <w:contextualSpacing/>
        <w:rPr>
          <w:rFonts w:eastAsia="Calibri"/>
        </w:rPr>
      </w:pPr>
      <w:r w:rsidRPr="00F259BB">
        <w:rPr>
          <w:rFonts w:eastAsia="Calibri"/>
        </w:rPr>
        <w:tab/>
        <w:t>Self-interest is fueled further by a clan mentality that excludes caring about the “other,” exacerbated by America’s longstanding blot:  race.  People at bottom are an understandable mixture of self-interest and altruism.</w:t>
      </w:r>
      <w:r w:rsidRPr="00F259BB">
        <w:rPr>
          <w:rStyle w:val="FootnoteReference"/>
          <w:rFonts w:eastAsia="Calibri"/>
          <w:sz w:val="24"/>
        </w:rPr>
        <w:footnoteReference w:id="277"/>
      </w:r>
      <w:r w:rsidRPr="00F259BB">
        <w:rPr>
          <w:rFonts w:eastAsia="Calibri"/>
        </w:rPr>
        <w:t xml:space="preserve">  But </w:t>
      </w:r>
      <w:r w:rsidR="00441A2B">
        <w:rPr>
          <w:rFonts w:eastAsia="Calibri"/>
        </w:rPr>
        <w:t xml:space="preserve">any impulse to </w:t>
      </w:r>
      <w:r w:rsidRPr="00F259BB">
        <w:rPr>
          <w:rFonts w:eastAsia="Calibri"/>
        </w:rPr>
        <w:t xml:space="preserve">generosity seems to get strained the more distant people appear from us, </w:t>
      </w:r>
      <w:r w:rsidR="00441A2B">
        <w:rPr>
          <w:rFonts w:eastAsia="Calibri"/>
        </w:rPr>
        <w:t>and that includes</w:t>
      </w:r>
      <w:r w:rsidRPr="00F259BB">
        <w:rPr>
          <w:rFonts w:eastAsia="Calibri"/>
        </w:rPr>
        <w:t xml:space="preserve"> cultural, racial, ethnic, and class differences.  For example, voters are more supportive of welfare when the recipients are of their race, and less so if of another race.</w:t>
      </w:r>
      <w:r w:rsidRPr="00F259BB">
        <w:rPr>
          <w:rStyle w:val="FootnoteReference"/>
          <w:rFonts w:eastAsia="Calibri"/>
          <w:sz w:val="24"/>
        </w:rPr>
        <w:footnoteReference w:id="278"/>
      </w:r>
      <w:r w:rsidRPr="00F259BB">
        <w:rPr>
          <w:rFonts w:eastAsia="Calibri"/>
        </w:rPr>
        <w:t xml:space="preserve">  In particular, whites are less apt to support welfare benefits if they perceive the recipients to be Black.</w:t>
      </w:r>
      <w:r w:rsidRPr="00F259BB">
        <w:rPr>
          <w:rStyle w:val="FootnoteReference"/>
          <w:rFonts w:eastAsia="Calibri"/>
          <w:sz w:val="24"/>
        </w:rPr>
        <w:footnoteReference w:id="279"/>
      </w:r>
      <w:r w:rsidRPr="00F259BB">
        <w:rPr>
          <w:rFonts w:eastAsia="Calibri"/>
        </w:rPr>
        <w:t xml:space="preserve"> </w:t>
      </w:r>
    </w:p>
    <w:p w:rsidR="00757A10" w:rsidRPr="00F259BB" w:rsidRDefault="00757A10" w:rsidP="00757A10">
      <w:pPr>
        <w:spacing w:line="480" w:lineRule="auto"/>
        <w:contextualSpacing/>
        <w:rPr>
          <w:rFonts w:eastAsia="Calibri"/>
        </w:rPr>
      </w:pPr>
      <w:r w:rsidRPr="00F259BB">
        <w:rPr>
          <w:rFonts w:eastAsia="Calibri"/>
        </w:rPr>
        <w:tab/>
        <w:t>What is clear is that race consistently has been an obstacle to assuring full safety for everyone</w:t>
      </w:r>
      <w:r w:rsidR="00441A2B">
        <w:rPr>
          <w:rFonts w:eastAsia="Calibri"/>
        </w:rPr>
        <w:t xml:space="preserve"> in the United States</w:t>
      </w:r>
      <w:r w:rsidRPr="00F259BB">
        <w:rPr>
          <w:rFonts w:eastAsia="Calibri"/>
        </w:rPr>
        <w:t>.  Its roots run deep into slavery, through Redemption, and Jim Crow, and persist to the present day.</w:t>
      </w:r>
      <w:r w:rsidRPr="00F259BB">
        <w:rPr>
          <w:rFonts w:eastAsia="Calibri"/>
          <w:vertAlign w:val="superscript"/>
        </w:rPr>
        <w:footnoteReference w:id="280"/>
      </w:r>
      <w:r w:rsidRPr="00F259BB">
        <w:rPr>
          <w:rFonts w:eastAsia="Calibri"/>
        </w:rPr>
        <w:t xml:space="preserve">  Whatever may be the way each of us would work out our altruism-self-interest calculus in the abstract, it gets distorted horribly around race. The face of insecurity that ushered George Bush into office was Willie Horton, a</w:t>
      </w:r>
      <w:r w:rsidR="00441A2B">
        <w:rPr>
          <w:rFonts w:eastAsia="Calibri"/>
        </w:rPr>
        <w:t xml:space="preserve"> </w:t>
      </w:r>
      <w:r w:rsidR="008229A1">
        <w:rPr>
          <w:rFonts w:eastAsia="Calibri"/>
        </w:rPr>
        <w:t>B</w:t>
      </w:r>
      <w:r w:rsidRPr="00F259BB">
        <w:rPr>
          <w:rFonts w:eastAsia="Calibri"/>
        </w:rPr>
        <w:t>lack man released from prison on furlough who went on to commit serious crimes, as though one person for an entire race spoke.</w:t>
      </w:r>
      <w:r w:rsidRPr="00F259BB">
        <w:rPr>
          <w:rFonts w:eastAsia="Calibri"/>
          <w:vertAlign w:val="superscript"/>
        </w:rPr>
        <w:footnoteReference w:id="281"/>
      </w:r>
      <w:r w:rsidRPr="00F259BB">
        <w:rPr>
          <w:rFonts w:eastAsia="Calibri"/>
        </w:rPr>
        <w:t xml:space="preserve">  The face of cutting welfare funds was the “welfare queens” – all too often portrayed as </w:t>
      </w:r>
      <w:r w:rsidR="008229A1">
        <w:rPr>
          <w:rFonts w:eastAsia="Calibri"/>
        </w:rPr>
        <w:t>B</w:t>
      </w:r>
      <w:r w:rsidRPr="00F259BB">
        <w:rPr>
          <w:rFonts w:eastAsia="Calibri"/>
        </w:rPr>
        <w:t>lack women – who took advantage of benefits programs to avoid work.</w:t>
      </w:r>
      <w:r w:rsidRPr="00F259BB">
        <w:rPr>
          <w:rStyle w:val="FootnoteReference"/>
          <w:rFonts w:eastAsia="Calibri"/>
          <w:sz w:val="24"/>
        </w:rPr>
        <w:footnoteReference w:id="282"/>
      </w:r>
      <w:r w:rsidRPr="00F259BB">
        <w:rPr>
          <w:rFonts w:eastAsia="Calibri"/>
        </w:rPr>
        <w:t xml:space="preserve">  Now, immigrants and our </w:t>
      </w:r>
      <w:r w:rsidR="00F64AE5">
        <w:rPr>
          <w:rFonts w:eastAsia="Calibri"/>
        </w:rPr>
        <w:t>Black</w:t>
      </w:r>
      <w:r w:rsidRPr="00F259BB">
        <w:rPr>
          <w:rFonts w:eastAsia="Calibri"/>
        </w:rPr>
        <w:t xml:space="preserve"> population are targets of a renaissance of </w:t>
      </w:r>
      <w:r w:rsidR="00F96742">
        <w:rPr>
          <w:rFonts w:eastAsia="Calibri"/>
        </w:rPr>
        <w:t xml:space="preserve">bigotry, racism, </w:t>
      </w:r>
      <w:r w:rsidRPr="00F259BB">
        <w:rPr>
          <w:rFonts w:eastAsia="Calibri"/>
        </w:rPr>
        <w:t>and white nationalism.</w:t>
      </w:r>
      <w:r w:rsidR="003F7D4B">
        <w:rPr>
          <w:rStyle w:val="FootnoteReference"/>
          <w:rFonts w:eastAsia="Calibri"/>
        </w:rPr>
        <w:footnoteReference w:id="283"/>
      </w:r>
    </w:p>
    <w:p w:rsidR="00757A10" w:rsidRPr="00F259BB" w:rsidRDefault="00441A2B" w:rsidP="00757A10">
      <w:pPr>
        <w:spacing w:line="480" w:lineRule="auto"/>
        <w:ind w:firstLine="720"/>
        <w:contextualSpacing/>
        <w:rPr>
          <w:rFonts w:eastAsia="Calibri"/>
        </w:rPr>
      </w:pPr>
      <w:r>
        <w:rPr>
          <w:rFonts w:eastAsia="Calibri"/>
        </w:rPr>
        <w:t>In short, bigotry</w:t>
      </w:r>
      <w:r w:rsidR="00757A10" w:rsidRPr="00F259BB">
        <w:rPr>
          <w:rFonts w:eastAsia="Calibri"/>
        </w:rPr>
        <w:t xml:space="preserve"> contribute</w:t>
      </w:r>
      <w:r>
        <w:rPr>
          <w:rFonts w:eastAsia="Calibri"/>
        </w:rPr>
        <w:t>s</w:t>
      </w:r>
      <w:r w:rsidR="00757A10" w:rsidRPr="00F259BB">
        <w:rPr>
          <w:rFonts w:eastAsia="Calibri"/>
        </w:rPr>
        <w:t xml:space="preserve"> to our reluctance to step up and ensure people have what they need.  And try as we might to get beyond that, we don’t seem to be able to.</w:t>
      </w:r>
    </w:p>
    <w:p w:rsidR="00757A10" w:rsidRPr="00F259BB" w:rsidRDefault="00757A10" w:rsidP="00757A10">
      <w:pPr>
        <w:spacing w:line="480" w:lineRule="auto"/>
        <w:rPr>
          <w:rFonts w:eastAsia="Calibri"/>
          <w:i/>
        </w:rPr>
      </w:pPr>
      <w:r w:rsidRPr="00F259BB">
        <w:rPr>
          <w:rFonts w:eastAsia="Calibri"/>
          <w:i/>
        </w:rPr>
        <w:t>E.</w:t>
      </w:r>
      <w:r w:rsidRPr="00F259BB">
        <w:rPr>
          <w:rFonts w:eastAsia="Calibri"/>
          <w:i/>
        </w:rPr>
        <w:tab/>
        <w:t xml:space="preserve">Social Disagreement Writ Large </w:t>
      </w:r>
    </w:p>
    <w:p w:rsidR="00757A10" w:rsidRPr="00F259BB" w:rsidRDefault="00757A10" w:rsidP="003F06A0">
      <w:pPr>
        <w:spacing w:line="480" w:lineRule="auto"/>
        <w:rPr>
          <w:rFonts w:eastAsia="Calibri"/>
        </w:rPr>
      </w:pPr>
      <w:r w:rsidRPr="00F259BB">
        <w:rPr>
          <w:rFonts w:eastAsia="Calibri"/>
        </w:rPr>
        <w:tab/>
      </w:r>
      <w:r w:rsidR="00F64AE5">
        <w:rPr>
          <w:rFonts w:eastAsia="Calibri"/>
        </w:rPr>
        <w:t xml:space="preserve">Claims of self-interest are complicated by ideology. </w:t>
      </w:r>
      <w:r w:rsidRPr="00F259BB">
        <w:rPr>
          <w:rFonts w:eastAsia="Calibri"/>
        </w:rPr>
        <w:t xml:space="preserve">Many people resist providing more to others out of a set of views about government’s </w:t>
      </w:r>
      <w:r w:rsidR="003F7D4B">
        <w:rPr>
          <w:rFonts w:eastAsia="Calibri"/>
        </w:rPr>
        <w:t xml:space="preserve">proper </w:t>
      </w:r>
      <w:r w:rsidRPr="00F259BB">
        <w:rPr>
          <w:rFonts w:eastAsia="Calibri"/>
        </w:rPr>
        <w:t>role ought to be</w:t>
      </w:r>
      <w:r w:rsidR="00921A49">
        <w:rPr>
          <w:rFonts w:eastAsia="Calibri"/>
        </w:rPr>
        <w:t xml:space="preserve"> in</w:t>
      </w:r>
      <w:r w:rsidRPr="00F259BB">
        <w:rPr>
          <w:rFonts w:eastAsia="Calibri"/>
        </w:rPr>
        <w:t xml:space="preserve"> assuring individual safety.</w:t>
      </w:r>
      <w:r w:rsidRPr="00F259BB">
        <w:rPr>
          <w:rStyle w:val="FootnoteReference"/>
          <w:rFonts w:eastAsia="Calibri"/>
          <w:sz w:val="24"/>
        </w:rPr>
        <w:footnoteReference w:id="284"/>
      </w:r>
      <w:r w:rsidRPr="00F259BB">
        <w:rPr>
          <w:rFonts w:eastAsia="Calibri"/>
        </w:rPr>
        <w:t xml:space="preserve">  What’s tricky is that when ideology and self-interest run together, it can be difficult to tease </w:t>
      </w:r>
      <w:r w:rsidR="00F64AE5">
        <w:rPr>
          <w:rFonts w:eastAsia="Calibri"/>
        </w:rPr>
        <w:t>one out from the other.</w:t>
      </w:r>
      <w:r w:rsidRPr="00F259BB">
        <w:rPr>
          <w:rFonts w:eastAsia="Calibri"/>
        </w:rPr>
        <w:t xml:space="preserve">  Does principle properly restrict us from taking steps that would indeed make others safe</w:t>
      </w:r>
      <w:r w:rsidR="00F64AE5">
        <w:rPr>
          <w:rFonts w:eastAsia="Calibri"/>
        </w:rPr>
        <w:t>r</w:t>
      </w:r>
      <w:r w:rsidRPr="00F259BB">
        <w:rPr>
          <w:rFonts w:eastAsia="Calibri"/>
        </w:rPr>
        <w:t xml:space="preserve">? Or does principle </w:t>
      </w:r>
      <w:r w:rsidR="00F64AE5">
        <w:rPr>
          <w:rFonts w:eastAsia="Calibri"/>
        </w:rPr>
        <w:t xml:space="preserve">simply a justification for not </w:t>
      </w:r>
      <w:r w:rsidRPr="00F259BB">
        <w:rPr>
          <w:rFonts w:eastAsia="Calibri"/>
        </w:rPr>
        <w:t xml:space="preserve">doing what we don’t want to do anyway? </w:t>
      </w:r>
    </w:p>
    <w:p w:rsidR="00757A10" w:rsidRPr="00F259BB" w:rsidRDefault="00757A10" w:rsidP="00757A10">
      <w:pPr>
        <w:spacing w:line="480" w:lineRule="auto"/>
        <w:rPr>
          <w:rFonts w:eastAsia="Calibri"/>
        </w:rPr>
      </w:pPr>
      <w:r w:rsidRPr="00F259BB">
        <w:rPr>
          <w:rFonts w:eastAsia="Calibri"/>
        </w:rPr>
        <w:tab/>
      </w:r>
      <w:r w:rsidR="003F06A0">
        <w:rPr>
          <w:rFonts w:eastAsia="Calibri"/>
        </w:rPr>
        <w:t>Some people genuinely dispute</w:t>
      </w:r>
      <w:r w:rsidRPr="00F259BB">
        <w:rPr>
          <w:rFonts w:eastAsia="Calibri"/>
        </w:rPr>
        <w:t xml:space="preserve"> what safety entails</w:t>
      </w:r>
      <w:r w:rsidR="003F06A0">
        <w:rPr>
          <w:rFonts w:eastAsia="Calibri"/>
        </w:rPr>
        <w:t>; protection is in but after that it breaks down</w:t>
      </w:r>
      <w:r w:rsidRPr="00F259BB">
        <w:rPr>
          <w:rFonts w:eastAsia="Calibri"/>
        </w:rPr>
        <w:t xml:space="preserve">.  </w:t>
      </w:r>
      <w:r w:rsidR="003F7D4B">
        <w:rPr>
          <w:rFonts w:eastAsia="Calibri"/>
        </w:rPr>
        <w:t>Others</w:t>
      </w:r>
      <w:r w:rsidRPr="00F259BB">
        <w:rPr>
          <w:rFonts w:eastAsia="Calibri"/>
        </w:rPr>
        <w:t xml:space="preserve"> disagree on the nature of individual responsibility.  </w:t>
      </w:r>
      <w:r w:rsidR="003F7D4B">
        <w:rPr>
          <w:rFonts w:eastAsia="Calibri"/>
        </w:rPr>
        <w:t>P</w:t>
      </w:r>
      <w:r w:rsidRPr="00F259BB">
        <w:rPr>
          <w:rFonts w:eastAsia="Calibri"/>
        </w:rPr>
        <w:t>eople should provide for themselves.  Pull themselves up by their bootstraps.</w:t>
      </w:r>
      <w:r w:rsidRPr="00F259BB">
        <w:rPr>
          <w:rStyle w:val="FootnoteReference"/>
          <w:rFonts w:eastAsia="Calibri"/>
          <w:sz w:val="24"/>
        </w:rPr>
        <w:footnoteReference w:id="285"/>
      </w:r>
      <w:r w:rsidRPr="00F259BB">
        <w:rPr>
          <w:rFonts w:eastAsia="Calibri"/>
        </w:rPr>
        <w:t xml:space="preserve">  (To which others respond: it’s not a handout, it’s a hand up.  People need help getting on their feet.)</w:t>
      </w:r>
      <w:r w:rsidRPr="00F259BB">
        <w:rPr>
          <w:rFonts w:eastAsia="Calibri"/>
          <w:vertAlign w:val="superscript"/>
        </w:rPr>
        <w:footnoteReference w:id="286"/>
      </w:r>
      <w:r w:rsidRPr="00F259BB">
        <w:rPr>
          <w:rFonts w:eastAsia="Calibri"/>
        </w:rPr>
        <w:t xml:space="preserve">  </w:t>
      </w:r>
    </w:p>
    <w:p w:rsidR="00757A10" w:rsidRPr="00F259BB" w:rsidRDefault="00757A10" w:rsidP="00757A10">
      <w:pPr>
        <w:spacing w:line="480" w:lineRule="auto"/>
        <w:rPr>
          <w:rFonts w:eastAsia="Calibri"/>
        </w:rPr>
      </w:pPr>
      <w:r w:rsidRPr="00F259BB">
        <w:rPr>
          <w:rFonts w:eastAsia="Calibri"/>
        </w:rPr>
        <w:tab/>
      </w:r>
      <w:r w:rsidR="003F7D4B">
        <w:rPr>
          <w:rFonts w:eastAsia="Calibri"/>
        </w:rPr>
        <w:t>There</w:t>
      </w:r>
      <w:r w:rsidRPr="00F259BB">
        <w:rPr>
          <w:rFonts w:eastAsia="Calibri"/>
        </w:rPr>
        <w:t xml:space="preserve"> is a real strain of antipathy toward “big government.” Many people believe we are better off with a leaner state.</w:t>
      </w:r>
      <w:r w:rsidRPr="00F259BB">
        <w:rPr>
          <w:rStyle w:val="FootnoteReference"/>
          <w:rFonts w:eastAsia="Calibri"/>
          <w:sz w:val="24"/>
        </w:rPr>
        <w:footnoteReference w:id="287"/>
      </w:r>
      <w:r w:rsidRPr="00F259BB">
        <w:rPr>
          <w:rFonts w:eastAsia="Calibri"/>
        </w:rPr>
        <w:t xml:space="preserve">  Part of this is built from perceptions of state incompetence:  money given to bloated government is misused and wasted.</w:t>
      </w:r>
      <w:r w:rsidRPr="00F259BB">
        <w:rPr>
          <w:rStyle w:val="FootnoteReference"/>
          <w:rFonts w:eastAsia="Calibri"/>
          <w:sz w:val="24"/>
        </w:rPr>
        <w:footnoteReference w:id="288"/>
      </w:r>
      <w:r w:rsidRPr="00F259BB">
        <w:rPr>
          <w:rFonts w:eastAsia="Calibri"/>
        </w:rPr>
        <w:t xml:space="preserve">  Part derives from the view that with a larger state comes infringement on our liberty, and the fear of tyranny.</w:t>
      </w:r>
      <w:r w:rsidRPr="00F259BB">
        <w:rPr>
          <w:rStyle w:val="FootnoteReference"/>
          <w:rFonts w:eastAsia="Calibri"/>
          <w:sz w:val="24"/>
        </w:rPr>
        <w:footnoteReference w:id="289"/>
      </w:r>
      <w:r w:rsidR="003F7D4B" w:rsidRPr="003F7D4B">
        <w:rPr>
          <w:rFonts w:eastAsia="Calibri"/>
        </w:rPr>
        <w:t xml:space="preserve"> </w:t>
      </w:r>
      <w:r w:rsidR="003F7D4B">
        <w:rPr>
          <w:rFonts w:eastAsia="Calibri"/>
        </w:rPr>
        <w:t>Whichever: h</w:t>
      </w:r>
      <w:r w:rsidR="003F7D4B" w:rsidRPr="00F259BB">
        <w:rPr>
          <w:rFonts w:eastAsia="Calibri"/>
        </w:rPr>
        <w:t>elp, if it comes at all, should come in the form of volunteerism and private charity.</w:t>
      </w:r>
      <w:r w:rsidR="003F7D4B" w:rsidRPr="00F259BB">
        <w:rPr>
          <w:rStyle w:val="FootnoteReference"/>
          <w:rFonts w:eastAsia="Calibri"/>
          <w:sz w:val="24"/>
        </w:rPr>
        <w:footnoteReference w:id="290"/>
      </w:r>
    </w:p>
    <w:p w:rsidR="00757A10" w:rsidRPr="00F259BB" w:rsidRDefault="00757A10" w:rsidP="00757A10">
      <w:pPr>
        <w:spacing w:line="480" w:lineRule="auto"/>
        <w:ind w:firstLine="720"/>
        <w:rPr>
          <w:rFonts w:eastAsia="Calibri"/>
        </w:rPr>
      </w:pPr>
      <w:r w:rsidRPr="00F259BB">
        <w:rPr>
          <w:rFonts w:eastAsia="Calibri"/>
        </w:rPr>
        <w:t>Coming full circle, there are those who have ideological disagreement with fueling the state through taxation and its redistributive effects.  Part of this is about the size of the state.  But part is simply about the propriety of the state taking any more from us than is necessary to keep minimal shop open.</w:t>
      </w:r>
      <w:r w:rsidRPr="00F259BB">
        <w:rPr>
          <w:rFonts w:eastAsia="Calibri"/>
          <w:vertAlign w:val="superscript"/>
        </w:rPr>
        <w:footnoteReference w:id="291"/>
      </w:r>
      <w:r w:rsidRPr="00F259BB">
        <w:rPr>
          <w:rFonts w:eastAsia="Calibri"/>
        </w:rPr>
        <w:t xml:space="preserve">  Of course, what’s minimal and what’s necessary are what we’ve been discussing all along.</w:t>
      </w:r>
    </w:p>
    <w:p w:rsidR="00757A10" w:rsidRDefault="00757A10" w:rsidP="00757A10">
      <w:pPr>
        <w:spacing w:line="480" w:lineRule="auto"/>
        <w:ind w:firstLine="720"/>
        <w:rPr>
          <w:rFonts w:eastAsia="Calibri"/>
        </w:rPr>
      </w:pPr>
      <w:r w:rsidRPr="00F259BB">
        <w:rPr>
          <w:rFonts w:eastAsia="Calibri"/>
        </w:rPr>
        <w:t xml:space="preserve">The point is that absent a way to bring these disagreements to some sort of consensus, we get locked up on providing for individual safety.  Maybe the reason protection wins out simply is because most of us see ourselves as needing it, as opposed to the other elements of safety and security.  </w:t>
      </w:r>
    </w:p>
    <w:p w:rsidR="00F64AE5" w:rsidRPr="00F64AE5" w:rsidRDefault="00F64AE5" w:rsidP="00F64AE5">
      <w:pPr>
        <w:spacing w:line="480" w:lineRule="auto"/>
        <w:rPr>
          <w:rFonts w:eastAsia="Calibri"/>
          <w:i/>
        </w:rPr>
      </w:pPr>
      <w:r w:rsidRPr="00F64AE5">
        <w:rPr>
          <w:rFonts w:eastAsia="Calibri"/>
          <w:i/>
        </w:rPr>
        <w:t>F.</w:t>
      </w:r>
      <w:r w:rsidRPr="00F64AE5">
        <w:rPr>
          <w:rFonts w:eastAsia="Calibri"/>
          <w:i/>
        </w:rPr>
        <w:tab/>
        <w:t>Criminalization</w:t>
      </w:r>
    </w:p>
    <w:p w:rsidR="00757A10" w:rsidRPr="00F259BB" w:rsidRDefault="00757A10" w:rsidP="00757A10">
      <w:pPr>
        <w:spacing w:line="480" w:lineRule="auto"/>
        <w:rPr>
          <w:rFonts w:eastAsia="Calibri"/>
        </w:rPr>
      </w:pPr>
      <w:r w:rsidRPr="00F259BB">
        <w:rPr>
          <w:rFonts w:eastAsia="Calibri"/>
        </w:rPr>
        <w:tab/>
        <w:t xml:space="preserve">“Locked up” is probably the right expression for where we are, because in the face of disagreement </w:t>
      </w:r>
      <w:r w:rsidR="00F64AE5">
        <w:rPr>
          <w:rFonts w:eastAsia="Calibri"/>
        </w:rPr>
        <w:t xml:space="preserve">writ large </w:t>
      </w:r>
      <w:r w:rsidRPr="00F259BB">
        <w:rPr>
          <w:rFonts w:eastAsia="Calibri"/>
        </w:rPr>
        <w:t xml:space="preserve">over the role of government, the one thing </w:t>
      </w:r>
      <w:r w:rsidR="000D73EE">
        <w:rPr>
          <w:rFonts w:eastAsia="Calibri"/>
        </w:rPr>
        <w:t>people</w:t>
      </w:r>
      <w:r w:rsidRPr="00F259BB">
        <w:rPr>
          <w:rFonts w:eastAsia="Calibri"/>
        </w:rPr>
        <w:t xml:space="preserve"> seem all too able to agree upon is cranking up the machinery of criminal justice to address all our problems.</w:t>
      </w:r>
      <w:r w:rsidRPr="00F259BB">
        <w:rPr>
          <w:rFonts w:eastAsia="Calibri"/>
          <w:vertAlign w:val="superscript"/>
        </w:rPr>
        <w:footnoteReference w:id="292"/>
      </w:r>
      <w:r w:rsidRPr="00F259BB">
        <w:rPr>
          <w:rFonts w:eastAsia="Calibri"/>
        </w:rPr>
        <w:t xml:space="preserve">  That’s ironic, to say the least.  </w:t>
      </w:r>
      <w:r w:rsidR="00FC7053">
        <w:rPr>
          <w:rFonts w:eastAsia="Calibri"/>
        </w:rPr>
        <w:t xml:space="preserve">Because </w:t>
      </w:r>
      <w:r w:rsidR="00263794">
        <w:rPr>
          <w:rFonts w:eastAsia="Calibri"/>
        </w:rPr>
        <w:t>criminalization often fails to solve the problems to which it is addressed, but is a l</w:t>
      </w:r>
      <w:r w:rsidRPr="00F259BB">
        <w:rPr>
          <w:rFonts w:eastAsia="Calibri"/>
        </w:rPr>
        <w:t>eading cause of government harming individuals.</w:t>
      </w:r>
      <w:r w:rsidRPr="00F259BB">
        <w:rPr>
          <w:rStyle w:val="FootnoteReference"/>
          <w:rFonts w:eastAsia="Calibri"/>
          <w:sz w:val="24"/>
        </w:rPr>
        <w:footnoteReference w:id="293"/>
      </w:r>
    </w:p>
    <w:p w:rsidR="00263794" w:rsidRDefault="00757A10" w:rsidP="00263794">
      <w:pPr>
        <w:spacing w:line="480" w:lineRule="auto"/>
        <w:ind w:firstLine="720"/>
        <w:rPr>
          <w:rFonts w:eastAsia="Calibri"/>
        </w:rPr>
      </w:pPr>
      <w:r w:rsidRPr="00F259BB">
        <w:rPr>
          <w:rFonts w:eastAsia="Calibri"/>
        </w:rPr>
        <w:t xml:space="preserve">The criminal law is </w:t>
      </w:r>
      <w:r w:rsidR="000D73EE">
        <w:rPr>
          <w:rFonts w:eastAsia="Calibri"/>
        </w:rPr>
        <w:t>a</w:t>
      </w:r>
      <w:r w:rsidRPr="00F259BB">
        <w:rPr>
          <w:rFonts w:eastAsia="Calibri"/>
        </w:rPr>
        <w:t xml:space="preserve"> sledgehammer </w:t>
      </w:r>
      <w:r w:rsidR="000D73EE">
        <w:rPr>
          <w:rFonts w:eastAsia="Calibri"/>
        </w:rPr>
        <w:t>brought</w:t>
      </w:r>
      <w:r w:rsidRPr="00F259BB">
        <w:rPr>
          <w:rFonts w:eastAsia="Calibri"/>
        </w:rPr>
        <w:t xml:space="preserve"> to problems, many of which require scalpels, or some other more discerning tool.  Whenever something new and troubling raises its head, we are inclined to think “there should be a law against it.”</w:t>
      </w:r>
      <w:r w:rsidRPr="00F259BB">
        <w:rPr>
          <w:rStyle w:val="FootnoteReference"/>
          <w:rFonts w:eastAsia="Calibri"/>
          <w:sz w:val="24"/>
        </w:rPr>
        <w:footnoteReference w:id="294"/>
      </w:r>
      <w:r w:rsidRPr="00F259BB">
        <w:rPr>
          <w:rFonts w:eastAsia="Calibri"/>
        </w:rPr>
        <w:t xml:space="preserve">  And whenever we can’t get a handle on something that feels threatening, we seem to pass laws simply cranking up the penalties for its commission.</w:t>
      </w:r>
      <w:r w:rsidRPr="00F259BB">
        <w:rPr>
          <w:rStyle w:val="FootnoteReference"/>
          <w:rFonts w:eastAsia="Calibri"/>
          <w:sz w:val="24"/>
        </w:rPr>
        <w:footnoteReference w:id="295"/>
      </w:r>
      <w:r w:rsidR="00263794">
        <w:rPr>
          <w:rFonts w:eastAsia="Calibri"/>
        </w:rPr>
        <w:t xml:space="preserve"> </w:t>
      </w:r>
      <w:r w:rsidRPr="00F259BB">
        <w:rPr>
          <w:rFonts w:eastAsia="Calibri"/>
        </w:rPr>
        <w:t xml:space="preserve">Our fetish for overcriminalization represents a deep retributive streak in our society.  </w:t>
      </w:r>
      <w:r w:rsidR="00263794">
        <w:rPr>
          <w:rFonts w:eastAsia="Calibri"/>
        </w:rPr>
        <w:t>It</w:t>
      </w:r>
      <w:r w:rsidRPr="00F259BB">
        <w:rPr>
          <w:rFonts w:eastAsia="Calibri"/>
        </w:rPr>
        <w:t xml:space="preserve"> also represents a tendency to seize onto simplistic, and superficially costless, solutions.  </w:t>
      </w:r>
    </w:p>
    <w:p w:rsidR="00757A10" w:rsidRPr="00F259BB" w:rsidRDefault="00757A10" w:rsidP="00263794">
      <w:pPr>
        <w:spacing w:line="480" w:lineRule="auto"/>
        <w:ind w:firstLine="720"/>
        <w:rPr>
          <w:rFonts w:eastAsia="Calibri"/>
        </w:rPr>
      </w:pPr>
      <w:r w:rsidRPr="00F259BB">
        <w:rPr>
          <w:rFonts w:eastAsia="Calibri"/>
        </w:rPr>
        <w:t>Fixing things like homelessness and substance abuse, and addressing mental illness, can be complicated and messy.  It requires programs and training and hard work.</w:t>
      </w:r>
      <w:r w:rsidRPr="00F259BB">
        <w:rPr>
          <w:rStyle w:val="FootnoteReference"/>
          <w:rFonts w:eastAsia="Calibri"/>
          <w:sz w:val="24"/>
        </w:rPr>
        <w:footnoteReference w:id="296"/>
      </w:r>
      <w:r w:rsidRPr="00F259BB">
        <w:rPr>
          <w:rFonts w:eastAsia="Calibri"/>
        </w:rPr>
        <w:t xml:space="preserve">  Passing a law condemning the conduct that disturbs looks easy by comparison.</w:t>
      </w:r>
      <w:r w:rsidR="00263794">
        <w:rPr>
          <w:rFonts w:eastAsia="Calibri"/>
        </w:rPr>
        <w:t xml:space="preserve"> </w:t>
      </w:r>
      <w:r w:rsidRPr="00F259BB">
        <w:rPr>
          <w:rFonts w:eastAsia="Calibri"/>
        </w:rPr>
        <w:t xml:space="preserve">In truth, though, the criminal law not only is a blunt instrument; often it is misplaced.  </w:t>
      </w:r>
    </w:p>
    <w:p w:rsidR="00757A10" w:rsidRPr="00F259BB" w:rsidRDefault="00757A10" w:rsidP="00757A10">
      <w:pPr>
        <w:spacing w:line="480" w:lineRule="auto"/>
        <w:ind w:firstLine="720"/>
        <w:rPr>
          <w:rFonts w:eastAsia="Calibri"/>
        </w:rPr>
      </w:pPr>
      <w:r w:rsidRPr="00F259BB">
        <w:rPr>
          <w:rFonts w:eastAsia="Calibri"/>
        </w:rPr>
        <w:t xml:space="preserve">The </w:t>
      </w:r>
      <w:r w:rsidRPr="00F259BB">
        <w:rPr>
          <w:rFonts w:eastAsia="Calibri"/>
          <w:i/>
        </w:rPr>
        <w:t xml:space="preserve">sine qua </w:t>
      </w:r>
      <w:proofErr w:type="spellStart"/>
      <w:r w:rsidRPr="00F259BB">
        <w:rPr>
          <w:rFonts w:eastAsia="Calibri"/>
          <w:i/>
        </w:rPr>
        <w:t>non</w:t>
      </w:r>
      <w:r w:rsidRPr="00F259BB">
        <w:rPr>
          <w:rFonts w:eastAsia="Calibri"/>
        </w:rPr>
        <w:t xml:space="preserve"> of</w:t>
      </w:r>
      <w:proofErr w:type="spellEnd"/>
      <w:r w:rsidRPr="00F259BB">
        <w:rPr>
          <w:rFonts w:eastAsia="Calibri"/>
        </w:rPr>
        <w:t xml:space="preserve"> the criminal law is culpability.</w:t>
      </w:r>
      <w:r w:rsidRPr="00F259BB">
        <w:rPr>
          <w:rFonts w:eastAsia="Calibri"/>
          <w:vertAlign w:val="superscript"/>
        </w:rPr>
        <w:footnoteReference w:id="297"/>
      </w:r>
      <w:r w:rsidRPr="00F259BB">
        <w:rPr>
          <w:rFonts w:eastAsia="Calibri"/>
        </w:rPr>
        <w:t xml:space="preserve">  People are to be punished because they have done wrong.  There are plenty of laws that criminalize without any bad intent.</w:t>
      </w:r>
      <w:r w:rsidRPr="00F259BB">
        <w:rPr>
          <w:rStyle w:val="FootnoteReference"/>
          <w:rFonts w:eastAsia="Calibri"/>
          <w:sz w:val="24"/>
        </w:rPr>
        <w:footnoteReference w:id="298"/>
      </w:r>
      <w:r w:rsidRPr="00F259BB">
        <w:rPr>
          <w:rFonts w:eastAsia="Calibri"/>
        </w:rPr>
        <w:t xml:space="preserve">  (Like sleeping or asking for money in public places).</w:t>
      </w:r>
      <w:r w:rsidRPr="00F259BB">
        <w:rPr>
          <w:rStyle w:val="FootnoteReference"/>
          <w:rFonts w:eastAsia="Calibri"/>
          <w:sz w:val="24"/>
        </w:rPr>
        <w:footnoteReference w:id="299"/>
      </w:r>
      <w:r w:rsidRPr="00F259BB" w:rsidDel="009679A7">
        <w:rPr>
          <w:rFonts w:eastAsia="Calibri"/>
        </w:rPr>
        <w:t xml:space="preserve"> </w:t>
      </w:r>
      <w:r w:rsidRPr="00F259BB">
        <w:rPr>
          <w:rFonts w:eastAsia="Calibri"/>
        </w:rPr>
        <w:t>But that’s the problem.  People who are homeless, or who are addicted to drugs, often did not choose to be in that situation, and aren’t responsible for it in any meaningful way.  Yet, we toss them in jail by the thousands.</w:t>
      </w:r>
      <w:r w:rsidRPr="00F259BB">
        <w:rPr>
          <w:rFonts w:eastAsia="Calibri"/>
          <w:vertAlign w:val="superscript"/>
        </w:rPr>
        <w:footnoteReference w:id="300"/>
      </w:r>
      <w:r w:rsidRPr="00F259BB">
        <w:rPr>
          <w:rFonts w:eastAsia="Calibri"/>
        </w:rPr>
        <w:t xml:space="preserve">  It’s not clear that is making anyone safer.  Eventually they come out, still homeless, and still suffering from mental disabilities.  </w:t>
      </w:r>
    </w:p>
    <w:p w:rsidR="00757A10" w:rsidRDefault="00757A10" w:rsidP="00757A10">
      <w:pPr>
        <w:spacing w:line="480" w:lineRule="auto"/>
        <w:rPr>
          <w:rFonts w:eastAsia="Calibri"/>
        </w:rPr>
      </w:pPr>
      <w:r w:rsidRPr="00F259BB">
        <w:rPr>
          <w:rFonts w:eastAsia="Calibri"/>
        </w:rPr>
        <w:tab/>
      </w:r>
      <w:r w:rsidR="00263794">
        <w:rPr>
          <w:rFonts w:eastAsia="Calibri"/>
        </w:rPr>
        <w:t>E</w:t>
      </w:r>
      <w:r w:rsidRPr="00F259BB">
        <w:rPr>
          <w:rFonts w:eastAsia="Calibri"/>
        </w:rPr>
        <w:t xml:space="preserve">ven if the power’s there, the truth is that the criminal law’s </w:t>
      </w:r>
      <w:r w:rsidRPr="00F259BB">
        <w:rPr>
          <w:rFonts w:eastAsia="Calibri"/>
          <w:i/>
        </w:rPr>
        <w:t>not</w:t>
      </w:r>
      <w:r w:rsidRPr="00F259BB">
        <w:rPr>
          <w:rFonts w:eastAsia="Calibri"/>
        </w:rPr>
        <w:t xml:space="preserve"> a cheap solution to problems of public safety.</w:t>
      </w:r>
      <w:r w:rsidR="00263794">
        <w:rPr>
          <w:rStyle w:val="FootnoteReference"/>
          <w:rFonts w:eastAsia="Calibri"/>
        </w:rPr>
        <w:footnoteReference w:id="301"/>
      </w:r>
      <w:r w:rsidRPr="00F259BB">
        <w:rPr>
          <w:rFonts w:eastAsia="Calibri"/>
        </w:rPr>
        <w:t xml:space="preserve">  It’s hugely costly.  Police and jails and prosecutors and judges and prisons are expensive.  Tremendously expensive.</w:t>
      </w:r>
      <w:r w:rsidRPr="00F259BB">
        <w:rPr>
          <w:rStyle w:val="FootnoteReference"/>
          <w:rFonts w:eastAsia="Calibri"/>
          <w:sz w:val="24"/>
        </w:rPr>
        <w:footnoteReference w:id="302"/>
      </w:r>
      <w:r w:rsidRPr="00F259BB">
        <w:rPr>
          <w:rFonts w:eastAsia="Calibri"/>
        </w:rPr>
        <w:t xml:space="preserve">  Laws like the First Step Act make it appear as though we’re tempering our get-tough, retributive urges, when in fact much of the current de-incarceration movement is driven not by grace but by the </w:t>
      </w:r>
      <w:proofErr w:type="spellStart"/>
      <w:r w:rsidRPr="00F259BB">
        <w:rPr>
          <w:rFonts w:eastAsia="Calibri"/>
        </w:rPr>
        <w:t>fisc</w:t>
      </w:r>
      <w:proofErr w:type="spellEnd"/>
      <w:r w:rsidRPr="00F259BB">
        <w:rPr>
          <w:rFonts w:eastAsia="Calibri"/>
        </w:rPr>
        <w:t>.</w:t>
      </w:r>
      <w:r w:rsidRPr="00F259BB">
        <w:rPr>
          <w:rFonts w:eastAsia="Calibri"/>
          <w:vertAlign w:val="superscript"/>
        </w:rPr>
        <w:footnoteReference w:id="303"/>
      </w:r>
      <w:r w:rsidRPr="00F259BB">
        <w:rPr>
          <w:rFonts w:eastAsia="Calibri"/>
        </w:rPr>
        <w:t xml:space="preserve">  It has helped the right to find common ground with the left, and for government to work to lower prison populations, because people have all the sudden realized prison beds are expensive.</w:t>
      </w:r>
      <w:r w:rsidRPr="00F259BB">
        <w:rPr>
          <w:rStyle w:val="FootnoteReference"/>
          <w:rFonts w:eastAsia="Calibri"/>
          <w:sz w:val="24"/>
        </w:rPr>
        <w:footnoteReference w:id="304"/>
      </w:r>
    </w:p>
    <w:p w:rsidR="00F64AE5" w:rsidRPr="00F259BB" w:rsidRDefault="00F64AE5" w:rsidP="00757A10">
      <w:pPr>
        <w:spacing w:line="480" w:lineRule="auto"/>
        <w:rPr>
          <w:rFonts w:eastAsia="Calibri"/>
        </w:rPr>
      </w:pPr>
      <w:r>
        <w:rPr>
          <w:rFonts w:eastAsia="Calibri"/>
        </w:rPr>
        <w:tab/>
        <w:t xml:space="preserve">To be clear, the criminal law has its place—and may even be underutilized at times. One such area is </w:t>
      </w:r>
      <w:r w:rsidR="00114F2F">
        <w:rPr>
          <w:rFonts w:eastAsia="Calibri"/>
        </w:rPr>
        <w:t>around conduct like cyber-stalking, which creates real harm, and yet is not taken seriously by many. The criminal law both serves an expressive function—</w:t>
      </w:r>
      <w:r w:rsidR="00B5619B">
        <w:rPr>
          <w:rFonts w:eastAsia="Calibri"/>
        </w:rPr>
        <w:t>making clear</w:t>
      </w:r>
      <w:r w:rsidR="00114F2F">
        <w:rPr>
          <w:rFonts w:eastAsia="Calibri"/>
        </w:rPr>
        <w:t xml:space="preserve"> that threatened harms to vulnerable groups matters—and can ameliorate the problem.</w:t>
      </w:r>
      <w:r w:rsidR="004E04DD">
        <w:rPr>
          <w:rStyle w:val="FootnoteReference"/>
          <w:rFonts w:eastAsia="Calibri"/>
        </w:rPr>
        <w:footnoteReference w:id="305"/>
      </w:r>
    </w:p>
    <w:p w:rsidR="00757A10" w:rsidRPr="00F259BB" w:rsidRDefault="00757A10" w:rsidP="00757A10">
      <w:pPr>
        <w:spacing w:line="480" w:lineRule="auto"/>
        <w:rPr>
          <w:rFonts w:eastAsia="Calibri"/>
        </w:rPr>
      </w:pPr>
      <w:r w:rsidRPr="00F259BB">
        <w:rPr>
          <w:rFonts w:eastAsia="Calibri"/>
        </w:rPr>
        <w:tab/>
      </w:r>
      <w:r w:rsidR="00114F2F">
        <w:rPr>
          <w:rFonts w:eastAsia="Calibri"/>
        </w:rPr>
        <w:t xml:space="preserve">But too often we use the carceral state to little good: </w:t>
      </w:r>
      <w:r w:rsidRPr="00F259BB">
        <w:rPr>
          <w:rFonts w:eastAsia="Calibri"/>
        </w:rPr>
        <w:t xml:space="preserve">locking up people (and releasing them) (and locking them up again) </w:t>
      </w:r>
      <w:r w:rsidR="00B5619B">
        <w:rPr>
          <w:rFonts w:eastAsia="Calibri"/>
        </w:rPr>
        <w:t>without really addressing</w:t>
      </w:r>
      <w:r w:rsidRPr="00F259BB">
        <w:rPr>
          <w:rFonts w:eastAsia="Calibri"/>
        </w:rPr>
        <w:t xml:space="preserve"> conduct like homelessness or addiction that seems to make the rest of us feel unsafe.  It is making those people unsafe as well.</w:t>
      </w:r>
      <w:r w:rsidRPr="00F259BB">
        <w:rPr>
          <w:rStyle w:val="FootnoteReference"/>
          <w:rFonts w:eastAsia="Calibri"/>
          <w:sz w:val="24"/>
        </w:rPr>
        <w:footnoteReference w:id="306"/>
      </w:r>
      <w:r w:rsidRPr="00F259BB">
        <w:rPr>
          <w:rFonts w:eastAsia="Calibri"/>
        </w:rPr>
        <w:t xml:space="preserve">  </w:t>
      </w:r>
    </w:p>
    <w:p w:rsidR="00757A10" w:rsidRPr="009D648C" w:rsidRDefault="00757A10" w:rsidP="00757A10">
      <w:pPr>
        <w:spacing w:line="480" w:lineRule="auto"/>
        <w:contextualSpacing/>
        <w:rPr>
          <w:rFonts w:eastAsia="Calibri"/>
          <w:i/>
        </w:rPr>
      </w:pPr>
      <w:r w:rsidRPr="009D648C">
        <w:rPr>
          <w:rFonts w:eastAsia="Calibri"/>
          <w:i/>
        </w:rPr>
        <w:t>F.</w:t>
      </w:r>
      <w:r w:rsidRPr="009D648C">
        <w:rPr>
          <w:rFonts w:eastAsia="Calibri"/>
          <w:i/>
        </w:rPr>
        <w:tab/>
        <w:t>Social Disagreement Writ Small</w:t>
      </w:r>
    </w:p>
    <w:p w:rsidR="00757A10" w:rsidRPr="009D648C" w:rsidRDefault="00757A10" w:rsidP="00757A10">
      <w:pPr>
        <w:spacing w:line="480" w:lineRule="auto"/>
        <w:contextualSpacing/>
        <w:rPr>
          <w:rFonts w:eastAsia="Calibri"/>
        </w:rPr>
      </w:pPr>
      <w:r w:rsidRPr="009D648C">
        <w:rPr>
          <w:rFonts w:eastAsia="Calibri"/>
        </w:rPr>
        <w:tab/>
        <w:t>The last thing we do, is we push our problems down to a level where we don’t have to look at—or supervise—whatever is done to drive them out of sight.  Oftentimes, the failure of public safety occurs not at the sort of high level of policy and direction that we have been discussing, but down on the ground, at the point where rubber hits the road.</w:t>
      </w:r>
      <w:r w:rsidRPr="009D648C">
        <w:rPr>
          <w:rFonts w:eastAsia="Calibri"/>
          <w:vertAlign w:val="superscript"/>
        </w:rPr>
        <w:footnoteReference w:id="307"/>
      </w:r>
      <w:r w:rsidRPr="009D648C">
        <w:rPr>
          <w:rFonts w:eastAsia="Calibri"/>
        </w:rPr>
        <w:t xml:space="preserve">  Where funds are disbursed to a particular claimant, or not.  Where the decision is made to toss that homeless person off the bench.  </w:t>
      </w:r>
      <w:r w:rsidR="004D5CC0">
        <w:rPr>
          <w:rFonts w:eastAsia="Calibri"/>
        </w:rPr>
        <w:t>Call this</w:t>
      </w:r>
      <w:r w:rsidRPr="009D648C">
        <w:rPr>
          <w:rFonts w:eastAsia="Calibri"/>
        </w:rPr>
        <w:t xml:space="preserve"> social disagreement writ small. In contrast to disagreements about policy, these are disagreements about implementation.  </w:t>
      </w:r>
    </w:p>
    <w:p w:rsidR="00757A10" w:rsidRPr="009D648C" w:rsidRDefault="00757A10" w:rsidP="00757A10">
      <w:pPr>
        <w:spacing w:line="480" w:lineRule="auto"/>
        <w:contextualSpacing/>
        <w:rPr>
          <w:rFonts w:eastAsia="Calibri"/>
        </w:rPr>
      </w:pPr>
      <w:r w:rsidRPr="009D648C">
        <w:rPr>
          <w:rFonts w:eastAsia="Calibri"/>
        </w:rPr>
        <w:tab/>
        <w:t xml:space="preserve">The two forms of </w:t>
      </w:r>
      <w:r w:rsidR="00EE4176">
        <w:rPr>
          <w:rFonts w:eastAsia="Calibri"/>
        </w:rPr>
        <w:t xml:space="preserve">social </w:t>
      </w:r>
      <w:r w:rsidRPr="009D648C">
        <w:rPr>
          <w:rFonts w:eastAsia="Calibri"/>
        </w:rPr>
        <w:t>disagreement often are related.  What can’t be resolved at the top rolls (or gets pushed) down to the bottom.  If something is too complex or contested for us to work out, make it someone else’s problem.  Leaving things undecided means that when the need for a decision arises, it falls into the hands of someone whose judgment may be lacking, or who lacks a good set of options.</w:t>
      </w:r>
      <w:r w:rsidRPr="009D648C">
        <w:rPr>
          <w:rFonts w:eastAsia="Calibri"/>
          <w:vertAlign w:val="superscript"/>
        </w:rPr>
        <w:footnoteReference w:id="308"/>
      </w:r>
    </w:p>
    <w:p w:rsidR="00757A10" w:rsidRPr="009D648C" w:rsidRDefault="00757A10" w:rsidP="00757A10">
      <w:pPr>
        <w:spacing w:line="480" w:lineRule="auto"/>
        <w:contextualSpacing/>
        <w:rPr>
          <w:rFonts w:eastAsia="Calibri"/>
        </w:rPr>
      </w:pPr>
      <w:r w:rsidRPr="009D648C">
        <w:rPr>
          <w:rFonts w:eastAsia="Calibri"/>
        </w:rPr>
        <w:tab/>
        <w:t>Just as social disagreement writ large renders people unsafe, so too with social disagreement writ small.  People aren’t safe because, even though the apparatus of government is in place, it fails them in the here and now.  That homeless person is still camped out on your stoop.  Or they’re out on the street because some shelter employee denies them entry for all the wrong reasons.  A cop answers a call and botches it badly, and someone who should have been protected ends up injured, or even killed.</w:t>
      </w:r>
      <w:r w:rsidRPr="009D648C">
        <w:rPr>
          <w:rFonts w:eastAsia="Calibri"/>
          <w:vertAlign w:val="superscript"/>
        </w:rPr>
        <w:footnoteReference w:id="309"/>
      </w:r>
    </w:p>
    <w:p w:rsidR="00757A10" w:rsidRPr="009D648C" w:rsidRDefault="00757A10" w:rsidP="00757A10">
      <w:pPr>
        <w:spacing w:line="480" w:lineRule="auto"/>
        <w:contextualSpacing/>
        <w:rPr>
          <w:rFonts w:eastAsia="Calibri"/>
        </w:rPr>
      </w:pPr>
      <w:r w:rsidRPr="009D648C">
        <w:rPr>
          <w:rFonts w:eastAsia="Calibri"/>
        </w:rPr>
        <w:tab/>
        <w:t>When matters are not resolved clearly up top, people are at the whim of low-level functionaries, who may or may not be up to the job.  There’s going to be a certain amount of</w:t>
      </w:r>
      <w:r w:rsidRPr="00F259BB">
        <w:rPr>
          <w:rFonts w:eastAsia="Calibri"/>
          <w:b/>
          <w:bCs/>
        </w:rPr>
        <w:t xml:space="preserve"> </w:t>
      </w:r>
      <w:r w:rsidRPr="009D648C">
        <w:rPr>
          <w:rFonts w:eastAsia="Calibri"/>
        </w:rPr>
        <w:t>incompetence or confusion or sheer truculence in any system.  Things go wrong.</w:t>
      </w:r>
      <w:r w:rsidRPr="009D648C">
        <w:rPr>
          <w:rFonts w:eastAsia="Calibri"/>
          <w:vertAlign w:val="superscript"/>
        </w:rPr>
        <w:footnoteReference w:id="310"/>
      </w:r>
    </w:p>
    <w:p w:rsidR="00757A10" w:rsidRPr="009D648C" w:rsidRDefault="00757A10" w:rsidP="00757A10">
      <w:pPr>
        <w:spacing w:line="480" w:lineRule="auto"/>
        <w:contextualSpacing/>
        <w:rPr>
          <w:rFonts w:eastAsia="Calibri"/>
        </w:rPr>
      </w:pPr>
      <w:r w:rsidRPr="009D648C">
        <w:rPr>
          <w:rFonts w:eastAsia="Calibri"/>
        </w:rPr>
        <w:tab/>
        <w:t>Although these may seem nothing but the cumulative random acts of low-level bureaucratic employees, there are systemic causes. One of them is discretion. It’s just hard to get discretion right.</w:t>
      </w:r>
      <w:r w:rsidRPr="009D648C">
        <w:rPr>
          <w:rFonts w:eastAsia="Calibri"/>
          <w:vertAlign w:val="superscript"/>
        </w:rPr>
        <w:footnoteReference w:id="311"/>
      </w:r>
      <w:r w:rsidRPr="009D648C">
        <w:rPr>
          <w:rFonts w:eastAsia="Calibri"/>
        </w:rPr>
        <w:t xml:space="preserve">  On the one hand, low-level workers need a certain amount of discretion—otherwise people they are trying to help will get caught in the gears of bureaucratic insanity.  On the other hand, too little guidance and functionaries are bound to mess it up, to make bad choices, to lack empathy or understanding, or just be overworked to the point of not being able to cope well.  Discretion may be unavoidable, but it also may just be that we simply push them the hard decisions down to lower-level folks who get stuck with addressing them, lacking both the guidance and the resources to get it right.  If we were willing to make better decisions up top, to resolve social disagreement there, we probably could make headway on the issue of discretion.  The system’s loaded with unbounded discretion, in part, because we’re simply unable to agree how to bound it.</w:t>
      </w:r>
    </w:p>
    <w:p w:rsidR="00757A10" w:rsidRPr="009D648C" w:rsidRDefault="00757A10" w:rsidP="00757A10">
      <w:pPr>
        <w:spacing w:line="480" w:lineRule="auto"/>
        <w:contextualSpacing/>
        <w:rPr>
          <w:rFonts w:eastAsia="Calibri"/>
        </w:rPr>
      </w:pPr>
      <w:r w:rsidRPr="009D648C">
        <w:rPr>
          <w:rFonts w:eastAsia="Calibri"/>
        </w:rPr>
        <w:tab/>
        <w:t>Accountability is the other part of the puzzle where writ small meets writ large.  We’re real big on talking about accountability, especially when it comes to needy people seeking handouts, but we’re not very good at holding people responsible for failing to make other people safe.  (Who lost their job as a result of what went wrong on 9/11?)  Legal doctrine reflects this.  Most government employees get a level of immunity from claims for recompense that tells them it’s fine to act with impunity and just muck it up.</w:t>
      </w:r>
      <w:r w:rsidRPr="009D648C">
        <w:rPr>
          <w:rFonts w:eastAsia="Calibri"/>
          <w:vertAlign w:val="superscript"/>
        </w:rPr>
        <w:footnoteReference w:id="312"/>
      </w:r>
      <w:r w:rsidRPr="009D648C">
        <w:rPr>
          <w:rFonts w:eastAsia="Calibri"/>
        </w:rPr>
        <w:t xml:space="preserve">  Perhaps this grant of decisional autonomy is but the flip side of the failure to provide guidance and resources.  If the folks up top can’t figure out or resolve how to solve a problem, why take it out on the bureaucrats and functionaries who are left to struggle with it?  </w:t>
      </w:r>
    </w:p>
    <w:p w:rsidR="00757A10" w:rsidRPr="009D648C" w:rsidRDefault="00757A10" w:rsidP="00757A10">
      <w:pPr>
        <w:spacing w:line="480" w:lineRule="auto"/>
        <w:contextualSpacing/>
        <w:rPr>
          <w:rFonts w:eastAsia="Calibri"/>
        </w:rPr>
      </w:pPr>
      <w:r w:rsidRPr="009D648C">
        <w:rPr>
          <w:rFonts w:eastAsia="Calibri"/>
        </w:rPr>
        <w:tab/>
        <w:t>Still, the resultant effect of these forces often is unattractive.  People are left high and dry, when they need help.  Their situations get bungled and rather than receive what they need from government, they are injured, or fed red tape.  And no one is responsible.</w:t>
      </w:r>
    </w:p>
    <w:p w:rsidR="00757A10" w:rsidRPr="009D648C" w:rsidRDefault="00757A10" w:rsidP="00757A10">
      <w:pPr>
        <w:spacing w:line="480" w:lineRule="auto"/>
        <w:contextualSpacing/>
        <w:jc w:val="center"/>
        <w:rPr>
          <w:rFonts w:eastAsia="Calibri"/>
        </w:rPr>
      </w:pPr>
      <w:r w:rsidRPr="009D648C">
        <w:rPr>
          <w:rFonts w:eastAsia="Calibri"/>
        </w:rPr>
        <w:t>*</w:t>
      </w:r>
      <w:r w:rsidRPr="009D648C">
        <w:rPr>
          <w:rFonts w:eastAsia="Calibri"/>
        </w:rPr>
        <w:tab/>
        <w:t>*</w:t>
      </w:r>
      <w:r w:rsidRPr="009D648C">
        <w:rPr>
          <w:rFonts w:eastAsia="Calibri"/>
        </w:rPr>
        <w:tab/>
        <w:t>*</w:t>
      </w:r>
    </w:p>
    <w:p w:rsidR="00757A10" w:rsidRDefault="00757A10" w:rsidP="00757A10">
      <w:pPr>
        <w:spacing w:line="480" w:lineRule="auto"/>
        <w:contextualSpacing/>
        <w:rPr>
          <w:rFonts w:eastAsia="Calibri"/>
        </w:rPr>
      </w:pPr>
      <w:r w:rsidRPr="00F259BB">
        <w:rPr>
          <w:rFonts w:eastAsia="Calibri"/>
          <w:b/>
          <w:bCs/>
        </w:rPr>
        <w:tab/>
      </w:r>
      <w:r w:rsidR="00EE4176">
        <w:rPr>
          <w:rFonts w:eastAsia="Calibri"/>
        </w:rPr>
        <w:t>This diagnosis is</w:t>
      </w:r>
      <w:r w:rsidRPr="009D648C">
        <w:rPr>
          <w:rFonts w:eastAsia="Calibri"/>
        </w:rPr>
        <w:t xml:space="preserve"> not very uplifting.  But it’s real.  People could be safer.  They aren’t, because of a set of factors </w:t>
      </w:r>
      <w:r w:rsidR="00EE4176">
        <w:rPr>
          <w:rFonts w:eastAsia="Calibri"/>
        </w:rPr>
        <w:t>may explain our failures, but hardly excuse them.</w:t>
      </w:r>
    </w:p>
    <w:p w:rsidR="00757A10" w:rsidRPr="009D648C" w:rsidRDefault="00757A10" w:rsidP="00757A10">
      <w:pPr>
        <w:spacing w:line="480" w:lineRule="auto"/>
        <w:contextualSpacing/>
        <w:rPr>
          <w:rFonts w:eastAsia="Calibri"/>
        </w:rPr>
      </w:pPr>
    </w:p>
    <w:p w:rsidR="00757A10" w:rsidRPr="00F259BB" w:rsidRDefault="00757A10" w:rsidP="00757A10">
      <w:pPr>
        <w:spacing w:line="480" w:lineRule="auto"/>
        <w:contextualSpacing/>
        <w:jc w:val="center"/>
        <w:rPr>
          <w:rFonts w:eastAsia="Calibri"/>
          <w:smallCaps/>
        </w:rPr>
      </w:pPr>
      <w:r w:rsidRPr="00F259BB">
        <w:rPr>
          <w:rFonts w:eastAsia="Calibri"/>
          <w:smallCaps/>
        </w:rPr>
        <w:t>Afterword</w:t>
      </w:r>
    </w:p>
    <w:p w:rsidR="006536F2" w:rsidRDefault="00757A10" w:rsidP="00757A10">
      <w:pPr>
        <w:spacing w:line="480" w:lineRule="auto"/>
        <w:contextualSpacing/>
        <w:rPr>
          <w:rFonts w:eastAsia="Calibri"/>
        </w:rPr>
      </w:pPr>
      <w:r w:rsidRPr="00F259BB">
        <w:rPr>
          <w:rFonts w:eastAsia="Calibri"/>
        </w:rPr>
        <w:tab/>
      </w:r>
      <w:r w:rsidR="006536F2">
        <w:rPr>
          <w:rFonts w:eastAsia="Calibri"/>
        </w:rPr>
        <w:t>C</w:t>
      </w:r>
      <w:r w:rsidRPr="00F259BB">
        <w:rPr>
          <w:rFonts w:eastAsia="Calibri"/>
        </w:rPr>
        <w:t>onclusions in law reviews are pretty tepid stuff, doing nothing other than summing up in a couple paragraphs what anyone who has read this far knows anyway.</w:t>
      </w:r>
      <w:r w:rsidR="006536F2">
        <w:rPr>
          <w:rStyle w:val="FootnoteReference"/>
          <w:rFonts w:eastAsia="Calibri"/>
        </w:rPr>
        <w:footnoteReference w:id="313"/>
      </w:r>
      <w:r w:rsidRPr="00F259BB">
        <w:rPr>
          <w:rFonts w:eastAsia="Calibri"/>
        </w:rPr>
        <w:t xml:space="preserve"> Here, instead, is an afterword, a tiny germ of an idea that presents perhaps a </w:t>
      </w:r>
      <w:r w:rsidR="001D233D">
        <w:rPr>
          <w:rFonts w:eastAsia="Calibri"/>
        </w:rPr>
        <w:t>ray</w:t>
      </w:r>
      <w:r w:rsidRPr="00F259BB">
        <w:rPr>
          <w:rFonts w:eastAsia="Calibri"/>
        </w:rPr>
        <w:t xml:space="preserve"> of hope</w:t>
      </w:r>
      <w:r w:rsidR="001D233D">
        <w:rPr>
          <w:rFonts w:eastAsia="Calibri"/>
        </w:rPr>
        <w:t>, or food for thought</w:t>
      </w:r>
      <w:r w:rsidRPr="00F259BB">
        <w:rPr>
          <w:rFonts w:eastAsia="Calibri"/>
        </w:rPr>
        <w:t xml:space="preserve">.  </w:t>
      </w:r>
    </w:p>
    <w:p w:rsidR="00757A10" w:rsidRPr="00F259BB" w:rsidRDefault="00757A10" w:rsidP="00757A10">
      <w:pPr>
        <w:spacing w:line="480" w:lineRule="auto"/>
        <w:contextualSpacing/>
        <w:rPr>
          <w:rFonts w:eastAsia="Calibri"/>
        </w:rPr>
      </w:pPr>
      <w:r w:rsidRPr="00F259BB">
        <w:rPr>
          <w:rFonts w:eastAsia="Calibri"/>
        </w:rPr>
        <w:tab/>
        <w:t xml:space="preserve">The problem, as must be clear, is that we have a hierarchy: protection, and then all else.  As a result, we protect to the point of harm, and neglect much else.  We try along many of those dimensions, food, housing, education.  But we have spectacular failures. </w:t>
      </w:r>
    </w:p>
    <w:p w:rsidR="00757A10" w:rsidRPr="00F259BB" w:rsidRDefault="00757A10" w:rsidP="00757A10">
      <w:pPr>
        <w:spacing w:line="480" w:lineRule="auto"/>
        <w:ind w:firstLine="720"/>
        <w:contextualSpacing/>
        <w:rPr>
          <w:rFonts w:eastAsia="Calibri"/>
        </w:rPr>
      </w:pPr>
      <w:r w:rsidRPr="00F259BB">
        <w:rPr>
          <w:rFonts w:eastAsia="Calibri"/>
        </w:rPr>
        <w:t xml:space="preserve">What we need, one suspects, is to muster resources in an integrated fashion to those who need them.  A way to bring attention to the most needy in our society, and move with laser-like fashion to try to help them.  People who are needy often are needy along a set of dimensions.  They aren’t well-housed but hungry, well-educated but struggling financially.  Rather, they need much more in the way of support than </w:t>
      </w:r>
      <w:r w:rsidR="001D233D">
        <w:rPr>
          <w:rFonts w:eastAsia="Calibri"/>
        </w:rPr>
        <w:t>addressing</w:t>
      </w:r>
      <w:r w:rsidRPr="00F259BB">
        <w:rPr>
          <w:rFonts w:eastAsia="Calibri"/>
        </w:rPr>
        <w:t xml:space="preserve"> one problem.</w:t>
      </w:r>
    </w:p>
    <w:p w:rsidR="00757A10" w:rsidRPr="00F259BB" w:rsidRDefault="00757A10" w:rsidP="00757A10">
      <w:pPr>
        <w:spacing w:line="480" w:lineRule="auto"/>
        <w:ind w:firstLine="720"/>
        <w:contextualSpacing/>
        <w:rPr>
          <w:rFonts w:eastAsia="Calibri"/>
        </w:rPr>
      </w:pPr>
      <w:r w:rsidRPr="00F259BB">
        <w:rPr>
          <w:rFonts w:eastAsia="Calibri"/>
        </w:rPr>
        <w:t xml:space="preserve">One result of our hierarchy is silos.  There is a Department of Public </w:t>
      </w:r>
      <w:r w:rsidR="001D233D">
        <w:rPr>
          <w:rFonts w:eastAsia="Calibri"/>
        </w:rPr>
        <w:t>S</w:t>
      </w:r>
      <w:r w:rsidRPr="00F259BB">
        <w:rPr>
          <w:rFonts w:eastAsia="Calibri"/>
        </w:rPr>
        <w:t xml:space="preserve">afety, full of people with military bearing who focus on policing, and emergency response.  And then there are Departments of Education, and Welfare, and the like.  </w:t>
      </w:r>
    </w:p>
    <w:p w:rsidR="00757A10" w:rsidRPr="00F259BB" w:rsidRDefault="00757A10" w:rsidP="00757A10">
      <w:pPr>
        <w:spacing w:line="480" w:lineRule="auto"/>
        <w:ind w:firstLine="720"/>
        <w:contextualSpacing/>
        <w:rPr>
          <w:rFonts w:eastAsia="Calibri"/>
        </w:rPr>
      </w:pPr>
      <w:r w:rsidRPr="00F259BB">
        <w:rPr>
          <w:rFonts w:eastAsia="Calibri"/>
        </w:rPr>
        <w:t>What if, instead, we had a true Department of Public Safety.  Or even just an official near the top of the government structure, whose job it was to address threats to public safety in a more holistic way.  People or places where substantive expertise could come together, acknowledging that public safety is multi-faceted, and that to ensure people are safe we need to look at safety in all its dimensions.</w:t>
      </w:r>
    </w:p>
    <w:p w:rsidR="00757A10" w:rsidRPr="00F259BB" w:rsidRDefault="001D233D" w:rsidP="00757A10">
      <w:pPr>
        <w:spacing w:line="480" w:lineRule="auto"/>
        <w:ind w:firstLine="720"/>
        <w:contextualSpacing/>
        <w:rPr>
          <w:rFonts w:eastAsia="Calibri"/>
        </w:rPr>
      </w:pPr>
      <w:r>
        <w:rPr>
          <w:rFonts w:eastAsia="Calibri"/>
        </w:rPr>
        <w:t xml:space="preserve">The challenges of this idea are </w:t>
      </w:r>
      <w:r w:rsidR="006536F2">
        <w:rPr>
          <w:rFonts w:eastAsia="Calibri"/>
        </w:rPr>
        <w:t>v</w:t>
      </w:r>
      <w:r>
        <w:rPr>
          <w:rFonts w:eastAsia="Calibri"/>
        </w:rPr>
        <w:t xml:space="preserve">ast. I wrote these words </w:t>
      </w:r>
      <w:r w:rsidR="007370D1">
        <w:rPr>
          <w:rFonts w:eastAsia="Calibri"/>
        </w:rPr>
        <w:t xml:space="preserve">prior to the </w:t>
      </w:r>
      <w:r w:rsidR="00757A10" w:rsidRPr="00F259BB">
        <w:rPr>
          <w:rFonts w:eastAsia="Calibri"/>
        </w:rPr>
        <w:t xml:space="preserve">killing of George Floyd, </w:t>
      </w:r>
      <w:r w:rsidR="007370D1">
        <w:rPr>
          <w:rFonts w:eastAsia="Calibri"/>
        </w:rPr>
        <w:t xml:space="preserve">and the protests that followed. In their wake, </w:t>
      </w:r>
      <w:r w:rsidR="006536F2">
        <w:rPr>
          <w:rFonts w:eastAsia="Calibri"/>
        </w:rPr>
        <w:t xml:space="preserve">however, </w:t>
      </w:r>
      <w:r w:rsidR="007370D1">
        <w:rPr>
          <w:rFonts w:eastAsia="Calibri"/>
        </w:rPr>
        <w:t xml:space="preserve">the idea seemed to be </w:t>
      </w:r>
      <w:r w:rsidR="00757A10" w:rsidRPr="00F259BB">
        <w:rPr>
          <w:rFonts w:eastAsia="Calibri"/>
        </w:rPr>
        <w:t xml:space="preserve">getting some credence.  </w:t>
      </w:r>
      <w:r w:rsidR="006536F2">
        <w:rPr>
          <w:rFonts w:eastAsia="Calibri"/>
        </w:rPr>
        <w:t>A</w:t>
      </w:r>
      <w:r w:rsidR="007370D1">
        <w:rPr>
          <w:rFonts w:eastAsia="Calibri"/>
        </w:rPr>
        <w:t xml:space="preserve"> number of cities are taking </w:t>
      </w:r>
      <w:r w:rsidR="00757A10" w:rsidRPr="00F259BB">
        <w:rPr>
          <w:rFonts w:eastAsia="Calibri"/>
        </w:rPr>
        <w:t>steps to rethink first response</w:t>
      </w:r>
      <w:r w:rsidR="007370D1">
        <w:rPr>
          <w:rFonts w:eastAsia="Calibri"/>
        </w:rPr>
        <w:t>, to bring help to those who need it, and without the use of force and law.</w:t>
      </w:r>
      <w:r w:rsidR="00757A10" w:rsidRPr="00F259BB">
        <w:rPr>
          <w:rStyle w:val="FootnoteReference"/>
          <w:rFonts w:eastAsia="Calibri"/>
          <w:sz w:val="24"/>
        </w:rPr>
        <w:footnoteReference w:id="314"/>
      </w:r>
      <w:r w:rsidR="00757A10" w:rsidRPr="00F259BB">
        <w:rPr>
          <w:rFonts w:eastAsia="Calibri"/>
        </w:rPr>
        <w:t xml:space="preserve"> </w:t>
      </w:r>
      <w:r w:rsidR="006536F2">
        <w:rPr>
          <w:rFonts w:eastAsia="Calibri"/>
        </w:rPr>
        <w:t xml:space="preserve"> </w:t>
      </w:r>
      <w:r w:rsidR="00757A10" w:rsidRPr="00F259BB">
        <w:rPr>
          <w:rFonts w:eastAsia="Calibri"/>
        </w:rPr>
        <w:t>At the same time, these ambitious ideas are running hard into real world disagreement and complexity.</w:t>
      </w:r>
      <w:r w:rsidR="00757A10" w:rsidRPr="00F259BB">
        <w:rPr>
          <w:rStyle w:val="FootnoteReference"/>
          <w:rFonts w:eastAsia="Calibri"/>
          <w:sz w:val="24"/>
        </w:rPr>
        <w:footnoteReference w:id="315"/>
      </w:r>
      <w:r w:rsidR="00757A10" w:rsidRPr="00F259BB">
        <w:rPr>
          <w:rFonts w:eastAsia="Calibri"/>
        </w:rPr>
        <w:t xml:space="preserve">  Wherever this leads, the hope—and the real job of this Article—job one— was to make clear how we privilege protection, and by doing so lack a sufficiently capacious understanding of what public safety really entails.  Because if we can’t even see this problem, we can’t begin to fix it. </w:t>
      </w:r>
    </w:p>
    <w:p w:rsidR="00757A10" w:rsidRPr="00F259BB" w:rsidRDefault="00757A10" w:rsidP="00757A10">
      <w:pPr>
        <w:spacing w:line="480" w:lineRule="auto"/>
        <w:contextualSpacing/>
        <w:rPr>
          <w:rFonts w:eastAsia="Calibri"/>
        </w:rPr>
      </w:pPr>
      <w:r w:rsidRPr="00F259BB">
        <w:rPr>
          <w:rFonts w:eastAsia="Calibri"/>
        </w:rPr>
        <w:tab/>
      </w:r>
    </w:p>
    <w:p w:rsidR="00757A10" w:rsidRPr="00F259BB" w:rsidRDefault="00757A10" w:rsidP="00757A10">
      <w:pPr>
        <w:spacing w:line="480" w:lineRule="auto"/>
        <w:ind w:firstLine="720"/>
        <w:contextualSpacing/>
        <w:rPr>
          <w:rFonts w:eastAsia="Calibri"/>
        </w:rPr>
      </w:pPr>
    </w:p>
    <w:p w:rsidR="00757A10" w:rsidRPr="00F259BB" w:rsidRDefault="00757A10" w:rsidP="00757A10">
      <w:pPr>
        <w:contextualSpacing/>
      </w:pPr>
    </w:p>
    <w:p w:rsidR="00757A10" w:rsidRPr="005B1095" w:rsidRDefault="00757A10" w:rsidP="00757A10">
      <w:pPr>
        <w:spacing w:line="480" w:lineRule="auto"/>
        <w:rPr>
          <w:rFonts w:eastAsia="Calibri" w:cs="Times New Roman"/>
        </w:rPr>
      </w:pPr>
    </w:p>
    <w:p w:rsidR="00C01143" w:rsidRPr="005B1095" w:rsidRDefault="00C01143" w:rsidP="00C01143">
      <w:pPr>
        <w:rPr>
          <w:rFonts w:cs="Times New Roman"/>
        </w:rPr>
      </w:pPr>
    </w:p>
    <w:p w:rsidR="00133F8A" w:rsidRPr="005B1095" w:rsidRDefault="00133F8A">
      <w:pPr>
        <w:rPr>
          <w:rFonts w:cs="Times New Roman"/>
        </w:rPr>
      </w:pPr>
    </w:p>
    <w:sectPr w:rsidR="00133F8A" w:rsidRPr="005B1095" w:rsidSect="00F92819">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2D4" w:rsidRDefault="009662D4" w:rsidP="0049551F">
      <w:r>
        <w:separator/>
      </w:r>
    </w:p>
  </w:endnote>
  <w:endnote w:type="continuationSeparator" w:id="0">
    <w:p w:rsidR="009662D4" w:rsidRDefault="009662D4" w:rsidP="0049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yriadPro-Regular">
    <w:altName w:val="Cambria"/>
    <w:panose1 w:val="020B0604020202020204"/>
    <w:charset w:val="00"/>
    <w:family w:val="roman"/>
    <w:notTrueType/>
    <w:pitch w:val="default"/>
  </w:font>
  <w:font w:name="Times New Roman (Body CS)">
    <w:altName w:val="Times New Roman"/>
    <w:panose1 w:val="02020603050405020304"/>
    <w:charset w:val="00"/>
    <w:family w:val="roman"/>
    <w:pitch w:val="default"/>
  </w:font>
  <w:font w:name="Times">
    <w:panose1 w:val="02000500000000000000"/>
    <w:charset w:val="00"/>
    <w:family w:val="auto"/>
    <w:pitch w:val="variable"/>
    <w:sig w:usb0="E00002FF" w:usb1="5000205A" w:usb2="00000000" w:usb3="00000000" w:csb0="0000019F" w:csb1="00000000"/>
  </w:font>
  <w:font w:name="Open San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962036"/>
      <w:docPartObj>
        <w:docPartGallery w:val="Page Numbers (Bottom of Page)"/>
        <w:docPartUnique/>
      </w:docPartObj>
    </w:sdtPr>
    <w:sdtEndPr>
      <w:rPr>
        <w:noProof/>
      </w:rPr>
    </w:sdtEndPr>
    <w:sdtContent>
      <w:p w:rsidR="007A1944" w:rsidRDefault="007A19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1944" w:rsidRDefault="007A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2D4" w:rsidRDefault="009662D4" w:rsidP="0049551F">
      <w:r>
        <w:separator/>
      </w:r>
    </w:p>
  </w:footnote>
  <w:footnote w:type="continuationSeparator" w:id="0">
    <w:p w:rsidR="009662D4" w:rsidRDefault="009662D4" w:rsidP="0049551F">
      <w:r>
        <w:continuationSeparator/>
      </w:r>
    </w:p>
  </w:footnote>
  <w:footnote w:id="1">
    <w:p w:rsidR="007A1944" w:rsidRDefault="007A1944" w:rsidP="00947288">
      <w:pPr>
        <w:pStyle w:val="FootnoteText"/>
      </w:pPr>
      <w:r>
        <w:rPr>
          <w:rStyle w:val="FootnoteReference"/>
        </w:rPr>
        <w:footnoteRef/>
      </w:r>
      <w:r>
        <w:t xml:space="preserve"> </w:t>
      </w:r>
      <w:r>
        <w:rPr>
          <w:i/>
          <w:iCs/>
        </w:rPr>
        <w:t xml:space="preserve">See </w:t>
      </w:r>
      <w:r>
        <w:t xml:space="preserve">Steven Heyman, </w:t>
      </w:r>
      <w:r>
        <w:rPr>
          <w:i/>
          <w:iCs/>
        </w:rPr>
        <w:t xml:space="preserve">The First Duty of Government: Protection, Liberty, and the Fourteenth </w:t>
      </w:r>
      <w:r w:rsidRPr="00854FEC">
        <w:rPr>
          <w:i/>
          <w:iCs/>
        </w:rPr>
        <w:t>Amendment</w:t>
      </w:r>
      <w:r>
        <w:t xml:space="preserve">, 41 </w:t>
      </w:r>
      <w:r>
        <w:rPr>
          <w:smallCaps/>
        </w:rPr>
        <w:t xml:space="preserve">Duke L.J. 507, </w:t>
      </w:r>
      <w:r>
        <w:t xml:space="preserve">512-20 (1991) (outlining the history of government’s obligation to provide safety and security.). </w:t>
      </w:r>
    </w:p>
  </w:footnote>
  <w:footnote w:id="2">
    <w:p w:rsidR="007A1944" w:rsidRPr="00166271" w:rsidRDefault="007A1944" w:rsidP="00947288">
      <w:pPr>
        <w:pStyle w:val="FootnoteText"/>
      </w:pPr>
      <w:r>
        <w:rPr>
          <w:rStyle w:val="FootnoteReference"/>
        </w:rPr>
        <w:footnoteRef/>
      </w:r>
      <w:r>
        <w:t xml:space="preserve"> </w:t>
      </w:r>
      <w:r>
        <w:rPr>
          <w:i/>
          <w:iCs/>
        </w:rPr>
        <w:t>See, e.g.</w:t>
      </w:r>
      <w:r>
        <w:t xml:space="preserve">, </w:t>
      </w:r>
      <w:r w:rsidRPr="00B47CA3">
        <w:rPr>
          <w:smallCaps/>
        </w:rPr>
        <w:t>The Federalist No.</w:t>
      </w:r>
      <w:r>
        <w:t xml:space="preserve"> 3, 42 (John Jay) (Clinton Rossiter ed., 1961) (“Among </w:t>
      </w:r>
      <w:r>
        <w:rPr>
          <w:rFonts w:cs="Times New Roman (Body CS)"/>
        </w:rPr>
        <w:t xml:space="preserve">the many objects to which a wise and free people find it necessary to direct their attention, that of providing for their safety seems to be the first.”); </w:t>
      </w:r>
      <w:r>
        <w:t xml:space="preserve">Hobbes, </w:t>
      </w:r>
      <w:r w:rsidRPr="00CC153A">
        <w:rPr>
          <w:smallCaps/>
        </w:rPr>
        <w:t>Elements of Law</w:t>
      </w:r>
      <w:r>
        <w:rPr>
          <w:smallCaps/>
        </w:rPr>
        <w:t>, Natural and Politic</w:t>
      </w:r>
      <w:r>
        <w:t xml:space="preserve"> </w:t>
      </w:r>
      <w:r>
        <w:rPr>
          <w:smallCaps/>
        </w:rPr>
        <w:t>110</w:t>
      </w:r>
      <w:r>
        <w:t xml:space="preserve"> (</w:t>
      </w:r>
      <w:r w:rsidRPr="00B47CA3">
        <w:t xml:space="preserve">Ferdinand </w:t>
      </w:r>
      <w:proofErr w:type="spellStart"/>
      <w:r w:rsidRPr="00B47CA3">
        <w:t>Tönnies</w:t>
      </w:r>
      <w:proofErr w:type="spellEnd"/>
      <w:r w:rsidRPr="00B47CA3">
        <w:t xml:space="preserve"> ed., Frank Cass &amp; Co. 1969) (1640) </w:t>
      </w:r>
      <w:r>
        <w:t xml:space="preserve">(“The end for which one man giveth up . . . the right of protecting and defending himself by his own power . . . is the security which he </w:t>
      </w:r>
      <w:proofErr w:type="spellStart"/>
      <w:r>
        <w:t>expecteth</w:t>
      </w:r>
      <w:proofErr w:type="spellEnd"/>
      <w:r>
        <w:t xml:space="preserve"> thereby, of protection and defense from those to whom he doth so relinquish it.”); John Locke, </w:t>
      </w:r>
      <w:r w:rsidRPr="00372E0D">
        <w:rPr>
          <w:smallCaps/>
        </w:rPr>
        <w:t>Second Treatise on Government</w:t>
      </w:r>
      <w:r>
        <w:rPr>
          <w:smallCaps/>
        </w:rPr>
        <w:t xml:space="preserve"> § 134 (1690) (“T</w:t>
      </w:r>
      <w:r>
        <w:t xml:space="preserve">[he] great end of men’s entering into society, being the enjoyment of their properties in peace and security, and the great instrument and means of that being the laws established in that society . . . .”).  </w:t>
      </w:r>
    </w:p>
  </w:footnote>
  <w:footnote w:id="3">
    <w:p w:rsidR="007A1944" w:rsidRDefault="007A1944" w:rsidP="00947288">
      <w:pPr>
        <w:pStyle w:val="FootnoteText"/>
      </w:pPr>
      <w:r>
        <w:rPr>
          <w:rStyle w:val="FootnoteReference"/>
        </w:rPr>
        <w:footnoteRef/>
      </w:r>
      <w:r>
        <w:t xml:space="preserve"> </w:t>
      </w:r>
      <w:r w:rsidRPr="009B23E8">
        <w:rPr>
          <w:i/>
        </w:rPr>
        <w:t>See infra</w:t>
      </w:r>
      <w:r>
        <w:t xml:space="preserve"> Part I,A</w:t>
      </w:r>
    </w:p>
  </w:footnote>
  <w:footnote w:id="4">
    <w:p w:rsidR="007A1944" w:rsidRDefault="007A1944" w:rsidP="00947288">
      <w:pPr>
        <w:pStyle w:val="FootnoteText"/>
      </w:pPr>
      <w:r>
        <w:rPr>
          <w:rStyle w:val="FootnoteReference"/>
        </w:rPr>
        <w:footnoteRef/>
      </w:r>
      <w:r>
        <w:t xml:space="preserve"> </w:t>
      </w:r>
      <w:r w:rsidRPr="009B23E8">
        <w:rPr>
          <w:i/>
        </w:rPr>
        <w:t>See infra</w:t>
      </w:r>
      <w:r>
        <w:t xml:space="preserve"> Part I, B.</w:t>
      </w:r>
    </w:p>
  </w:footnote>
  <w:footnote w:id="5">
    <w:p w:rsidR="007A1944" w:rsidRPr="00413CEC" w:rsidRDefault="007A1944" w:rsidP="002864C9">
      <w:pPr>
        <w:pStyle w:val="FootnoteText"/>
      </w:pPr>
      <w:r>
        <w:rPr>
          <w:rStyle w:val="FootnoteReference"/>
        </w:rPr>
        <w:footnoteRef/>
      </w:r>
      <w:r>
        <w:t xml:space="preserve"> </w:t>
      </w:r>
      <w:r w:rsidRPr="009B23E8">
        <w:rPr>
          <w:i/>
        </w:rPr>
        <w:t>See, e.g.,</w:t>
      </w:r>
      <w:r>
        <w:t xml:space="preserve"> </w:t>
      </w:r>
      <w:r w:rsidRPr="00CE5380">
        <w:rPr>
          <w:i/>
          <w:iCs/>
        </w:rPr>
        <w:t>Two Views On the Future of American Policing</w:t>
      </w:r>
      <w:r>
        <w:t xml:space="preserve">, </w:t>
      </w:r>
      <w:r w:rsidRPr="00CE5380">
        <w:rPr>
          <w:rFonts w:cs="Times New Roman (Body CS)"/>
          <w:smallCaps/>
        </w:rPr>
        <w:t>PBS News Hour</w:t>
      </w:r>
      <w:r>
        <w:t xml:space="preserve"> (June 8, 2020 6:45 PM), </w:t>
      </w:r>
      <w:hyperlink r:id="rId1" w:history="1">
        <w:r w:rsidRPr="0091338F">
          <w:rPr>
            <w:rStyle w:val="Hyperlink"/>
          </w:rPr>
          <w:t>https://www.pbs.org/newshour/show/2-views-on-the-future-of-american-policing</w:t>
        </w:r>
      </w:hyperlink>
      <w:r>
        <w:t xml:space="preserve"> (interview with </w:t>
      </w:r>
      <w:r w:rsidRPr="00B33B7F">
        <w:t>Charlene Carruthers of the Movement for Black Lives</w:t>
      </w:r>
      <w:r>
        <w:t>;  “[t]</w:t>
      </w:r>
      <w:r w:rsidRPr="00B33B7F">
        <w:t>he police are not keeping us safe</w:t>
      </w:r>
      <w:r>
        <w:t xml:space="preserve">” and are instead threatening the lives of communities); Cathy Lisa Schneider, </w:t>
      </w:r>
      <w:r w:rsidRPr="009532BA">
        <w:rPr>
          <w:i/>
          <w:iCs/>
        </w:rPr>
        <w:t>Police Are Reacting to Protests Against Police Violence with More Violence</w:t>
      </w:r>
      <w:r>
        <w:t xml:space="preserve">, </w:t>
      </w:r>
      <w:r w:rsidRPr="009532BA">
        <w:rPr>
          <w:rFonts w:cs="Times New Roman (Body CS)"/>
          <w:smallCaps/>
        </w:rPr>
        <w:t>Wash. Post</w:t>
      </w:r>
      <w:r>
        <w:t xml:space="preserve"> (June 5, 2020 10:48 AM), </w:t>
      </w:r>
      <w:hyperlink r:id="rId2" w:history="1">
        <w:r w:rsidRPr="00E943B3">
          <w:rPr>
            <w:rStyle w:val="Hyperlink"/>
          </w:rPr>
          <w:t>https://www.washingtonpost.com/outlook/2020/06/05/police-violently-attack-protesters/</w:t>
        </w:r>
      </w:hyperlink>
      <w:r>
        <w:t xml:space="preserve">; </w:t>
      </w:r>
      <w:proofErr w:type="spellStart"/>
      <w:r>
        <w:t>Shaila</w:t>
      </w:r>
      <w:proofErr w:type="spellEnd"/>
      <w:r>
        <w:t xml:space="preserve"> Dewan &amp; Mike Baker, </w:t>
      </w:r>
      <w:r w:rsidRPr="009532BA">
        <w:rPr>
          <w:i/>
          <w:iCs/>
        </w:rPr>
        <w:t xml:space="preserve">Facing Protests Over Use of Force, Police Respond </w:t>
      </w:r>
      <w:r>
        <w:rPr>
          <w:i/>
          <w:iCs/>
        </w:rPr>
        <w:t>w</w:t>
      </w:r>
      <w:r w:rsidRPr="009532BA">
        <w:rPr>
          <w:i/>
          <w:iCs/>
        </w:rPr>
        <w:t>ith More Force</w:t>
      </w:r>
      <w:r>
        <w:t xml:space="preserve">, </w:t>
      </w:r>
      <w:r w:rsidRPr="009532BA">
        <w:rPr>
          <w:rFonts w:cs="Times New Roman (Body CS)"/>
          <w:smallCaps/>
        </w:rPr>
        <w:t>N.Y. Times</w:t>
      </w:r>
      <w:r>
        <w:t xml:space="preserve">, May 31, 2020, </w:t>
      </w:r>
      <w:hyperlink r:id="rId3" w:history="1">
        <w:r w:rsidRPr="00E943B3">
          <w:rPr>
            <w:rStyle w:val="Hyperlink"/>
          </w:rPr>
          <w:t>https://www.nytimes.com/2020/05/31/us/police-tactics-floyd-protests.html</w:t>
        </w:r>
      </w:hyperlink>
      <w:r>
        <w:t xml:space="preserve"> (updated June 2, 2020). </w:t>
      </w:r>
    </w:p>
  </w:footnote>
  <w:footnote w:id="6">
    <w:p w:rsidR="007A1944" w:rsidRDefault="007A1944" w:rsidP="00947288">
      <w:pPr>
        <w:pStyle w:val="FootnoteText"/>
      </w:pPr>
      <w:r>
        <w:rPr>
          <w:rStyle w:val="FootnoteReference"/>
        </w:rPr>
        <w:footnoteRef/>
      </w:r>
      <w:r>
        <w:t xml:space="preserve"> </w:t>
      </w:r>
      <w:r w:rsidRPr="009B23E8">
        <w:rPr>
          <w:i/>
        </w:rPr>
        <w:t>See infra</w:t>
      </w:r>
      <w:r>
        <w:t xml:space="preserve"> Part II.</w:t>
      </w:r>
    </w:p>
  </w:footnote>
  <w:footnote w:id="7">
    <w:p w:rsidR="007A1944" w:rsidRDefault="007A1944" w:rsidP="00947288">
      <w:pPr>
        <w:pStyle w:val="FootnoteText"/>
      </w:pPr>
      <w:r>
        <w:rPr>
          <w:rStyle w:val="FootnoteReference"/>
        </w:rPr>
        <w:footnoteRef/>
      </w:r>
      <w:r>
        <w:t xml:space="preserve"> </w:t>
      </w:r>
      <w:r w:rsidRPr="0037429D">
        <w:t>Rick Snyder, Mich</w:t>
      </w:r>
      <w:r>
        <w:t>.</w:t>
      </w:r>
      <w:r w:rsidRPr="0037429D">
        <w:t xml:space="preserve"> Governor, State of the State Address (Jan. 19, 2016)</w:t>
      </w:r>
      <w:r>
        <w:t xml:space="preserve">, </w:t>
      </w:r>
      <w:hyperlink r:id="rId4" w:history="1">
        <w:r w:rsidRPr="0037429D">
          <w:rPr>
            <w:rStyle w:val="Hyperlink"/>
            <w:sz w:val="21"/>
            <w:szCs w:val="21"/>
          </w:rPr>
          <w:t>https://www.michigan.gov/documents/snyder/Prepared+remarks_511427_7.pdf?20160120074639</w:t>
        </w:r>
      </w:hyperlink>
      <w:r>
        <w:t xml:space="preserve"> (last visited Aug. 16, 2019) </w:t>
      </w:r>
      <w:r w:rsidRPr="00B33B7F">
        <w:t>(</w:t>
      </w:r>
      <w:r>
        <w:t>stating that Michigan residents “expect” and “deserve clean, safe water” and that “[g]</w:t>
      </w:r>
      <w:proofErr w:type="spellStart"/>
      <w:r w:rsidRPr="00B33B7F">
        <w:t>overnment</w:t>
      </w:r>
      <w:proofErr w:type="spellEnd"/>
      <w:r w:rsidRPr="00B33B7F">
        <w:t xml:space="preserve"> faile</w:t>
      </w:r>
      <w:r>
        <w:t xml:space="preserve">d” its citizens by failing to provide it). </w:t>
      </w:r>
    </w:p>
  </w:footnote>
  <w:footnote w:id="8">
    <w:p w:rsidR="007A1944" w:rsidRPr="002A1D56" w:rsidRDefault="007A1944" w:rsidP="00947288">
      <w:pPr>
        <w:pStyle w:val="FootnoteText"/>
      </w:pPr>
      <w:r>
        <w:rPr>
          <w:rStyle w:val="FootnoteReference"/>
        </w:rPr>
        <w:footnoteRef/>
      </w:r>
      <w:r>
        <w:t xml:space="preserve"> </w:t>
      </w:r>
      <w:r>
        <w:rPr>
          <w:i/>
        </w:rPr>
        <w:t xml:space="preserve">See, e.g., </w:t>
      </w:r>
      <w:r>
        <w:t xml:space="preserve">Scott Clement et al, </w:t>
      </w:r>
      <w:r w:rsidRPr="002A1D56">
        <w:rPr>
          <w:i/>
          <w:iCs/>
        </w:rPr>
        <w:t>Puerto Rico After Maria: Residents See a Failure at All Levels of Government</w:t>
      </w:r>
      <w:r>
        <w:t xml:space="preserve">, </w:t>
      </w:r>
      <w:r w:rsidRPr="002A1D56">
        <w:rPr>
          <w:rFonts w:cs="Times New Roman (Body CS)"/>
          <w:smallCaps/>
        </w:rPr>
        <w:t>Wash. Post</w:t>
      </w:r>
      <w:r>
        <w:t xml:space="preserve">, Sept. 12, 2018, </w:t>
      </w:r>
      <w:hyperlink r:id="rId5" w:history="1">
        <w:r w:rsidRPr="002A1D56">
          <w:rPr>
            <w:rStyle w:val="Hyperlink"/>
          </w:rPr>
          <w:t>https://www.washingtonpost.com/news/national/wp/2018/09/12/feature/residents-see-a-failure-at-all-levels-of-government/</w:t>
        </w:r>
      </w:hyperlink>
      <w:r>
        <w:t>.</w:t>
      </w:r>
    </w:p>
  </w:footnote>
  <w:footnote w:id="9">
    <w:p w:rsidR="007A1944" w:rsidRPr="00B52AED" w:rsidRDefault="007A1944" w:rsidP="00947288">
      <w:pPr>
        <w:pStyle w:val="FootnoteText"/>
      </w:pPr>
      <w:r>
        <w:rPr>
          <w:rStyle w:val="FootnoteReference"/>
        </w:rPr>
        <w:footnoteRef/>
      </w:r>
      <w:r>
        <w:t xml:space="preserve"> </w:t>
      </w:r>
      <w:r>
        <w:rPr>
          <w:i/>
          <w:iCs/>
        </w:rPr>
        <w:t>See, e.g.</w:t>
      </w:r>
      <w:r>
        <w:t xml:space="preserve">, Christopher Weaver et al, </w:t>
      </w:r>
      <w:r w:rsidRPr="00C3502A">
        <w:rPr>
          <w:i/>
          <w:iCs/>
        </w:rPr>
        <w:t>America Needed Coronavirus Tests. The Government Failed.</w:t>
      </w:r>
      <w:r>
        <w:t xml:space="preserve">, </w:t>
      </w:r>
      <w:r w:rsidRPr="00C3502A">
        <w:rPr>
          <w:rFonts w:cs="Times New Roman (Body CS)"/>
          <w:smallCaps/>
        </w:rPr>
        <w:t>Wall St. J.</w:t>
      </w:r>
      <w:r>
        <w:t xml:space="preserve"> (Mar. 19, 2020 7:05 AM), </w:t>
      </w:r>
      <w:hyperlink r:id="rId6" w:history="1">
        <w:r w:rsidRPr="00E675C1">
          <w:rPr>
            <w:rStyle w:val="Hyperlink"/>
          </w:rPr>
          <w:t>https://www.wsj.com/articles/how-washington-failed-to-build-a-robust-coronavirus-testing-system-11584552147</w:t>
        </w:r>
      </w:hyperlink>
      <w:r>
        <w:t xml:space="preserve"> (holding the federal government responsible for lack of Covid-19 testing); Jonathan Turley, </w:t>
      </w:r>
      <w:r w:rsidRPr="00C3502A">
        <w:rPr>
          <w:i/>
          <w:iCs/>
        </w:rPr>
        <w:t xml:space="preserve">Governors </w:t>
      </w:r>
      <w:r>
        <w:rPr>
          <w:i/>
          <w:iCs/>
        </w:rPr>
        <w:t>S</w:t>
      </w:r>
      <w:r w:rsidRPr="00C3502A">
        <w:rPr>
          <w:i/>
          <w:iCs/>
        </w:rPr>
        <w:t xml:space="preserve">hould </w:t>
      </w:r>
      <w:r>
        <w:rPr>
          <w:i/>
          <w:iCs/>
        </w:rPr>
        <w:t>F</w:t>
      </w:r>
      <w:r w:rsidRPr="00C3502A">
        <w:rPr>
          <w:i/>
          <w:iCs/>
        </w:rPr>
        <w:t xml:space="preserve">ocus on </w:t>
      </w:r>
      <w:r>
        <w:rPr>
          <w:i/>
          <w:iCs/>
        </w:rPr>
        <w:t>T</w:t>
      </w:r>
      <w:r w:rsidRPr="00C3502A">
        <w:rPr>
          <w:i/>
          <w:iCs/>
        </w:rPr>
        <w:t xml:space="preserve">ackling </w:t>
      </w:r>
      <w:r>
        <w:rPr>
          <w:i/>
          <w:iCs/>
        </w:rPr>
        <w:t>C</w:t>
      </w:r>
      <w:r w:rsidRPr="00C3502A">
        <w:rPr>
          <w:i/>
          <w:iCs/>
        </w:rPr>
        <w:t xml:space="preserve">oronavirus </w:t>
      </w:r>
      <w:r>
        <w:rPr>
          <w:i/>
          <w:iCs/>
        </w:rPr>
        <w:t>R</w:t>
      </w:r>
      <w:r w:rsidRPr="00C3502A">
        <w:rPr>
          <w:i/>
          <w:iCs/>
        </w:rPr>
        <w:t xml:space="preserve">ather </w:t>
      </w:r>
      <w:r>
        <w:rPr>
          <w:i/>
          <w:iCs/>
        </w:rPr>
        <w:t>T</w:t>
      </w:r>
      <w:r w:rsidRPr="00C3502A">
        <w:rPr>
          <w:i/>
          <w:iCs/>
        </w:rPr>
        <w:t xml:space="preserve">han </w:t>
      </w:r>
      <w:r>
        <w:rPr>
          <w:i/>
          <w:iCs/>
        </w:rPr>
        <w:t>S</w:t>
      </w:r>
      <w:r w:rsidRPr="00C3502A">
        <w:rPr>
          <w:i/>
          <w:iCs/>
        </w:rPr>
        <w:t xml:space="preserve">hift </w:t>
      </w:r>
      <w:r>
        <w:rPr>
          <w:i/>
          <w:iCs/>
        </w:rPr>
        <w:t>B</w:t>
      </w:r>
      <w:r w:rsidRPr="00C3502A">
        <w:rPr>
          <w:i/>
          <w:iCs/>
        </w:rPr>
        <w:t>lame</w:t>
      </w:r>
      <w:r>
        <w:t xml:space="preserve">, </w:t>
      </w:r>
      <w:r w:rsidRPr="00C3502A">
        <w:rPr>
          <w:rFonts w:cs="Times New Roman (Body CS)"/>
          <w:smallCaps/>
        </w:rPr>
        <w:t>The Hill</w:t>
      </w:r>
      <w:r>
        <w:t xml:space="preserve"> (Mar. 28, 2020,10:00 AM),  </w:t>
      </w:r>
      <w:hyperlink r:id="rId7" w:history="1">
        <w:r w:rsidRPr="00C3502A">
          <w:rPr>
            <w:rStyle w:val="Hyperlink"/>
          </w:rPr>
          <w:t>https://thehill.com/opinion/white-house/489968-governors-should-focus-on-tackling-coronavirus-rather-than-shift-blame</w:t>
        </w:r>
      </w:hyperlink>
      <w:r>
        <w:t xml:space="preserve"> (arguing that governors have the “responsibility” to handle and “prepare for public health emergencies”).. </w:t>
      </w:r>
    </w:p>
  </w:footnote>
  <w:footnote w:id="10">
    <w:p w:rsidR="007A1944" w:rsidRDefault="007A1944">
      <w:pPr>
        <w:pStyle w:val="FootnoteText"/>
      </w:pPr>
      <w:r>
        <w:rPr>
          <w:rStyle w:val="FootnoteReference"/>
        </w:rPr>
        <w:footnoteRef/>
      </w:r>
      <w:r>
        <w:t xml:space="preserve"> </w:t>
      </w:r>
      <w:r w:rsidRPr="00193954">
        <w:rPr>
          <w:i/>
        </w:rPr>
        <w:t>See infra</w:t>
      </w:r>
      <w:r>
        <w:t xml:space="preserve"> Part III.</w:t>
      </w:r>
    </w:p>
  </w:footnote>
  <w:footnote w:id="11">
    <w:p w:rsidR="007A1944" w:rsidRDefault="007A1944" w:rsidP="00947288">
      <w:pPr>
        <w:pStyle w:val="FootnoteText"/>
      </w:pPr>
      <w:r>
        <w:rPr>
          <w:rStyle w:val="FootnoteReference"/>
        </w:rPr>
        <w:footnoteRef/>
      </w:r>
      <w:r>
        <w:t xml:space="preserve"> </w:t>
      </w:r>
      <w:r w:rsidRPr="00193954">
        <w:rPr>
          <w:i/>
        </w:rPr>
        <w:t>See infra</w:t>
      </w:r>
      <w:r>
        <w:t xml:space="preserve"> Part I.</w:t>
      </w:r>
    </w:p>
  </w:footnote>
  <w:footnote w:id="12">
    <w:p w:rsidR="007A1944" w:rsidRDefault="007A1944" w:rsidP="00947288">
      <w:pPr>
        <w:pStyle w:val="FootnoteText"/>
      </w:pPr>
      <w:r>
        <w:rPr>
          <w:rStyle w:val="FootnoteReference"/>
        </w:rPr>
        <w:footnoteRef/>
      </w:r>
      <w:r>
        <w:t xml:space="preserve"> </w:t>
      </w:r>
      <w:r w:rsidRPr="00193954">
        <w:rPr>
          <w:i/>
        </w:rPr>
        <w:t>See infra</w:t>
      </w:r>
      <w:r>
        <w:t xml:space="preserve"> Part III.</w:t>
      </w:r>
    </w:p>
  </w:footnote>
  <w:footnote w:id="13">
    <w:p w:rsidR="007A1944" w:rsidRPr="00193954" w:rsidRDefault="007A1944">
      <w:pPr>
        <w:pStyle w:val="FootnoteText"/>
      </w:pPr>
      <w:r>
        <w:rPr>
          <w:rStyle w:val="FootnoteReference"/>
        </w:rPr>
        <w:footnoteRef/>
      </w:r>
      <w:r>
        <w:t xml:space="preserve"> </w:t>
      </w:r>
      <w:r>
        <w:rPr>
          <w:i/>
        </w:rPr>
        <w:t xml:space="preserve">See infra </w:t>
      </w:r>
      <w:r>
        <w:t>Part III.</w:t>
      </w:r>
    </w:p>
  </w:footnote>
  <w:footnote w:id="14">
    <w:p w:rsidR="007A1944" w:rsidRPr="00CE5380" w:rsidRDefault="007A1944" w:rsidP="00193954">
      <w:pPr>
        <w:rPr>
          <w:rFonts w:eastAsia="Times New Roman" w:cs="Times New Roman"/>
        </w:rPr>
      </w:pPr>
      <w:r>
        <w:rPr>
          <w:rStyle w:val="FootnoteReference"/>
        </w:rPr>
        <w:footnoteRef/>
      </w:r>
      <w:r>
        <w:t xml:space="preserve"> </w:t>
      </w:r>
      <w:r w:rsidRPr="00205581">
        <w:rPr>
          <w:rFonts w:eastAsia="Times New Roman" w:cs="Times New Roman"/>
          <w:i/>
          <w:iCs/>
          <w:color w:val="000000"/>
          <w:sz w:val="20"/>
          <w:szCs w:val="20"/>
        </w:rPr>
        <w:t>See, e.g.</w:t>
      </w:r>
      <w:r w:rsidRPr="00205581">
        <w:rPr>
          <w:rFonts w:eastAsia="Times New Roman" w:cs="Times New Roman"/>
          <w:color w:val="000000"/>
          <w:sz w:val="20"/>
          <w:szCs w:val="20"/>
        </w:rPr>
        <w:t>, Heidi R. Gilchrist, </w:t>
      </w:r>
      <w:r w:rsidRPr="00205581">
        <w:rPr>
          <w:rFonts w:eastAsia="Times New Roman" w:cs="Times New Roman"/>
          <w:i/>
          <w:iCs/>
          <w:color w:val="000000"/>
          <w:sz w:val="20"/>
          <w:szCs w:val="20"/>
        </w:rPr>
        <w:t>Higher Education as a Human Right</w:t>
      </w:r>
      <w:r w:rsidRPr="00205581">
        <w:rPr>
          <w:rFonts w:eastAsia="Times New Roman" w:cs="Times New Roman"/>
          <w:color w:val="000000"/>
          <w:sz w:val="20"/>
          <w:szCs w:val="20"/>
        </w:rPr>
        <w:t>, 17 Wash. U. Global Stud. L. Rev. 645, 648-68 (2018) (</w:t>
      </w:r>
      <w:r>
        <w:rPr>
          <w:rFonts w:eastAsia="Times New Roman" w:cs="Times New Roman"/>
          <w:color w:val="000000"/>
          <w:sz w:val="20"/>
          <w:szCs w:val="20"/>
        </w:rPr>
        <w:t>contending</w:t>
      </w:r>
      <w:r w:rsidRPr="00205581">
        <w:rPr>
          <w:rFonts w:eastAsia="Times New Roman" w:cs="Times New Roman"/>
          <w:color w:val="000000"/>
          <w:sz w:val="20"/>
          <w:szCs w:val="20"/>
        </w:rPr>
        <w:t xml:space="preserve"> that higher education is a human right and that the federal government should take steps to make it more accessible to all); Mariah McGill &amp; Gillian </w:t>
      </w:r>
      <w:proofErr w:type="spellStart"/>
      <w:r w:rsidRPr="00205581">
        <w:rPr>
          <w:rFonts w:eastAsia="Times New Roman" w:cs="Times New Roman"/>
          <w:color w:val="000000"/>
          <w:sz w:val="20"/>
          <w:szCs w:val="20"/>
        </w:rPr>
        <w:t>MacNaughton</w:t>
      </w:r>
      <w:proofErr w:type="spellEnd"/>
      <w:r w:rsidRPr="00205581">
        <w:rPr>
          <w:rFonts w:eastAsia="Times New Roman" w:cs="Times New Roman"/>
          <w:color w:val="000000"/>
          <w:sz w:val="20"/>
          <w:szCs w:val="20"/>
        </w:rPr>
        <w:t>, </w:t>
      </w:r>
      <w:r w:rsidRPr="00205581">
        <w:rPr>
          <w:rFonts w:eastAsia="Times New Roman" w:cs="Times New Roman"/>
          <w:i/>
          <w:iCs/>
          <w:color w:val="000000"/>
          <w:sz w:val="20"/>
          <w:szCs w:val="20"/>
        </w:rPr>
        <w:t>The Struggle to Achieve the Human Right to Health Care in the United States</w:t>
      </w:r>
      <w:r w:rsidRPr="00205581">
        <w:rPr>
          <w:rFonts w:eastAsia="Times New Roman" w:cs="Times New Roman"/>
          <w:color w:val="000000"/>
          <w:sz w:val="20"/>
          <w:szCs w:val="20"/>
        </w:rPr>
        <w:t xml:space="preserve">, 25 S. Cal. </w:t>
      </w:r>
      <w:proofErr w:type="spellStart"/>
      <w:r w:rsidRPr="00205581">
        <w:rPr>
          <w:rFonts w:eastAsia="Times New Roman" w:cs="Times New Roman"/>
          <w:color w:val="000000"/>
          <w:sz w:val="20"/>
          <w:szCs w:val="20"/>
        </w:rPr>
        <w:t>Interdisc</w:t>
      </w:r>
      <w:proofErr w:type="spellEnd"/>
      <w:r w:rsidRPr="00205581">
        <w:rPr>
          <w:rFonts w:eastAsia="Times New Roman" w:cs="Times New Roman"/>
          <w:color w:val="000000"/>
          <w:sz w:val="20"/>
          <w:szCs w:val="20"/>
        </w:rPr>
        <w:t>. L. J. 625, 683 (2016) (concluding that despite the passage of the Affordable Care Act, the United States still needs a “truly universal health care system”); Nicole D. Porter, </w:t>
      </w:r>
      <w:r w:rsidRPr="00205581">
        <w:rPr>
          <w:rFonts w:eastAsia="Times New Roman" w:cs="Times New Roman"/>
          <w:i/>
          <w:iCs/>
          <w:color w:val="000000"/>
          <w:sz w:val="20"/>
          <w:szCs w:val="20"/>
        </w:rPr>
        <w:t>Expanding Public Safety in the Era of Black Lives Matter</w:t>
      </w:r>
      <w:r w:rsidRPr="00205581">
        <w:rPr>
          <w:rFonts w:eastAsia="Times New Roman" w:cs="Times New Roman"/>
          <w:color w:val="000000"/>
          <w:sz w:val="20"/>
          <w:szCs w:val="20"/>
        </w:rPr>
        <w:t>, 70 U. Miami L. Rev. 533, 540-45 (2016) (arguing that investment in early childhood education, green spaces, employment programs, and health care could decrease rates of incarceration and increase public safety).</w:t>
      </w:r>
    </w:p>
  </w:footnote>
  <w:footnote w:id="15">
    <w:p w:rsidR="007A1944" w:rsidRDefault="007A1944" w:rsidP="004C3CBC">
      <w:pPr>
        <w:pStyle w:val="FootnoteText"/>
      </w:pPr>
      <w:r>
        <w:rPr>
          <w:rStyle w:val="FootnoteReference"/>
        </w:rPr>
        <w:footnoteRef/>
      </w:r>
      <w:r>
        <w:t xml:space="preserve">  </w:t>
      </w:r>
      <w:r w:rsidRPr="00947288">
        <w:rPr>
          <w:i/>
          <w:iCs/>
        </w:rPr>
        <w:t>See, e.g.</w:t>
      </w:r>
      <w:r>
        <w:t xml:space="preserve">, </w:t>
      </w:r>
      <w:proofErr w:type="spellStart"/>
      <w:r>
        <w:t>Mariame</w:t>
      </w:r>
      <w:proofErr w:type="spellEnd"/>
      <w:r>
        <w:t xml:space="preserve"> </w:t>
      </w:r>
      <w:proofErr w:type="spellStart"/>
      <w:r>
        <w:t>Kabe</w:t>
      </w:r>
      <w:proofErr w:type="spellEnd"/>
      <w:r>
        <w:t xml:space="preserve">, Yes, We Mean Literally Abolish the Police, N.Y. Times, (June 12, 2020), </w:t>
      </w:r>
      <w:r w:rsidRPr="00537C12">
        <w:t>https://www.nytimes.com/2020/06/12/opinion/sunday/floyd-abolish-defund-police.html</w:t>
      </w:r>
      <w:r>
        <w:t xml:space="preserve"> (“We should redirect the billions that now to </w:t>
      </w:r>
      <w:proofErr w:type="spellStart"/>
      <w:r>
        <w:t>to</w:t>
      </w:r>
      <w:proofErr w:type="spellEnd"/>
      <w:r>
        <w:t xml:space="preserve"> police departments toward providing health care, housing, education, and good jobs.”); </w:t>
      </w:r>
      <w:r w:rsidRPr="002564C0">
        <w:t xml:space="preserve">Alondra Cano, </w:t>
      </w:r>
      <w:r w:rsidRPr="002564C0">
        <w:rPr>
          <w:i/>
          <w:iCs/>
        </w:rPr>
        <w:t>My Minneapolis Colleagues and I Are on Our Way to Revamping Police, Healing the Community</w:t>
      </w:r>
      <w:r w:rsidRPr="002564C0">
        <w:t xml:space="preserve">, </w:t>
      </w:r>
      <w:proofErr w:type="spellStart"/>
      <w:r w:rsidRPr="0031391C">
        <w:rPr>
          <w:rFonts w:cs="Times New Roman (Body CS)"/>
          <w:smallCaps/>
        </w:rPr>
        <w:t>Usa</w:t>
      </w:r>
      <w:proofErr w:type="spellEnd"/>
      <w:r w:rsidRPr="0031391C">
        <w:rPr>
          <w:rFonts w:cs="Times New Roman (Body CS)"/>
          <w:smallCaps/>
        </w:rPr>
        <w:t xml:space="preserve"> Today</w:t>
      </w:r>
      <w:r w:rsidRPr="002564C0">
        <w:t>, (Jun</w:t>
      </w:r>
      <w:r>
        <w:t>e</w:t>
      </w:r>
      <w:r w:rsidRPr="002564C0">
        <w:t xml:space="preserve"> 13, 2020 6:19 AM), </w:t>
      </w:r>
      <w:hyperlink r:id="rId8" w:history="1">
        <w:r w:rsidRPr="002564C0">
          <w:rPr>
            <w:rStyle w:val="Hyperlink"/>
          </w:rPr>
          <w:t>https://www.usatoday.com/story/opinion/policing/2020/06/12/after-floyd-video-changed-police-reformist-abolitionist/3177414001/</w:t>
        </w:r>
      </w:hyperlink>
      <w:r>
        <w:t xml:space="preserve"> (distinguishing between “a </w:t>
      </w:r>
      <w:r w:rsidRPr="002564C0">
        <w:t>policing system</w:t>
      </w:r>
      <w:r>
        <w:t xml:space="preserve">” </w:t>
      </w:r>
      <w:r w:rsidRPr="002564C0">
        <w:t xml:space="preserve">and </w:t>
      </w:r>
      <w:r>
        <w:t>“</w:t>
      </w:r>
      <w:r w:rsidRPr="002564C0">
        <w:t>community safety</w:t>
      </w:r>
      <w:r>
        <w:t>,” and calling for a</w:t>
      </w:r>
      <w:r w:rsidRPr="002564C0">
        <w:t xml:space="preserve"> </w:t>
      </w:r>
      <w:r>
        <w:t>“</w:t>
      </w:r>
      <w:r w:rsidRPr="002564C0">
        <w:t>new model of public safety</w:t>
      </w:r>
      <w:r>
        <w:t xml:space="preserve">” that encompasses non-protective safety functions, such as housing, schooling, employment access and healthcare). </w:t>
      </w:r>
      <w:r>
        <w:rPr>
          <w:i/>
          <w:iCs/>
        </w:rPr>
        <w:t xml:space="preserve">See generally </w:t>
      </w:r>
      <w:r>
        <w:t xml:space="preserve">Alex S. Vitale, </w:t>
      </w:r>
      <w:r w:rsidRPr="00CE5380">
        <w:rPr>
          <w:rFonts w:cs="Times New Roman (Body CS)"/>
          <w:smallCaps/>
        </w:rPr>
        <w:t>The End of Policing</w:t>
      </w:r>
      <w:r>
        <w:t xml:space="preserve"> (2017) (arguing for alternatives to policing to make society safe); J</w:t>
      </w:r>
      <w:r w:rsidRPr="0031391C">
        <w:t xml:space="preserve">ocelyn Simonson, </w:t>
      </w:r>
      <w:r w:rsidRPr="0031391C">
        <w:rPr>
          <w:i/>
          <w:iCs/>
        </w:rPr>
        <w:t>Police Reform Through a Power Lens</w:t>
      </w:r>
      <w:r w:rsidRPr="0031391C">
        <w:t xml:space="preserve">, 130 </w:t>
      </w:r>
      <w:r w:rsidRPr="0031391C">
        <w:rPr>
          <w:rFonts w:cs="Times New Roman (Body CS)"/>
          <w:smallCaps/>
        </w:rPr>
        <w:t xml:space="preserve">Yale L. J. </w:t>
      </w:r>
      <w:r w:rsidRPr="0031391C">
        <w:t>(forthcoming 2021)</w:t>
      </w:r>
      <w:r>
        <w:t xml:space="preserve"> (noting that calls for police reform reflect concerns that a focus on policing denies people their collective input into what safety should mean). </w:t>
      </w:r>
    </w:p>
  </w:footnote>
  <w:footnote w:id="16">
    <w:p w:rsidR="007A1944" w:rsidRDefault="007A1944" w:rsidP="00947288">
      <w:pPr>
        <w:pStyle w:val="FootnoteText"/>
      </w:pPr>
      <w:r>
        <w:rPr>
          <w:rStyle w:val="FootnoteReference"/>
        </w:rPr>
        <w:footnoteRef/>
      </w:r>
      <w:r>
        <w:t xml:space="preserve"> </w:t>
      </w:r>
      <w:r w:rsidRPr="00193954">
        <w:rPr>
          <w:i/>
        </w:rPr>
        <w:t>See infra</w:t>
      </w:r>
      <w:r>
        <w:t xml:space="preserve"> Part II.</w:t>
      </w:r>
    </w:p>
  </w:footnote>
  <w:footnote w:id="17">
    <w:p w:rsidR="007A1944" w:rsidRDefault="007A1944" w:rsidP="00947288">
      <w:pPr>
        <w:pStyle w:val="FootnoteText"/>
      </w:pPr>
      <w:r>
        <w:rPr>
          <w:rStyle w:val="FootnoteReference"/>
        </w:rPr>
        <w:footnoteRef/>
      </w:r>
      <w:r>
        <w:t xml:space="preserve"> Barry Friedman, Disaggregating the Policing Function, __ U. Pa. </w:t>
      </w:r>
      <w:proofErr w:type="spellStart"/>
      <w:r>
        <w:t>L.Rev</w:t>
      </w:r>
      <w:proofErr w:type="spellEnd"/>
      <w:r>
        <w:t>. ___ (2021) (forthcoming).</w:t>
      </w:r>
    </w:p>
  </w:footnote>
  <w:footnote w:id="18">
    <w:p w:rsidR="007A1944" w:rsidRDefault="007A1944" w:rsidP="00133F8A">
      <w:pPr>
        <w:pStyle w:val="FootnoteText"/>
      </w:pPr>
      <w:r>
        <w:rPr>
          <w:rStyle w:val="FootnoteReference"/>
        </w:rPr>
        <w:footnoteRef/>
      </w:r>
      <w:r>
        <w:t xml:space="preserve"> Heyman, </w:t>
      </w:r>
      <w:r>
        <w:rPr>
          <w:i/>
          <w:iCs/>
        </w:rPr>
        <w:t>supra</w:t>
      </w:r>
      <w:r>
        <w:t xml:space="preserve"> note 1. </w:t>
      </w:r>
    </w:p>
  </w:footnote>
  <w:footnote w:id="19">
    <w:p w:rsidR="007A1944" w:rsidRDefault="007A1944" w:rsidP="00133F8A">
      <w:pPr>
        <w:pStyle w:val="FootnoteText"/>
      </w:pPr>
      <w:r>
        <w:rPr>
          <w:rStyle w:val="FootnoteReference"/>
        </w:rPr>
        <w:footnoteRef/>
      </w:r>
      <w:r>
        <w:t xml:space="preserve"> 489 U.S. at 202; Heyman, </w:t>
      </w:r>
      <w:r>
        <w:rPr>
          <w:i/>
          <w:iCs/>
        </w:rPr>
        <w:t xml:space="preserve">supra </w:t>
      </w:r>
      <w:r>
        <w:t xml:space="preserve">note __, at 509. </w:t>
      </w:r>
      <w:r w:rsidRPr="00195DFB">
        <w:rPr>
          <w:i/>
        </w:rPr>
        <w:t>See infra</w:t>
      </w:r>
      <w:r>
        <w:t xml:space="preserve"> notes ___-___ and accompanying text for an extensive discussion of </w:t>
      </w:r>
      <w:proofErr w:type="spellStart"/>
      <w:r w:rsidRPr="00195DFB">
        <w:rPr>
          <w:i/>
        </w:rPr>
        <w:t>DeShaney</w:t>
      </w:r>
      <w:proofErr w:type="spellEnd"/>
      <w:r>
        <w:t>.</w:t>
      </w:r>
    </w:p>
  </w:footnote>
  <w:footnote w:id="20">
    <w:p w:rsidR="007A1944" w:rsidRPr="0068244C" w:rsidRDefault="007A1944" w:rsidP="00133F8A">
      <w:pPr>
        <w:pStyle w:val="FootnoteText"/>
      </w:pPr>
      <w:r>
        <w:rPr>
          <w:rStyle w:val="FootnoteReference"/>
        </w:rPr>
        <w:footnoteRef/>
      </w:r>
      <w:r>
        <w:t xml:space="preserve"> Heyman, </w:t>
      </w:r>
      <w:r>
        <w:rPr>
          <w:i/>
          <w:iCs/>
        </w:rPr>
        <w:t xml:space="preserve">supra </w:t>
      </w:r>
      <w:r>
        <w:t>note __, at 547 (</w:t>
      </w:r>
      <w:r>
        <w:rPr>
          <w:i/>
          <w:iCs/>
        </w:rPr>
        <w:t>quoting</w:t>
      </w:r>
      <w:r>
        <w:t xml:space="preserve"> </w:t>
      </w:r>
      <w:r w:rsidRPr="00CC153A">
        <w:rPr>
          <w:smallCaps/>
        </w:rPr>
        <w:t>Cong. Globe</w:t>
      </w:r>
      <w:r>
        <w:t xml:space="preserve">, 39th Cong., 1st Sess. 474 (1866) (statement of Sen. Trumbull)). </w:t>
      </w:r>
    </w:p>
  </w:footnote>
  <w:footnote w:id="21">
    <w:p w:rsidR="007A1944" w:rsidRPr="0068244C" w:rsidRDefault="007A1944" w:rsidP="00133F8A">
      <w:pPr>
        <w:pStyle w:val="FootnoteText"/>
      </w:pPr>
      <w:r>
        <w:rPr>
          <w:rStyle w:val="FootnoteReference"/>
        </w:rPr>
        <w:footnoteRef/>
      </w:r>
      <w:r>
        <w:t xml:space="preserve"> </w:t>
      </w:r>
      <w:r>
        <w:rPr>
          <w:i/>
          <w:iCs/>
        </w:rPr>
        <w:t xml:space="preserve">See </w:t>
      </w:r>
      <w:r>
        <w:t xml:space="preserve">Heyman, </w:t>
      </w:r>
      <w:r>
        <w:rPr>
          <w:i/>
          <w:iCs/>
        </w:rPr>
        <w:t>supra</w:t>
      </w:r>
      <w:r>
        <w:t xml:space="preserve"> note , at 512-30 (detailing the long history of government’s affirmative obligations to provide safety and security to individuals and society). </w:t>
      </w:r>
    </w:p>
  </w:footnote>
  <w:footnote w:id="22">
    <w:p w:rsidR="007A1944" w:rsidRDefault="007A1944" w:rsidP="00133F8A">
      <w:pPr>
        <w:pStyle w:val="FootnoteText"/>
      </w:pPr>
      <w:r>
        <w:rPr>
          <w:rStyle w:val="FootnoteReference"/>
        </w:rPr>
        <w:footnoteRef/>
      </w:r>
      <w:r>
        <w:t xml:space="preserve"> Heyman, </w:t>
      </w:r>
      <w:r>
        <w:rPr>
          <w:i/>
          <w:iCs/>
        </w:rPr>
        <w:t>supra note , at</w:t>
      </w:r>
      <w:r>
        <w:t xml:space="preserve"> 513 (quoting Calvin v. Smith, 77 Eng. Rep. 377, (K.B. 1608)).</w:t>
      </w:r>
    </w:p>
  </w:footnote>
  <w:footnote w:id="23">
    <w:p w:rsidR="007A1944" w:rsidRDefault="007A1944" w:rsidP="00133F8A">
      <w:pPr>
        <w:pStyle w:val="FootnoteText"/>
      </w:pPr>
      <w:r>
        <w:rPr>
          <w:rStyle w:val="FootnoteReference"/>
        </w:rPr>
        <w:footnoteRef/>
      </w:r>
      <w:r>
        <w:t xml:space="preserve"> </w:t>
      </w:r>
      <w:r>
        <w:rPr>
          <w:i/>
          <w:iCs/>
        </w:rPr>
        <w:t>See, e.g.</w:t>
      </w:r>
      <w:r>
        <w:t xml:space="preserve">, Bentham, </w:t>
      </w:r>
      <w:r w:rsidRPr="00CC153A">
        <w:rPr>
          <w:smallCaps/>
        </w:rPr>
        <w:t>Legislation</w:t>
      </w:r>
      <w:r>
        <w:t xml:space="preserve">, </w:t>
      </w:r>
      <w:r>
        <w:rPr>
          <w:i/>
          <w:iCs/>
        </w:rPr>
        <w:t>supra</w:t>
      </w:r>
      <w:r>
        <w:t xml:space="preserve"> note , at 98 (“Without government there can be neither security, family life, property, nor industry.”; Hobbes, </w:t>
      </w:r>
      <w:r w:rsidRPr="00CC153A">
        <w:rPr>
          <w:smallCaps/>
        </w:rPr>
        <w:t>Elements of Law</w:t>
      </w:r>
      <w:r>
        <w:rPr>
          <w:smallCaps/>
        </w:rPr>
        <w:t xml:space="preserve">, </w:t>
      </w:r>
      <w:r>
        <w:rPr>
          <w:i/>
          <w:iCs/>
        </w:rPr>
        <w:t xml:space="preserve">supra </w:t>
      </w:r>
      <w:r>
        <w:t xml:space="preserve">note , at </w:t>
      </w:r>
      <w:r>
        <w:rPr>
          <w:smallCaps/>
        </w:rPr>
        <w:t>110</w:t>
      </w:r>
      <w:r>
        <w:t xml:space="preserve"> (“The end for which one man giveth up, and </w:t>
      </w:r>
      <w:proofErr w:type="spellStart"/>
      <w:r>
        <w:t>relinqisheth</w:t>
      </w:r>
      <w:proofErr w:type="spellEnd"/>
      <w:r>
        <w:t xml:space="preserve"> to another, or others, the right of protecting and defending himself by his own power, is the security which he </w:t>
      </w:r>
      <w:proofErr w:type="spellStart"/>
      <w:r>
        <w:t>expecteth</w:t>
      </w:r>
      <w:proofErr w:type="spellEnd"/>
      <w:r>
        <w:t xml:space="preserve"> thereby, of protection and defense from those to whom he doth so relinquish it.”); Locke, </w:t>
      </w:r>
      <w:r w:rsidRPr="00CC153A">
        <w:rPr>
          <w:smallCaps/>
        </w:rPr>
        <w:t>on Government</w:t>
      </w:r>
      <w:r>
        <w:t xml:space="preserve">, </w:t>
      </w:r>
      <w:r>
        <w:rPr>
          <w:i/>
          <w:iCs/>
        </w:rPr>
        <w:t xml:space="preserve">supra </w:t>
      </w:r>
      <w:r w:rsidRPr="00CC153A">
        <w:t>note ,</w:t>
      </w:r>
      <w:r>
        <w:rPr>
          <w:i/>
          <w:iCs/>
        </w:rPr>
        <w:t xml:space="preserve"> </w:t>
      </w:r>
      <w:r>
        <w:t xml:space="preserve">at § 124 (“The great and chief end, therefore, of men uniting into commonwealths, and putting themselves under government, is the preservation of property. To which in the state of nature there are many things wanting.”). </w:t>
      </w:r>
    </w:p>
  </w:footnote>
  <w:footnote w:id="24">
    <w:p w:rsidR="007A1944" w:rsidRPr="00C811FF" w:rsidRDefault="007A1944" w:rsidP="00133F8A">
      <w:pPr>
        <w:pStyle w:val="FootnoteText"/>
      </w:pPr>
      <w:r>
        <w:rPr>
          <w:rStyle w:val="FootnoteReference"/>
        </w:rPr>
        <w:footnoteRef/>
      </w:r>
      <w:r>
        <w:t xml:space="preserve"> Bentham, </w:t>
      </w:r>
      <w:r w:rsidRPr="00CC153A">
        <w:rPr>
          <w:smallCaps/>
        </w:rPr>
        <w:t>Legislation</w:t>
      </w:r>
      <w:r>
        <w:rPr>
          <w:smallCaps/>
        </w:rPr>
        <w:t xml:space="preserve">, </w:t>
      </w:r>
      <w:r>
        <w:rPr>
          <w:i/>
          <w:iCs/>
        </w:rPr>
        <w:t xml:space="preserve">supra </w:t>
      </w:r>
      <w:r>
        <w:t>note , at 124, 142.</w:t>
      </w:r>
    </w:p>
  </w:footnote>
  <w:footnote w:id="25">
    <w:p w:rsidR="007A1944" w:rsidRDefault="007A1944" w:rsidP="00133F8A">
      <w:pPr>
        <w:pStyle w:val="FootnoteText"/>
      </w:pPr>
      <w:r>
        <w:rPr>
          <w:rStyle w:val="FootnoteReference"/>
        </w:rPr>
        <w:footnoteRef/>
      </w:r>
      <w:r>
        <w:t xml:space="preserve"> Blackstone,</w:t>
      </w:r>
      <w:r>
        <w:rPr>
          <w:i/>
          <w:iCs/>
        </w:rPr>
        <w:t xml:space="preserve"> supra </w:t>
      </w:r>
      <w:r w:rsidRPr="00721679">
        <w:t>note</w:t>
      </w:r>
      <w:r>
        <w:t xml:space="preserve"> __, at 52. </w:t>
      </w:r>
    </w:p>
  </w:footnote>
  <w:footnote w:id="26">
    <w:p w:rsidR="007A1944" w:rsidRDefault="007A1944" w:rsidP="00133F8A">
      <w:pPr>
        <w:pStyle w:val="FootnoteText"/>
      </w:pPr>
      <w:r>
        <w:rPr>
          <w:rStyle w:val="FootnoteReference"/>
        </w:rPr>
        <w:footnoteRef/>
      </w:r>
      <w:r>
        <w:t xml:space="preserve"> Federalist No. 10, </w:t>
      </w:r>
      <w:r>
        <w:rPr>
          <w:i/>
          <w:iCs/>
        </w:rPr>
        <w:t>supra</w:t>
      </w:r>
      <w:r>
        <w:t xml:space="preserve"> note , at 78.</w:t>
      </w:r>
    </w:p>
  </w:footnote>
  <w:footnote w:id="27">
    <w:p w:rsidR="007A1944" w:rsidRPr="00B55A20" w:rsidRDefault="007A1944" w:rsidP="00133F8A">
      <w:pPr>
        <w:pStyle w:val="FootnoteText"/>
      </w:pPr>
      <w:r>
        <w:rPr>
          <w:rStyle w:val="FootnoteReference"/>
        </w:rPr>
        <w:footnoteRef/>
      </w:r>
      <w:r>
        <w:t xml:space="preserve"> Federalist No. 3, </w:t>
      </w:r>
      <w:r>
        <w:rPr>
          <w:i/>
          <w:iCs/>
        </w:rPr>
        <w:t xml:space="preserve">supra </w:t>
      </w:r>
      <w:r>
        <w:t xml:space="preserve">note , at 42. </w:t>
      </w:r>
    </w:p>
  </w:footnote>
  <w:footnote w:id="28">
    <w:p w:rsidR="007A1944" w:rsidRPr="0080259E" w:rsidRDefault="007A1944" w:rsidP="00133F8A">
      <w:pPr>
        <w:pStyle w:val="FootnoteText"/>
      </w:pPr>
      <w:r>
        <w:rPr>
          <w:rStyle w:val="FootnoteReference"/>
        </w:rPr>
        <w:footnoteRef/>
      </w:r>
      <w:r>
        <w:t xml:space="preserve"> Brutus, Anti-Federalist No. 23, </w:t>
      </w:r>
      <w:r>
        <w:rPr>
          <w:i/>
          <w:iCs/>
        </w:rPr>
        <w:t>supra</w:t>
      </w:r>
      <w:r>
        <w:t xml:space="preserve"> note , at 532 (“The preservation of internal peace and good order, and the due administration of law and justice, ought to be the first care of every government.”).</w:t>
      </w:r>
    </w:p>
  </w:footnote>
  <w:footnote w:id="29">
    <w:p w:rsidR="007A1944" w:rsidRDefault="007A1944" w:rsidP="00133F8A">
      <w:pPr>
        <w:pStyle w:val="FootnoteText"/>
      </w:pPr>
      <w:r>
        <w:rPr>
          <w:rStyle w:val="FootnoteReference"/>
        </w:rPr>
        <w:footnoteRef/>
      </w:r>
      <w:r>
        <w:t xml:space="preserve"> </w:t>
      </w:r>
      <w:r>
        <w:rPr>
          <w:i/>
          <w:iCs/>
        </w:rPr>
        <w:t xml:space="preserve">See, e.g., </w:t>
      </w:r>
      <w:r>
        <w:t xml:space="preserve">Mass. Const. of 1780, </w:t>
      </w:r>
      <w:proofErr w:type="spellStart"/>
      <w:r>
        <w:t>pmbl</w:t>
      </w:r>
      <w:proofErr w:type="spellEnd"/>
      <w:r>
        <w:t xml:space="preserve">. (“It is the duty of the people, therefore, in framing a constitution of government, to provide . . . for an impartial interpretation and faithful execution of [laws]; that every man may, at all times, find his security in them.”); Pa. Const. of 1776, </w:t>
      </w:r>
      <w:proofErr w:type="spellStart"/>
      <w:r>
        <w:t>pmbl</w:t>
      </w:r>
      <w:proofErr w:type="spellEnd"/>
      <w:r>
        <w:t xml:space="preserve"> (“[A]</w:t>
      </w:r>
      <w:proofErr w:type="spellStart"/>
      <w:r>
        <w:t>ll</w:t>
      </w:r>
      <w:proofErr w:type="spellEnd"/>
      <w:r>
        <w:t xml:space="preserve"> government ought to be instituted and supported for the security and protection of the community as such, and to enable the individuals who compose it to enjoy their natural rights . . . .”) Va. Declaration of Rights, § 1 (“Government is, or ought to be, instituted for the common benefit, protection and security of the people.”) </w:t>
      </w:r>
    </w:p>
  </w:footnote>
  <w:footnote w:id="30">
    <w:p w:rsidR="007A1944" w:rsidRPr="00721679" w:rsidRDefault="007A1944" w:rsidP="00133F8A">
      <w:pPr>
        <w:pStyle w:val="FootnoteText"/>
      </w:pPr>
      <w:r>
        <w:rPr>
          <w:rStyle w:val="FootnoteReference"/>
        </w:rPr>
        <w:footnoteRef/>
      </w:r>
      <w:r>
        <w:t xml:space="preserve"> Clinton, Nomination Acceptance Speech, </w:t>
      </w:r>
      <w:r>
        <w:rPr>
          <w:i/>
          <w:iCs/>
        </w:rPr>
        <w:t xml:space="preserve">supra </w:t>
      </w:r>
      <w:r>
        <w:t>note .</w:t>
      </w:r>
    </w:p>
  </w:footnote>
  <w:footnote w:id="31">
    <w:p w:rsidR="007A1944" w:rsidRPr="00AB147F" w:rsidRDefault="007A1944" w:rsidP="00133F8A">
      <w:pPr>
        <w:pStyle w:val="FootnoteText"/>
      </w:pPr>
      <w:r>
        <w:rPr>
          <w:rStyle w:val="FootnoteReference"/>
        </w:rPr>
        <w:footnoteRef/>
      </w:r>
      <w:r>
        <w:t xml:space="preserve"> This quote, while often referenced and widely attributed to Schwarzenegger, may be apocryphal. </w:t>
      </w:r>
      <w:r>
        <w:rPr>
          <w:i/>
          <w:iCs/>
        </w:rPr>
        <w:t>See, e.g.</w:t>
      </w:r>
      <w:r>
        <w:t xml:space="preserve">, </w:t>
      </w:r>
      <w:r w:rsidRPr="00AB147F">
        <w:rPr>
          <w:smallCaps/>
        </w:rPr>
        <w:t>Press</w:t>
      </w:r>
      <w:r>
        <w:rPr>
          <w:smallCaps/>
        </w:rPr>
        <w:t>-</w:t>
      </w:r>
      <w:r w:rsidRPr="00AB147F">
        <w:rPr>
          <w:smallCaps/>
        </w:rPr>
        <w:t>Enterprise</w:t>
      </w:r>
      <w:r>
        <w:rPr>
          <w:smallCaps/>
        </w:rPr>
        <w:t xml:space="preserve">, </w:t>
      </w:r>
      <w:r>
        <w:rPr>
          <w:i/>
          <w:iCs/>
        </w:rPr>
        <w:t xml:space="preserve">supra </w:t>
      </w:r>
      <w:r>
        <w:t xml:space="preserve">note (noting a politician who claimed Schwarzenegger regularly said this). </w:t>
      </w:r>
    </w:p>
  </w:footnote>
  <w:footnote w:id="32">
    <w:p w:rsidR="007A1944" w:rsidRPr="00721679" w:rsidRDefault="007A1944" w:rsidP="00133F8A">
      <w:pPr>
        <w:pStyle w:val="FootnoteText"/>
      </w:pPr>
      <w:r>
        <w:rPr>
          <w:rStyle w:val="FootnoteReference"/>
        </w:rPr>
        <w:footnoteRef/>
      </w:r>
      <w:r>
        <w:t xml:space="preserve"> Curry, </w:t>
      </w:r>
      <w:r>
        <w:rPr>
          <w:i/>
          <w:iCs/>
        </w:rPr>
        <w:t xml:space="preserve">supra </w:t>
      </w:r>
      <w:r>
        <w:t>note .</w:t>
      </w:r>
    </w:p>
  </w:footnote>
  <w:footnote w:id="33">
    <w:p w:rsidR="007A1944" w:rsidRPr="00023E64" w:rsidRDefault="007A1944" w:rsidP="00133F8A">
      <w:pPr>
        <w:pStyle w:val="FootnoteText"/>
      </w:pPr>
      <w:r>
        <w:rPr>
          <w:rStyle w:val="FootnoteReference"/>
        </w:rPr>
        <w:footnoteRef/>
      </w:r>
      <w:r>
        <w:t xml:space="preserve"> “Public safety,” </w:t>
      </w:r>
      <w:r>
        <w:rPr>
          <w:i/>
          <w:iCs/>
        </w:rPr>
        <w:t>supra</w:t>
      </w:r>
      <w:r>
        <w:t xml:space="preserve"> note . </w:t>
      </w:r>
    </w:p>
  </w:footnote>
  <w:footnote w:id="34">
    <w:p w:rsidR="007A1944" w:rsidRDefault="007A1944" w:rsidP="00133F8A">
      <w:pPr>
        <w:pStyle w:val="FootnoteText"/>
      </w:pPr>
      <w:r>
        <w:rPr>
          <w:rStyle w:val="FootnoteReference"/>
        </w:rPr>
        <w:footnoteRef/>
      </w:r>
      <w:r>
        <w:t xml:space="preserve"> </w:t>
      </w:r>
      <w:r>
        <w:rPr>
          <w:i/>
          <w:iCs/>
        </w:rPr>
        <w:t xml:space="preserve">See, e.g., </w:t>
      </w:r>
      <w:r>
        <w:t xml:space="preserve">Bing, </w:t>
      </w:r>
      <w:r>
        <w:rPr>
          <w:i/>
          <w:iCs/>
        </w:rPr>
        <w:t xml:space="preserve">supra </w:t>
      </w:r>
      <w:r>
        <w:t xml:space="preserve">note (including buses with traditional aspects of the protection function); </w:t>
      </w:r>
      <w:proofErr w:type="spellStart"/>
      <w:r>
        <w:t>Cainion</w:t>
      </w:r>
      <w:proofErr w:type="spellEnd"/>
      <w:r>
        <w:t xml:space="preserve"> </w:t>
      </w:r>
      <w:r>
        <w:rPr>
          <w:i/>
          <w:iCs/>
        </w:rPr>
        <w:t xml:space="preserve">supra </w:t>
      </w:r>
      <w:r>
        <w:t>note (arguing food security and housing are part of safety)</w:t>
      </w:r>
      <w:r>
        <w:rPr>
          <w:u w:val="single"/>
        </w:rPr>
        <w:t xml:space="preserve">; </w:t>
      </w:r>
      <w:r>
        <w:rPr>
          <w:i/>
          <w:iCs/>
        </w:rPr>
        <w:t xml:space="preserve">De Blasio, supra </w:t>
      </w:r>
      <w:r>
        <w:t>note (including access to medical services in “safety”).</w:t>
      </w:r>
    </w:p>
  </w:footnote>
  <w:footnote w:id="35">
    <w:p w:rsidR="007A1944" w:rsidRDefault="007A1944" w:rsidP="00133F8A">
      <w:pPr>
        <w:pStyle w:val="FootnoteText"/>
      </w:pPr>
      <w:r>
        <w:rPr>
          <w:rStyle w:val="FootnoteReference"/>
        </w:rPr>
        <w:footnoteRef/>
      </w:r>
      <w:r>
        <w:t xml:space="preserve"> Heyman, </w:t>
      </w:r>
      <w:r>
        <w:rPr>
          <w:i/>
          <w:iCs/>
        </w:rPr>
        <w:t xml:space="preserve">supra </w:t>
      </w:r>
      <w:r>
        <w:t>note , at 509-10.</w:t>
      </w:r>
    </w:p>
  </w:footnote>
  <w:footnote w:id="36">
    <w:p w:rsidR="007A1944" w:rsidRDefault="007A1944" w:rsidP="00133F8A">
      <w:pPr>
        <w:pStyle w:val="FootnoteText"/>
      </w:pPr>
      <w:r>
        <w:rPr>
          <w:rStyle w:val="FootnoteReference"/>
        </w:rPr>
        <w:footnoteRef/>
      </w:r>
      <w:r>
        <w:t xml:space="preserve"> Heyman, </w:t>
      </w:r>
      <w:r>
        <w:rPr>
          <w:i/>
          <w:iCs/>
        </w:rPr>
        <w:t xml:space="preserve">supra </w:t>
      </w:r>
      <w:r>
        <w:t xml:space="preserve">note , at 555 (quoting 6 F. Cas. 546, 551-552 (C.C.E.D. Pa. 1825) (No. 3230)). </w:t>
      </w:r>
    </w:p>
  </w:footnote>
  <w:footnote w:id="37">
    <w:p w:rsidR="007A1944" w:rsidRDefault="007A1944" w:rsidP="00133F8A">
      <w:pPr>
        <w:pStyle w:val="FootnoteText"/>
      </w:pPr>
      <w:r>
        <w:rPr>
          <w:rStyle w:val="FootnoteReference"/>
        </w:rPr>
        <w:footnoteRef/>
      </w:r>
      <w:r>
        <w:t xml:space="preserve"> </w:t>
      </w:r>
      <w:r w:rsidRPr="000E5F13">
        <w:rPr>
          <w:smallCaps/>
        </w:rPr>
        <w:t>U.S. Const.</w:t>
      </w:r>
      <w:r>
        <w:t xml:space="preserve"> amend. XIV, § 1.  </w:t>
      </w:r>
    </w:p>
  </w:footnote>
  <w:footnote w:id="38">
    <w:p w:rsidR="007A1944" w:rsidRDefault="007A1944">
      <w:pPr>
        <w:pStyle w:val="FootnoteText"/>
      </w:pPr>
      <w:r>
        <w:rPr>
          <w:rStyle w:val="FootnoteReference"/>
        </w:rPr>
        <w:footnoteRef/>
      </w:r>
      <w:r>
        <w:t xml:space="preserve"> RA*</w:t>
      </w:r>
    </w:p>
  </w:footnote>
  <w:footnote w:id="39">
    <w:p w:rsidR="007A1944" w:rsidRPr="00E45C63" w:rsidRDefault="007A1944" w:rsidP="00133F8A">
      <w:pPr>
        <w:pStyle w:val="FootnoteText"/>
      </w:pPr>
      <w:r>
        <w:rPr>
          <w:rStyle w:val="FootnoteReference"/>
        </w:rPr>
        <w:footnoteRef/>
      </w:r>
      <w:r>
        <w:t xml:space="preserve"> </w:t>
      </w:r>
      <w:proofErr w:type="spellStart"/>
      <w:r>
        <w:t>DeShaney</w:t>
      </w:r>
      <w:proofErr w:type="spellEnd"/>
      <w:r>
        <w:t xml:space="preserve">, 489 U.S. 189. </w:t>
      </w:r>
    </w:p>
  </w:footnote>
  <w:footnote w:id="40">
    <w:p w:rsidR="007A1944" w:rsidRDefault="007A1944" w:rsidP="00133F8A">
      <w:pPr>
        <w:pStyle w:val="FootnoteText"/>
      </w:pPr>
      <w:r>
        <w:rPr>
          <w:rStyle w:val="FootnoteReference"/>
        </w:rPr>
        <w:footnoteRef/>
      </w:r>
      <w:r>
        <w:t xml:space="preserve"> Hobbes, </w:t>
      </w:r>
      <w:r w:rsidRPr="00CC153A">
        <w:rPr>
          <w:smallCaps/>
        </w:rPr>
        <w:t>Elements of Law</w:t>
      </w:r>
      <w:r>
        <w:rPr>
          <w:smallCaps/>
        </w:rPr>
        <w:t xml:space="preserve">, </w:t>
      </w:r>
      <w:r>
        <w:rPr>
          <w:i/>
          <w:iCs/>
        </w:rPr>
        <w:t xml:space="preserve">supra </w:t>
      </w:r>
      <w:r>
        <w:t xml:space="preserve">note , at </w:t>
      </w:r>
      <w:r>
        <w:rPr>
          <w:smallCaps/>
        </w:rPr>
        <w:t>110.</w:t>
      </w:r>
      <w:r>
        <w:t xml:space="preserve"> </w:t>
      </w:r>
    </w:p>
  </w:footnote>
  <w:footnote w:id="41">
    <w:p w:rsidR="007A1944" w:rsidRDefault="007A1944" w:rsidP="00133F8A">
      <w:pPr>
        <w:pStyle w:val="FootnoteText"/>
      </w:pPr>
      <w:r>
        <w:rPr>
          <w:rStyle w:val="FootnoteReference"/>
        </w:rPr>
        <w:footnoteRef/>
      </w:r>
      <w:r>
        <w:t xml:space="preserve"> Bentham, </w:t>
      </w:r>
      <w:r w:rsidRPr="00CC153A">
        <w:rPr>
          <w:smallCaps/>
        </w:rPr>
        <w:t>Legislation</w:t>
      </w:r>
      <w:r>
        <w:rPr>
          <w:smallCaps/>
        </w:rPr>
        <w:t xml:space="preserve">, </w:t>
      </w:r>
      <w:r>
        <w:rPr>
          <w:i/>
          <w:iCs/>
        </w:rPr>
        <w:t xml:space="preserve">supra </w:t>
      </w:r>
      <w:r>
        <w:t>note , at 130.</w:t>
      </w:r>
    </w:p>
  </w:footnote>
  <w:footnote w:id="42">
    <w:p w:rsidR="007A1944" w:rsidRDefault="007A1944" w:rsidP="00133F8A">
      <w:pPr>
        <w:pStyle w:val="FootnoteText"/>
      </w:pPr>
      <w:r>
        <w:rPr>
          <w:rStyle w:val="FootnoteReference"/>
        </w:rPr>
        <w:footnoteRef/>
      </w:r>
      <w:r>
        <w:t xml:space="preserve"> Smith </w:t>
      </w:r>
      <w:r>
        <w:rPr>
          <w:i/>
          <w:iCs/>
        </w:rPr>
        <w:t>supra</w:t>
      </w:r>
      <w:r>
        <w:t xml:space="preserve"> note , at 445 (“</w:t>
      </w:r>
      <w:r w:rsidRPr="00F82892">
        <w:t xml:space="preserve">Commerce and manufactures can seldom flourish long in any state </w:t>
      </w:r>
      <w:r>
        <w:t xml:space="preserve">. . . </w:t>
      </w:r>
      <w:r w:rsidRPr="00F82892">
        <w:t xml:space="preserve"> in which the people do not feel themselves secure in the possession of their property;</w:t>
      </w:r>
      <w:r>
        <w:t xml:space="preserve">). </w:t>
      </w:r>
    </w:p>
  </w:footnote>
  <w:footnote w:id="43">
    <w:p w:rsidR="007A1944" w:rsidRPr="00C95DBE" w:rsidRDefault="007A1944" w:rsidP="00133F8A">
      <w:pPr>
        <w:pStyle w:val="FootnoteText"/>
        <w:rPr>
          <w:i/>
          <w:iCs/>
        </w:rPr>
      </w:pPr>
      <w:r>
        <w:rPr>
          <w:rStyle w:val="FootnoteReference"/>
        </w:rPr>
        <w:footnoteRef/>
      </w:r>
      <w:r>
        <w:t xml:space="preserve"> Locke, </w:t>
      </w:r>
      <w:r w:rsidRPr="00CC153A">
        <w:rPr>
          <w:smallCaps/>
        </w:rPr>
        <w:t>on Government</w:t>
      </w:r>
      <w:r>
        <w:t xml:space="preserve">, </w:t>
      </w:r>
      <w:r>
        <w:rPr>
          <w:i/>
          <w:iCs/>
        </w:rPr>
        <w:t xml:space="preserve">supra </w:t>
      </w:r>
      <w:r w:rsidRPr="00CC153A">
        <w:t>note ,</w:t>
      </w:r>
      <w:r>
        <w:rPr>
          <w:i/>
          <w:iCs/>
        </w:rPr>
        <w:t xml:space="preserve"> </w:t>
      </w:r>
      <w:r>
        <w:t>at § 134.</w:t>
      </w:r>
    </w:p>
  </w:footnote>
  <w:footnote w:id="44">
    <w:p w:rsidR="007A1944" w:rsidRDefault="007A1944" w:rsidP="00133F8A">
      <w:pPr>
        <w:pStyle w:val="FootnoteText"/>
      </w:pPr>
      <w:r>
        <w:rPr>
          <w:rStyle w:val="FootnoteReference"/>
        </w:rPr>
        <w:footnoteRef/>
      </w:r>
      <w:r>
        <w:t xml:space="preserve"> </w:t>
      </w:r>
      <w:r w:rsidRPr="000E5F13">
        <w:rPr>
          <w:smallCaps/>
        </w:rPr>
        <w:t>U.S. Const.</w:t>
      </w:r>
      <w:r>
        <w:t xml:space="preserve"> </w:t>
      </w:r>
      <w:proofErr w:type="spellStart"/>
      <w:r>
        <w:t>pmbl</w:t>
      </w:r>
      <w:proofErr w:type="spellEnd"/>
      <w:r>
        <w:t xml:space="preserve">.  </w:t>
      </w:r>
    </w:p>
  </w:footnote>
  <w:footnote w:id="45">
    <w:p w:rsidR="007A1944" w:rsidRDefault="007A1944" w:rsidP="00133F8A">
      <w:pPr>
        <w:pStyle w:val="FootnoteText"/>
      </w:pPr>
      <w:r>
        <w:rPr>
          <w:rStyle w:val="FootnoteReference"/>
        </w:rPr>
        <w:footnoteRef/>
      </w:r>
      <w:r>
        <w:t xml:space="preserve"> Brutus, Anti-Federalist No. 23, </w:t>
      </w:r>
      <w:r>
        <w:rPr>
          <w:i/>
          <w:iCs/>
        </w:rPr>
        <w:t>supra</w:t>
      </w:r>
      <w:r>
        <w:t xml:space="preserve"> note , at 532. </w:t>
      </w:r>
    </w:p>
  </w:footnote>
  <w:footnote w:id="46">
    <w:p w:rsidR="007A1944" w:rsidRPr="00CE31A7" w:rsidRDefault="007A1944" w:rsidP="00133F8A">
      <w:pPr>
        <w:pStyle w:val="FootnoteText"/>
      </w:pPr>
      <w:r>
        <w:rPr>
          <w:rStyle w:val="FootnoteReference"/>
        </w:rPr>
        <w:footnoteRef/>
      </w:r>
      <w:r>
        <w:t xml:space="preserve"> Goldwater, Nomination Acceptance Speech, </w:t>
      </w:r>
      <w:r>
        <w:rPr>
          <w:i/>
          <w:iCs/>
        </w:rPr>
        <w:t xml:space="preserve">supra </w:t>
      </w:r>
      <w:r>
        <w:t xml:space="preserve">note . </w:t>
      </w:r>
    </w:p>
  </w:footnote>
  <w:footnote w:id="47">
    <w:p w:rsidR="007A1944" w:rsidRPr="000A6977" w:rsidRDefault="007A1944" w:rsidP="00133F8A">
      <w:pPr>
        <w:pStyle w:val="FootnoteText"/>
      </w:pPr>
      <w:r>
        <w:rPr>
          <w:rStyle w:val="FootnoteReference"/>
        </w:rPr>
        <w:footnoteRef/>
      </w:r>
      <w:r>
        <w:t xml:space="preserve"> Nixon, Nomination Acceptance Speech, </w:t>
      </w:r>
      <w:r>
        <w:rPr>
          <w:i/>
          <w:iCs/>
        </w:rPr>
        <w:t>supra</w:t>
      </w:r>
      <w:r>
        <w:t xml:space="preserve"> note . </w:t>
      </w:r>
    </w:p>
  </w:footnote>
  <w:footnote w:id="48">
    <w:p w:rsidR="007A1944" w:rsidRPr="00F61E26" w:rsidRDefault="007A1944" w:rsidP="00133F8A">
      <w:pPr>
        <w:pStyle w:val="FootnoteText"/>
      </w:pPr>
      <w:r>
        <w:rPr>
          <w:rStyle w:val="FootnoteReference"/>
        </w:rPr>
        <w:footnoteRef/>
      </w:r>
      <w:r>
        <w:t xml:space="preserve"> Trump, Speech at the Department of Homeland Security, </w:t>
      </w:r>
      <w:r>
        <w:rPr>
          <w:i/>
          <w:iCs/>
        </w:rPr>
        <w:t xml:space="preserve">supra </w:t>
      </w:r>
      <w:r>
        <w:t xml:space="preserve">note . </w:t>
      </w:r>
    </w:p>
  </w:footnote>
  <w:footnote w:id="49">
    <w:p w:rsidR="007A1944" w:rsidRPr="009F2B5D" w:rsidRDefault="007A1944" w:rsidP="00133F8A">
      <w:pPr>
        <w:pStyle w:val="FootnoteText"/>
      </w:pPr>
      <w:r>
        <w:rPr>
          <w:rStyle w:val="FootnoteReference"/>
        </w:rPr>
        <w:footnoteRef/>
      </w:r>
      <w:r>
        <w:t xml:space="preserve"> Clinton, Remarks upon Signing the Violent Crime Control Act, </w:t>
      </w:r>
      <w:r>
        <w:rPr>
          <w:i/>
          <w:iCs/>
        </w:rPr>
        <w:t xml:space="preserve">supra </w:t>
      </w:r>
      <w:r>
        <w:t xml:space="preserve">note . </w:t>
      </w:r>
    </w:p>
  </w:footnote>
  <w:footnote w:id="50">
    <w:p w:rsidR="007A1944" w:rsidRPr="009E2A9E" w:rsidRDefault="007A1944" w:rsidP="00133F8A">
      <w:pPr>
        <w:pStyle w:val="FootnoteText"/>
      </w:pPr>
      <w:r>
        <w:rPr>
          <w:rStyle w:val="FootnoteReference"/>
        </w:rPr>
        <w:footnoteRef/>
      </w:r>
      <w:r>
        <w:t xml:space="preserve"> </w:t>
      </w:r>
      <w:r>
        <w:rPr>
          <w:i/>
          <w:iCs/>
        </w:rPr>
        <w:t>Public Safety</w:t>
      </w:r>
      <w:r>
        <w:t xml:space="preserve">, </w:t>
      </w:r>
      <w:r>
        <w:rPr>
          <w:smallCaps/>
        </w:rPr>
        <w:t xml:space="preserve">City of Sacramento, </w:t>
      </w:r>
      <w:r w:rsidRPr="00402CA9">
        <w:t>https://www.cityofsacramento.org/Living-Here/PublicSafety</w:t>
      </w:r>
      <w:r>
        <w:t xml:space="preserve"> (last accessed July 26, 2020); </w:t>
      </w:r>
      <w:r>
        <w:rPr>
          <w:i/>
          <w:iCs/>
        </w:rPr>
        <w:t>see also</w:t>
      </w:r>
      <w:r>
        <w:t xml:space="preserve"> </w:t>
      </w:r>
      <w:r>
        <w:rPr>
          <w:i/>
          <w:iCs/>
        </w:rPr>
        <w:t>Public Safety</w:t>
      </w:r>
      <w:r>
        <w:t xml:space="preserve">, </w:t>
      </w:r>
      <w:r w:rsidRPr="00D80862">
        <w:rPr>
          <w:smallCaps/>
        </w:rPr>
        <w:t>City of Phoenix</w:t>
      </w:r>
      <w:r>
        <w:rPr>
          <w:smallCaps/>
        </w:rPr>
        <w:t xml:space="preserve">, </w:t>
      </w:r>
      <w:r w:rsidRPr="00402CA9">
        <w:t>https://www.phoenix.gov/publicsafety</w:t>
      </w:r>
      <w:r>
        <w:t xml:space="preserve"> (last accessed July 26, 2020) (listing online crime reporting and other policing based information, along with fire safety and water safety materials as “public safety” resources);  </w:t>
      </w:r>
      <w:r>
        <w:rPr>
          <w:i/>
          <w:iCs/>
        </w:rPr>
        <w:t>Public Safety Department</w:t>
      </w:r>
      <w:r>
        <w:t xml:space="preserve">, </w:t>
      </w:r>
      <w:r w:rsidRPr="00D80862">
        <w:rPr>
          <w:smallCaps/>
        </w:rPr>
        <w:t>Saint Loui</w:t>
      </w:r>
      <w:r>
        <w:rPr>
          <w:smallCaps/>
        </w:rPr>
        <w:t xml:space="preserve">s, </w:t>
      </w:r>
      <w:r w:rsidRPr="00402CA9">
        <w:t>https://www.stlouis-mo.gov/government/departments/public-safety/</w:t>
      </w:r>
      <w:r>
        <w:t xml:space="preserve"> (last accessed July 26, 2020) (“The Department of Public Safety is the largest municipal government department in the City of St. Louis overseeing the Fire Department, the Metropolitan Police Department . . . .). </w:t>
      </w:r>
    </w:p>
  </w:footnote>
  <w:footnote w:id="51">
    <w:p w:rsidR="007A1944" w:rsidRPr="00C36F1B" w:rsidRDefault="007A1944" w:rsidP="00133F8A">
      <w:pPr>
        <w:pStyle w:val="FootnoteText"/>
      </w:pPr>
      <w:r>
        <w:rPr>
          <w:rStyle w:val="FootnoteReference"/>
        </w:rPr>
        <w:footnoteRef/>
      </w:r>
      <w:r>
        <w:t xml:space="preserve"> According to the FBI, economic loss from cybercrime in 2018 alone was 2.7 billion dollars and forecasted to grow.  Its cybercrime reporting center is receiving 300,000 complaints a year, which, by its estimates, is 10% of what is occurring. Internet Crime Report, </w:t>
      </w:r>
      <w:r>
        <w:rPr>
          <w:i/>
          <w:iCs/>
        </w:rPr>
        <w:t>supra</w:t>
      </w:r>
      <w:r>
        <w:t xml:space="preserve"> note , at 3. RA* add a source on solar winds breach</w:t>
      </w:r>
    </w:p>
  </w:footnote>
  <w:footnote w:id="52">
    <w:p w:rsidR="007A1944" w:rsidRDefault="007A1944" w:rsidP="00133F8A">
      <w:pPr>
        <w:pStyle w:val="FootnoteText"/>
      </w:pPr>
      <w:r>
        <w:rPr>
          <w:rStyle w:val="FootnoteReference"/>
        </w:rPr>
        <w:footnoteRef/>
      </w:r>
      <w:r>
        <w:t xml:space="preserve"> Jeremy Waldron, </w:t>
      </w:r>
      <w:r>
        <w:rPr>
          <w:i/>
          <w:iCs/>
        </w:rPr>
        <w:t>Safety and Security</w:t>
      </w:r>
      <w:r>
        <w:t xml:space="preserve">, 85 </w:t>
      </w:r>
      <w:r w:rsidRPr="00500A79">
        <w:rPr>
          <w:rFonts w:cs="Times New Roman (Body CS)"/>
          <w:smallCaps/>
        </w:rPr>
        <w:t xml:space="preserve">Neb. </w:t>
      </w:r>
      <w:proofErr w:type="spellStart"/>
      <w:r w:rsidRPr="00500A79">
        <w:rPr>
          <w:rFonts w:cs="Times New Roman (Body CS)"/>
          <w:smallCaps/>
        </w:rPr>
        <w:t>L.Rev</w:t>
      </w:r>
      <w:proofErr w:type="spellEnd"/>
      <w:r>
        <w:t xml:space="preserve"> 454, 461 (2006).</w:t>
      </w:r>
    </w:p>
  </w:footnote>
  <w:footnote w:id="53">
    <w:p w:rsidR="007A1944" w:rsidRDefault="007A1944">
      <w:pPr>
        <w:pStyle w:val="FootnoteText"/>
      </w:pPr>
      <w:r>
        <w:rPr>
          <w:rStyle w:val="FootnoteReference"/>
        </w:rPr>
        <w:footnoteRef/>
      </w:r>
      <w:r>
        <w:t xml:space="preserve"> Even yet, the government might establish liability regimes to prevent incidents like this from occurring.</w:t>
      </w:r>
    </w:p>
  </w:footnote>
  <w:footnote w:id="54">
    <w:p w:rsidR="007A1944" w:rsidRDefault="007A1944" w:rsidP="00133F8A">
      <w:pPr>
        <w:pStyle w:val="FootnoteText"/>
      </w:pPr>
      <w:r>
        <w:rPr>
          <w:rStyle w:val="FootnoteReference"/>
        </w:rPr>
        <w:footnoteRef/>
      </w:r>
      <w:r>
        <w:t xml:space="preserve"> Waldron, </w:t>
      </w:r>
      <w:r>
        <w:rPr>
          <w:i/>
          <w:iCs/>
        </w:rPr>
        <w:t>supra</w:t>
      </w:r>
      <w:r>
        <w:t xml:space="preserve"> note __ at 455.</w:t>
      </w:r>
    </w:p>
  </w:footnote>
  <w:footnote w:id="55">
    <w:p w:rsidR="007A1944" w:rsidRDefault="007A1944" w:rsidP="00133F8A">
      <w:pPr>
        <w:pStyle w:val="FootnoteText"/>
      </w:pPr>
      <w:r>
        <w:rPr>
          <w:rStyle w:val="FootnoteReference"/>
        </w:rPr>
        <w:footnoteRef/>
      </w:r>
      <w:r>
        <w:t xml:space="preserve"> Waldron, </w:t>
      </w:r>
      <w:r>
        <w:rPr>
          <w:i/>
          <w:iCs/>
        </w:rPr>
        <w:t>supra</w:t>
      </w:r>
      <w:r>
        <w:t xml:space="preserve"> note __ at 455.</w:t>
      </w:r>
    </w:p>
  </w:footnote>
  <w:footnote w:id="56">
    <w:p w:rsidR="007A1944" w:rsidRDefault="007A1944" w:rsidP="00133F8A">
      <w:pPr>
        <w:pStyle w:val="FootnoteText"/>
      </w:pPr>
      <w:r>
        <w:rPr>
          <w:rStyle w:val="FootnoteReference"/>
        </w:rPr>
        <w:footnoteRef/>
      </w:r>
      <w:r>
        <w:t xml:space="preserve"> </w:t>
      </w:r>
      <w:r w:rsidRPr="009A2B50">
        <w:rPr>
          <w:rFonts w:cs="Times New Roman (Body CS)"/>
        </w:rPr>
        <w:t>Jeremy Bentham</w:t>
      </w:r>
      <w:r>
        <w:t>,</w:t>
      </w:r>
      <w:r w:rsidRPr="002F0986">
        <w:t xml:space="preserve"> </w:t>
      </w:r>
      <w:r w:rsidRPr="00BE7BA7">
        <w:rPr>
          <w:i/>
          <w:iCs/>
        </w:rPr>
        <w:t>Principles of</w:t>
      </w:r>
      <w:r>
        <w:rPr>
          <w:i/>
          <w:iCs/>
        </w:rPr>
        <w:t xml:space="preserve"> </w:t>
      </w:r>
      <w:r w:rsidRPr="00BE7BA7">
        <w:rPr>
          <w:i/>
          <w:iCs/>
        </w:rPr>
        <w:t>the Civil Code</w:t>
      </w:r>
      <w:r w:rsidRPr="00500A79">
        <w:t>,</w:t>
      </w:r>
      <w:r w:rsidRPr="00BE7BA7">
        <w:rPr>
          <w:i/>
          <w:iCs/>
        </w:rPr>
        <w:t xml:space="preserve"> in </w:t>
      </w:r>
      <w:r w:rsidRPr="00500A79">
        <w:rPr>
          <w:rFonts w:cs="Times New Roman (Body CS)"/>
          <w:smallCaps/>
        </w:rPr>
        <w:t>Bentham's Theory of Legislation</w:t>
      </w:r>
      <w:r>
        <w:t>, 124</w:t>
      </w:r>
      <w:r w:rsidRPr="002F0986">
        <w:t xml:space="preserve"> (1914)</w:t>
      </w:r>
      <w:r>
        <w:t xml:space="preserve"> (“We may have to consider ‘subsistence,’ ‘abundance,’ or ‘equality,’ in regard to a mere moment of time; while ‘security’ implies extension in point of time to all the benefits which it embraces.”).</w:t>
      </w:r>
    </w:p>
  </w:footnote>
  <w:footnote w:id="57">
    <w:p w:rsidR="007A1944" w:rsidRDefault="007A1944" w:rsidP="00B700E3">
      <w:pPr>
        <w:pStyle w:val="FootnoteText"/>
      </w:pPr>
      <w:r>
        <w:rPr>
          <w:rStyle w:val="FootnoteReference"/>
        </w:rPr>
        <w:footnoteRef/>
      </w:r>
      <w:r>
        <w:t xml:space="preserve"> </w:t>
      </w:r>
      <w:r w:rsidRPr="00500A79">
        <w:rPr>
          <w:i/>
          <w:iCs/>
        </w:rPr>
        <w:t>See</w:t>
      </w:r>
      <w:r>
        <w:t xml:space="preserve"> Waldron, </w:t>
      </w:r>
      <w:r>
        <w:rPr>
          <w:i/>
          <w:iCs/>
        </w:rPr>
        <w:t>supra</w:t>
      </w:r>
      <w:r>
        <w:t xml:space="preserve"> note __ at 463 (“T</w:t>
      </w:r>
      <w:r w:rsidRPr="00654F19">
        <w:t>he pure safety conception may be defective, but no attempt to remedy its defects can possibly be adequate if such attempt cuts the concept adrift from the element of physical safety</w:t>
      </w:r>
      <w:r>
        <w:t>.”).</w:t>
      </w:r>
    </w:p>
  </w:footnote>
  <w:footnote w:id="58">
    <w:p w:rsidR="007A1944" w:rsidRDefault="007A1944" w:rsidP="007C0F11">
      <w:pPr>
        <w:pStyle w:val="FootnoteText"/>
      </w:pPr>
      <w:r>
        <w:rPr>
          <w:rStyle w:val="FootnoteReference"/>
        </w:rPr>
        <w:footnoteRef/>
      </w:r>
      <w:r>
        <w:t xml:space="preserve"> Waldron, </w:t>
      </w:r>
      <w:r>
        <w:rPr>
          <w:i/>
          <w:iCs/>
        </w:rPr>
        <w:t>supra</w:t>
      </w:r>
      <w:r>
        <w:t xml:space="preserve"> note __ at 462.</w:t>
      </w:r>
      <w:r w:rsidRPr="007C0F11">
        <w:rPr>
          <w:rFonts w:cs="Times New Roman"/>
        </w:rPr>
        <w:t xml:space="preserve"> </w:t>
      </w:r>
      <w:r>
        <w:rPr>
          <w:rFonts w:cs="Times New Roman"/>
        </w:rPr>
        <w:t>He even</w:t>
      </w:r>
      <w:r w:rsidRPr="005B1095">
        <w:rPr>
          <w:rFonts w:cs="Times New Roman"/>
        </w:rPr>
        <w:t xml:space="preserve"> toys with the notion that “security” is not even a thing unto itself, but simply is “adjectival,” in that it describes a “mode in which other goods are enjoyed.”</w:t>
      </w:r>
      <w:r>
        <w:rPr>
          <w:rFonts w:cs="Times New Roman"/>
        </w:rPr>
        <w:t xml:space="preserve"> Id. at 471.</w:t>
      </w:r>
    </w:p>
  </w:footnote>
  <w:footnote w:id="59">
    <w:p w:rsidR="007A1944" w:rsidRDefault="007A1944" w:rsidP="00133F8A">
      <w:pPr>
        <w:pStyle w:val="FootnoteText"/>
      </w:pPr>
      <w:r>
        <w:rPr>
          <w:rStyle w:val="FootnoteReference"/>
        </w:rPr>
        <w:footnoteRef/>
      </w:r>
      <w:r>
        <w:t xml:space="preserve"> </w:t>
      </w:r>
      <w:r w:rsidRPr="00500A79">
        <w:rPr>
          <w:i/>
          <w:iCs/>
        </w:rPr>
        <w:t>See</w:t>
      </w:r>
      <w:r>
        <w:t xml:space="preserve"> </w:t>
      </w:r>
      <w:r w:rsidRPr="001D0DD5">
        <w:t xml:space="preserve">Waldron, </w:t>
      </w:r>
      <w:r w:rsidRPr="001D0DD5">
        <w:rPr>
          <w:i/>
          <w:iCs/>
        </w:rPr>
        <w:t>supra</w:t>
      </w:r>
      <w:r w:rsidRPr="001D0DD5">
        <w:t xml:space="preserve"> note __ at </w:t>
      </w:r>
      <w:r>
        <w:t>488, n.89 (noting that the Department of Homeland Security “</w:t>
      </w:r>
      <w:r w:rsidRPr="003F4922">
        <w:t>has responsibility not just for protection against terrorist threats, but also for protection against natural disasters like Hurricane Katrina</w:t>
      </w:r>
      <w:r>
        <w:t>”).</w:t>
      </w:r>
      <w:r w:rsidRPr="003F4922">
        <w:t xml:space="preserve"> </w:t>
      </w:r>
    </w:p>
  </w:footnote>
  <w:footnote w:id="60">
    <w:p w:rsidR="007A1944" w:rsidRPr="00CF1C6C" w:rsidRDefault="007A1944" w:rsidP="00D43B60">
      <w:pPr>
        <w:pStyle w:val="FootnoteText"/>
        <w:rPr>
          <w:i/>
          <w:iCs/>
        </w:rPr>
      </w:pPr>
      <w:r>
        <w:rPr>
          <w:rStyle w:val="FootnoteReference"/>
        </w:rPr>
        <w:footnoteRef/>
      </w:r>
      <w:r>
        <w:t xml:space="preserve"> A</w:t>
      </w:r>
      <w:r w:rsidRPr="00AF60DC">
        <w:t xml:space="preserve">londra Cano, </w:t>
      </w:r>
      <w:r w:rsidRPr="00AF60DC">
        <w:rPr>
          <w:i/>
          <w:iCs/>
        </w:rPr>
        <w:t>My Minneapolis Colleagues and I Are on Our Way to Revamping Police, Healing the Community</w:t>
      </w:r>
      <w:r w:rsidRPr="00AF60DC">
        <w:t xml:space="preserve">, </w:t>
      </w:r>
      <w:r w:rsidRPr="00CF1C6C">
        <w:rPr>
          <w:rFonts w:cs="Times New Roman (Body CS)"/>
          <w:smallCaps/>
        </w:rPr>
        <w:t>U</w:t>
      </w:r>
      <w:r>
        <w:rPr>
          <w:rFonts w:cs="Times New Roman (Body CS)"/>
          <w:smallCaps/>
        </w:rPr>
        <w:t>SA</w:t>
      </w:r>
      <w:r w:rsidRPr="00CF1C6C">
        <w:rPr>
          <w:rFonts w:cs="Times New Roman (Body CS)"/>
          <w:smallCaps/>
        </w:rPr>
        <w:t xml:space="preserve"> Today</w:t>
      </w:r>
      <w:r w:rsidRPr="00AF60DC">
        <w:t>, (Jun</w:t>
      </w:r>
      <w:r>
        <w:t>e</w:t>
      </w:r>
      <w:r w:rsidRPr="00AF60DC">
        <w:t xml:space="preserve"> 13, 2020 6:19 AM), </w:t>
      </w:r>
      <w:hyperlink r:id="rId9" w:history="1">
        <w:r w:rsidRPr="00AF60DC">
          <w:rPr>
            <w:rStyle w:val="Hyperlink"/>
          </w:rPr>
          <w:t>https://www.usatoday.com/story/opinion/policing/2020/06/12/after-floyd-video-changed-police-reformist-abolitionist/3177414001/</w:t>
        </w:r>
      </w:hyperlink>
      <w:r w:rsidRPr="00AF60DC">
        <w:t>.</w:t>
      </w:r>
    </w:p>
  </w:footnote>
  <w:footnote w:id="61">
    <w:p w:rsidR="007A1944" w:rsidRDefault="007A1944" w:rsidP="00133F8A">
      <w:pPr>
        <w:pStyle w:val="FootnoteText"/>
      </w:pPr>
      <w:r>
        <w:rPr>
          <w:rStyle w:val="FootnoteReference"/>
        </w:rPr>
        <w:footnoteRef/>
      </w:r>
      <w:r>
        <w:t xml:space="preserve"> </w:t>
      </w:r>
      <w:r w:rsidRPr="001B521D">
        <w:rPr>
          <w:i/>
          <w:iCs/>
        </w:rPr>
        <w:t>See</w:t>
      </w:r>
      <w:r>
        <w:t xml:space="preserve"> </w:t>
      </w:r>
      <w:r w:rsidRPr="004E0324">
        <w:t>U</w:t>
      </w:r>
      <w:r>
        <w:t xml:space="preserve">riel </w:t>
      </w:r>
      <w:proofErr w:type="spellStart"/>
      <w:r>
        <w:t>Abolof</w:t>
      </w:r>
      <w:proofErr w:type="spellEnd"/>
      <w:r>
        <w:t xml:space="preserve">, </w:t>
      </w:r>
      <w:r w:rsidRPr="00500A79">
        <w:rPr>
          <w:i/>
          <w:iCs/>
        </w:rPr>
        <w:t>Why We Need Maslow in the Twenty-First Century</w:t>
      </w:r>
      <w:r w:rsidRPr="004E0324">
        <w:t>,</w:t>
      </w:r>
      <w:r>
        <w:t xml:space="preserve"> 54 </w:t>
      </w:r>
      <w:r w:rsidRPr="00500A79">
        <w:rPr>
          <w:rFonts w:cs="Times New Roman (Body CS)"/>
          <w:smallCaps/>
        </w:rPr>
        <w:t>Soc’y</w:t>
      </w:r>
      <w:r>
        <w:rPr>
          <w:rFonts w:cs="Times New Roman (Body CS)"/>
          <w:smallCaps/>
        </w:rPr>
        <w:t xml:space="preserve"> 508,</w:t>
      </w:r>
      <w:r>
        <w:t xml:space="preserve"> </w:t>
      </w:r>
      <w:r w:rsidRPr="004E0324">
        <w:t>508–509 (2017)</w:t>
      </w:r>
      <w:r>
        <w:t xml:space="preserve"> (noting that Maslow’s theory “</w:t>
      </w:r>
      <w:r w:rsidRPr="001D0DD5">
        <w:t>has resonated powerfully in scholarship across disciplines</w:t>
      </w:r>
      <w:r>
        <w:t>” and</w:t>
      </w:r>
      <w:r w:rsidRPr="001D0DD5">
        <w:t xml:space="preserve"> </w:t>
      </w:r>
      <w:r>
        <w:t>remains relevant 75 years later).</w:t>
      </w:r>
    </w:p>
  </w:footnote>
  <w:footnote w:id="62">
    <w:p w:rsidR="007A1944" w:rsidRDefault="007A1944" w:rsidP="00133F8A">
      <w:pPr>
        <w:pStyle w:val="FootnoteText"/>
      </w:pPr>
      <w:r>
        <w:rPr>
          <w:rStyle w:val="FootnoteReference"/>
        </w:rPr>
        <w:footnoteRef/>
      </w:r>
      <w:r>
        <w:t xml:space="preserve"> A. H. Maslow</w:t>
      </w:r>
      <w:r w:rsidRPr="004E0324">
        <w:t>,</w:t>
      </w:r>
      <w:r>
        <w:t xml:space="preserve"> </w:t>
      </w:r>
      <w:r>
        <w:rPr>
          <w:i/>
          <w:iCs/>
        </w:rPr>
        <w:t>A Theory of Human Motivation</w:t>
      </w:r>
      <w:r>
        <w:t xml:space="preserve">, 50(4) </w:t>
      </w:r>
      <w:r w:rsidRPr="00500A79">
        <w:rPr>
          <w:rFonts w:cs="Times New Roman (Body CS)"/>
          <w:smallCaps/>
        </w:rPr>
        <w:t>Psychol. Rev.</w:t>
      </w:r>
      <w:r>
        <w:t xml:space="preserve"> </w:t>
      </w:r>
      <w:r w:rsidRPr="004E0324">
        <w:t>370-396</w:t>
      </w:r>
      <w:r>
        <w:t xml:space="preserve"> </w:t>
      </w:r>
      <w:r w:rsidRPr="004E0324">
        <w:t>(1943). </w:t>
      </w:r>
    </w:p>
  </w:footnote>
  <w:footnote w:id="63">
    <w:p w:rsidR="007A1944" w:rsidRDefault="007A1944" w:rsidP="00133F8A">
      <w:pPr>
        <w:pStyle w:val="FootnoteText"/>
      </w:pPr>
      <w:r>
        <w:rPr>
          <w:rStyle w:val="FootnoteReference"/>
        </w:rPr>
        <w:footnoteRef/>
      </w:r>
      <w:r>
        <w:t xml:space="preserve"> Maslow, </w:t>
      </w:r>
      <w:r>
        <w:rPr>
          <w:i/>
          <w:iCs/>
        </w:rPr>
        <w:t xml:space="preserve">supra </w:t>
      </w:r>
      <w:r>
        <w:t>note</w:t>
      </w:r>
      <w:r>
        <w:rPr>
          <w:i/>
          <w:iCs/>
        </w:rPr>
        <w:t xml:space="preserve"> </w:t>
      </w:r>
      <w:r>
        <w:t>___ at 376</w:t>
      </w:r>
      <w:r w:rsidRPr="004E0324">
        <w:t>. </w:t>
      </w:r>
    </w:p>
  </w:footnote>
  <w:footnote w:id="64">
    <w:p w:rsidR="007A1944" w:rsidRDefault="007A1944" w:rsidP="00133F8A">
      <w:pPr>
        <w:pStyle w:val="FootnoteText"/>
      </w:pPr>
      <w:r>
        <w:rPr>
          <w:rStyle w:val="FootnoteReference"/>
        </w:rPr>
        <w:footnoteRef/>
      </w:r>
      <w:r>
        <w:t xml:space="preserve"> Maslow, </w:t>
      </w:r>
      <w:r>
        <w:rPr>
          <w:i/>
          <w:iCs/>
        </w:rPr>
        <w:t xml:space="preserve">supra </w:t>
      </w:r>
      <w:r>
        <w:t>note</w:t>
      </w:r>
      <w:r>
        <w:rPr>
          <w:i/>
          <w:iCs/>
        </w:rPr>
        <w:t xml:space="preserve"> </w:t>
      </w:r>
      <w:r>
        <w:t>___ at 373.</w:t>
      </w:r>
    </w:p>
  </w:footnote>
  <w:footnote w:id="65">
    <w:p w:rsidR="007A1944" w:rsidRDefault="007A1944" w:rsidP="00133F8A">
      <w:pPr>
        <w:pStyle w:val="FootnoteText"/>
      </w:pPr>
      <w:r>
        <w:rPr>
          <w:rStyle w:val="FootnoteReference"/>
        </w:rPr>
        <w:footnoteRef/>
      </w:r>
      <w:r>
        <w:t xml:space="preserve"> </w:t>
      </w:r>
      <w:proofErr w:type="spellStart"/>
      <w:r>
        <w:t>Eritha</w:t>
      </w:r>
      <w:proofErr w:type="spellEnd"/>
      <w:r>
        <w:t xml:space="preserve"> </w:t>
      </w:r>
      <w:proofErr w:type="spellStart"/>
      <w:r>
        <w:t>Akile</w:t>
      </w:r>
      <w:proofErr w:type="spellEnd"/>
      <w:r>
        <w:t xml:space="preserve"> </w:t>
      </w:r>
      <w:proofErr w:type="spellStart"/>
      <w:r>
        <w:t>Cainion</w:t>
      </w:r>
      <w:proofErr w:type="spellEnd"/>
      <w:r>
        <w:t xml:space="preserve">, Letter to the Editor, </w:t>
      </w:r>
      <w:r w:rsidRPr="00500A79">
        <w:rPr>
          <w:i/>
          <w:iCs/>
        </w:rPr>
        <w:t>What is public safety?</w:t>
      </w:r>
      <w:r>
        <w:t xml:space="preserve">, </w:t>
      </w:r>
      <w:r w:rsidRPr="00500A79">
        <w:rPr>
          <w:rFonts w:cs="Times New Roman (Body CS)"/>
          <w:smallCaps/>
        </w:rPr>
        <w:t>Weekly Challenger</w:t>
      </w:r>
      <w:r>
        <w:t xml:space="preserve">, July 27, 2017, </w:t>
      </w:r>
      <w:hyperlink r:id="rId10" w:history="1">
        <w:r w:rsidRPr="00DA119D">
          <w:rPr>
            <w:rStyle w:val="Hyperlink"/>
          </w:rPr>
          <w:t>http://theweeklychallenger.com/what-is-public-safety/</w:t>
        </w:r>
      </w:hyperlink>
      <w:r>
        <w:t xml:space="preserve">. </w:t>
      </w:r>
    </w:p>
  </w:footnote>
  <w:footnote w:id="66">
    <w:p w:rsidR="007A1944" w:rsidRDefault="007A1944" w:rsidP="00133F8A">
      <w:pPr>
        <w:pStyle w:val="FootnoteText"/>
      </w:pPr>
      <w:r>
        <w:rPr>
          <w:rStyle w:val="FootnoteReference"/>
        </w:rPr>
        <w:footnoteRef/>
      </w:r>
      <w:r>
        <w:t xml:space="preserve"> </w:t>
      </w:r>
      <w:r w:rsidRPr="00DA119D">
        <w:t xml:space="preserve">Dominic Adams, </w:t>
      </w:r>
      <w:r w:rsidRPr="00DA119D">
        <w:rPr>
          <w:i/>
        </w:rPr>
        <w:t xml:space="preserve">Closing the Valve on History: Flint Cuts Water Flow from Detroit After Nearly 50 Years, </w:t>
      </w:r>
      <w:proofErr w:type="spellStart"/>
      <w:r w:rsidRPr="00DA119D">
        <w:t>MLive</w:t>
      </w:r>
      <w:proofErr w:type="spellEnd"/>
      <w:r w:rsidRPr="00DA119D">
        <w:t xml:space="preserve"> (Apr. 25, 2014), </w:t>
      </w:r>
      <w:hyperlink r:id="rId11" w:history="1">
        <w:r w:rsidRPr="00DA119D">
          <w:rPr>
            <w:rStyle w:val="Hyperlink"/>
          </w:rPr>
          <w:t>https://www.mlive.com/news/flint/2014/04/closing_the_valve_on_history_f.html</w:t>
        </w:r>
      </w:hyperlink>
      <w:r w:rsidRPr="00DA119D">
        <w:t xml:space="preserve">. </w:t>
      </w:r>
    </w:p>
  </w:footnote>
  <w:footnote w:id="67">
    <w:p w:rsidR="007A1944" w:rsidRDefault="007A1944" w:rsidP="00133F8A">
      <w:pPr>
        <w:pStyle w:val="FootnoteText"/>
      </w:pPr>
      <w:r>
        <w:rPr>
          <w:rStyle w:val="FootnoteReference"/>
        </w:rPr>
        <w:footnoteRef/>
      </w:r>
      <w:r>
        <w:t xml:space="preserve"> </w:t>
      </w:r>
      <w:r w:rsidRPr="00DA119D">
        <w:rPr>
          <w:i/>
        </w:rPr>
        <w:t xml:space="preserve">Flint Water Crisis Fast Facts, </w:t>
      </w:r>
      <w:r w:rsidRPr="00DA119D">
        <w:t xml:space="preserve">CNN (July 2, 2019), </w:t>
      </w:r>
      <w:hyperlink r:id="rId12" w:history="1">
        <w:r w:rsidRPr="00DA119D">
          <w:rPr>
            <w:rStyle w:val="Hyperlink"/>
          </w:rPr>
          <w:t>https://www.cnn.com/2016/03/04/us/flint-water-crisis-fast-facts/index.html</w:t>
        </w:r>
      </w:hyperlink>
      <w:r w:rsidRPr="00554799">
        <w:t>.</w:t>
      </w:r>
    </w:p>
  </w:footnote>
  <w:footnote w:id="68">
    <w:p w:rsidR="007A1944" w:rsidRDefault="007A1944" w:rsidP="00133F8A">
      <w:pPr>
        <w:pStyle w:val="FootnoteText"/>
      </w:pPr>
      <w:r>
        <w:rPr>
          <w:rStyle w:val="FootnoteReference"/>
        </w:rPr>
        <w:footnoteRef/>
      </w:r>
      <w:r>
        <w:t xml:space="preserve"> </w:t>
      </w:r>
      <w:r w:rsidRPr="00554799">
        <w:t xml:space="preserve">Memorandum from Miguel A. Del </w:t>
      </w:r>
      <w:proofErr w:type="spellStart"/>
      <w:r w:rsidRPr="00554799">
        <w:t>Toral</w:t>
      </w:r>
      <w:proofErr w:type="spellEnd"/>
      <w:r w:rsidRPr="00554799">
        <w:t xml:space="preserve">, Regulations Manager, Ground Water and Drinking Water Branch of EPA Region 5 to Thomas </w:t>
      </w:r>
      <w:proofErr w:type="spellStart"/>
      <w:r w:rsidRPr="00554799">
        <w:t>Poy</w:t>
      </w:r>
      <w:proofErr w:type="spellEnd"/>
      <w:r w:rsidRPr="00554799">
        <w:t xml:space="preserve">, Chief, Ground Water and Drinking Water Branch of EPA Region 5 (June 24, 2015), </w:t>
      </w:r>
      <w:hyperlink r:id="rId13" w:history="1">
        <w:r w:rsidRPr="00554799">
          <w:rPr>
            <w:rStyle w:val="Hyperlink"/>
          </w:rPr>
          <w:t>http://flintwaterstudy.org/wp-content/uploads/2015/11/Miguels-Memo.pdf</w:t>
        </w:r>
      </w:hyperlink>
      <w:r w:rsidRPr="00554799">
        <w:t>.</w:t>
      </w:r>
      <w:r>
        <w:t xml:space="preserve">; </w:t>
      </w:r>
      <w:r w:rsidRPr="00554799">
        <w:t xml:space="preserve">U.S. </w:t>
      </w:r>
      <w:proofErr w:type="spellStart"/>
      <w:r w:rsidRPr="00554799">
        <w:t>Envtl</w:t>
      </w:r>
      <w:proofErr w:type="spellEnd"/>
      <w:r w:rsidRPr="00554799">
        <w:t xml:space="preserve">. Prot. Agency, EPA 816-F-09-004, National Primary Drinking Water Regulations (May 2009), </w:t>
      </w:r>
      <w:hyperlink r:id="rId14" w:history="1">
        <w:r w:rsidRPr="00554799">
          <w:rPr>
            <w:rStyle w:val="Hyperlink"/>
          </w:rPr>
          <w:t>https://www.epa.gov/sites/production/files/2016-06/documents/npwdr_complete_table.pdf</w:t>
        </w:r>
      </w:hyperlink>
      <w:r w:rsidRPr="00554799">
        <w:t>.</w:t>
      </w:r>
      <w:r>
        <w:t xml:space="preserve"> RA* do I need both sources in this </w:t>
      </w:r>
      <w:proofErr w:type="spellStart"/>
      <w:r>
        <w:t>fn</w:t>
      </w:r>
      <w:proofErr w:type="spellEnd"/>
      <w:r>
        <w:t xml:space="preserve"> can you check</w:t>
      </w:r>
    </w:p>
  </w:footnote>
  <w:footnote w:id="69">
    <w:p w:rsidR="007A1944" w:rsidRDefault="007A1944" w:rsidP="00133F8A">
      <w:pPr>
        <w:pStyle w:val="FootnoteText"/>
      </w:pPr>
      <w:r>
        <w:rPr>
          <w:rStyle w:val="FootnoteReference"/>
        </w:rPr>
        <w:footnoteRef/>
      </w:r>
      <w:r w:rsidRPr="00185C1C">
        <w:t>Maximum Contaminant Level Goals and National Primary Drinking Water Regulations for Lead and Copper, 56 F</w:t>
      </w:r>
      <w:r>
        <w:t xml:space="preserve">ed. </w:t>
      </w:r>
      <w:r w:rsidRPr="00185C1C">
        <w:t>R</w:t>
      </w:r>
      <w:r>
        <w:t>eg.</w:t>
      </w:r>
      <w:r w:rsidRPr="00185C1C">
        <w:t xml:space="preserve"> 26460-01</w:t>
      </w:r>
      <w:r>
        <w:t xml:space="preserve"> (establishing that zero is the maximum contaminant level goal for lead). </w:t>
      </w:r>
    </w:p>
  </w:footnote>
  <w:footnote w:id="70">
    <w:p w:rsidR="007A1944" w:rsidRDefault="007A1944" w:rsidP="00133F8A">
      <w:pPr>
        <w:pStyle w:val="FootnoteText"/>
      </w:pPr>
      <w:r>
        <w:rPr>
          <w:rStyle w:val="FootnoteReference"/>
        </w:rPr>
        <w:footnoteRef/>
      </w:r>
      <w:r>
        <w:t xml:space="preserve"> </w:t>
      </w:r>
      <w:r w:rsidRPr="00554799">
        <w:rPr>
          <w:i/>
        </w:rPr>
        <w:t xml:space="preserve">Lead: Standard Surveillance Definitions &amp; Classifications, </w:t>
      </w:r>
      <w:r w:rsidRPr="00554799">
        <w:t xml:space="preserve">Centers for Disease Control &amp; Prevention (Nov. 18, 2016), </w:t>
      </w:r>
      <w:hyperlink r:id="rId15" w:history="1">
        <w:r w:rsidRPr="00554799">
          <w:rPr>
            <w:rStyle w:val="Hyperlink"/>
          </w:rPr>
          <w:t>https://www.cdc.gov/nceh/lead/data/definitions.htm</w:t>
        </w:r>
      </w:hyperlink>
      <w:r w:rsidRPr="00554799">
        <w:rPr>
          <w:i/>
        </w:rPr>
        <w:t>.</w:t>
      </w:r>
    </w:p>
  </w:footnote>
  <w:footnote w:id="71">
    <w:p w:rsidR="007A1944" w:rsidRDefault="007A1944" w:rsidP="00133F8A">
      <w:pPr>
        <w:pStyle w:val="FootnoteText"/>
      </w:pPr>
      <w:r>
        <w:rPr>
          <w:rStyle w:val="FootnoteReference"/>
        </w:rPr>
        <w:footnoteRef/>
      </w:r>
      <w:r>
        <w:t xml:space="preserve"> Erica L. Green, </w:t>
      </w:r>
      <w:r w:rsidRPr="00500A79">
        <w:rPr>
          <w:i/>
          <w:iCs/>
        </w:rPr>
        <w:t>Flint’s Children Suffer in Class after Year of Drinking the Lead-Poisoned Water</w:t>
      </w:r>
      <w:r>
        <w:t xml:space="preserve">, </w:t>
      </w:r>
      <w:r w:rsidRPr="00500A79">
        <w:rPr>
          <w:rFonts w:cs="Times New Roman (Body CS)"/>
          <w:smallCaps/>
        </w:rPr>
        <w:t>N.Y. Times</w:t>
      </w:r>
      <w:r>
        <w:t xml:space="preserve">, Nov. 6, 2019, </w:t>
      </w:r>
      <w:hyperlink r:id="rId16" w:history="1">
        <w:r w:rsidRPr="00164B4B">
          <w:rPr>
            <w:rStyle w:val="Hyperlink"/>
          </w:rPr>
          <w:t>https://www.nytimes.com/2019/11/06/us/politics/flint-michigan-schools.html?searchResultPosition=1</w:t>
        </w:r>
      </w:hyperlink>
      <w:r>
        <w:t xml:space="preserve">. </w:t>
      </w:r>
    </w:p>
  </w:footnote>
  <w:footnote w:id="72">
    <w:p w:rsidR="007A1944" w:rsidRDefault="007A1944" w:rsidP="00133F8A">
      <w:pPr>
        <w:pStyle w:val="FootnoteText"/>
      </w:pPr>
      <w:r w:rsidRPr="001B521D">
        <w:rPr>
          <w:rStyle w:val="FootnoteReference"/>
        </w:rPr>
        <w:footnoteRef/>
      </w:r>
      <w:r w:rsidRPr="001B521D">
        <w:t xml:space="preserve"> </w:t>
      </w:r>
      <w:r>
        <w:rPr>
          <w:i/>
          <w:iCs/>
        </w:rPr>
        <w:t xml:space="preserve">See </w:t>
      </w:r>
      <w:r w:rsidRPr="001B521D">
        <w:t xml:space="preserve">Barry Friedman, </w:t>
      </w:r>
      <w:r w:rsidRPr="001B521D">
        <w:rPr>
          <w:i/>
          <w:iCs/>
        </w:rPr>
        <w:t>Police and Public Safety: The Case of Homelessness</w:t>
      </w:r>
      <w:r w:rsidRPr="001B521D">
        <w:t xml:space="preserve">, Lecture, Ariz. State </w:t>
      </w:r>
      <w:proofErr w:type="spellStart"/>
      <w:r w:rsidRPr="001B521D">
        <w:t>Univ</w:t>
      </w:r>
      <w:proofErr w:type="spellEnd"/>
      <w:r>
        <w:t xml:space="preserve"> 27 (forthcoming) (arguing for a capacious understanding of public safety that “imposes an affirmative requirement on society to help the homeless”).</w:t>
      </w:r>
    </w:p>
  </w:footnote>
  <w:footnote w:id="73">
    <w:p w:rsidR="007A1944" w:rsidRDefault="007A1944" w:rsidP="00133F8A">
      <w:pPr>
        <w:pStyle w:val="FootnoteText"/>
      </w:pPr>
      <w:r>
        <w:rPr>
          <w:rStyle w:val="FootnoteReference"/>
        </w:rPr>
        <w:footnoteRef/>
      </w:r>
      <w:r>
        <w:t xml:space="preserve"> In 2019, this number was at least </w:t>
      </w:r>
      <w:r w:rsidRPr="005B7057">
        <w:t>567,715</w:t>
      </w:r>
      <w:r>
        <w:t xml:space="preserve">. Off. of </w:t>
      </w:r>
      <w:proofErr w:type="spellStart"/>
      <w:r>
        <w:t>Cmty</w:t>
      </w:r>
      <w:proofErr w:type="spellEnd"/>
      <w:r>
        <w:t xml:space="preserve">. Plan. &amp; Dev., </w:t>
      </w:r>
      <w:r w:rsidRPr="00AB5604">
        <w:t xml:space="preserve">U.S. Dep’t of </w:t>
      </w:r>
      <w:proofErr w:type="spellStart"/>
      <w:r w:rsidRPr="00AB5604">
        <w:t>Hous</w:t>
      </w:r>
      <w:proofErr w:type="spellEnd"/>
      <w:r w:rsidRPr="00AB5604">
        <w:t xml:space="preserve">. &amp; </w:t>
      </w:r>
      <w:proofErr w:type="spellStart"/>
      <w:r w:rsidRPr="00AB5604">
        <w:t>Urb</w:t>
      </w:r>
      <w:proofErr w:type="spellEnd"/>
      <w:r>
        <w:t xml:space="preserve">. </w:t>
      </w:r>
      <w:r w:rsidRPr="00AB5604">
        <w:t>Dev</w:t>
      </w:r>
      <w:r>
        <w:t xml:space="preserve">., </w:t>
      </w:r>
      <w:r w:rsidRPr="00500A79">
        <w:rPr>
          <w:i/>
          <w:iCs/>
        </w:rPr>
        <w:t>The 2019 Annual Homeless Assessment Report to Congress</w:t>
      </w:r>
      <w:r>
        <w:t xml:space="preserve">, </w:t>
      </w:r>
      <w:hyperlink r:id="rId17" w:history="1">
        <w:r w:rsidRPr="00AB5604">
          <w:rPr>
            <w:rStyle w:val="Hyperlink"/>
          </w:rPr>
          <w:t>https://files.hudexchange.info/resources/documents/2019-AHAR-Part-1.pdf</w:t>
        </w:r>
      </w:hyperlink>
      <w:r>
        <w:t xml:space="preserve">. </w:t>
      </w:r>
      <w:r>
        <w:rPr>
          <w:i/>
          <w:iCs/>
        </w:rPr>
        <w:t>S</w:t>
      </w:r>
      <w:r w:rsidRPr="00500A79">
        <w:rPr>
          <w:i/>
          <w:iCs/>
        </w:rPr>
        <w:t>ee also</w:t>
      </w:r>
      <w:r>
        <w:t xml:space="preserve"> </w:t>
      </w:r>
      <w:r w:rsidRPr="00500A79">
        <w:rPr>
          <w:rFonts w:cs="Times New Roman (Body CS)"/>
          <w:smallCaps/>
        </w:rPr>
        <w:t>Nat’l L. Center on Homelessness &amp; Poverty</w:t>
      </w:r>
      <w:r>
        <w:t xml:space="preserve">, </w:t>
      </w:r>
      <w:r w:rsidRPr="00500A79">
        <w:rPr>
          <w:rFonts w:cs="Times New Roman (Body CS)"/>
          <w:smallCaps/>
        </w:rPr>
        <w:t>No Safe Place: The Criminalization of Homelessness in U.S. Cities</w:t>
      </w:r>
      <w:r>
        <w:t xml:space="preserve"> 12 (2014) (noting that the actual number of homeless people is higher than these statistics often represent).</w:t>
      </w:r>
    </w:p>
  </w:footnote>
  <w:footnote w:id="74">
    <w:p w:rsidR="007A1944" w:rsidRPr="00FF417F" w:rsidRDefault="007A1944" w:rsidP="00133F8A">
      <w:pPr>
        <w:pStyle w:val="FootnoteText"/>
      </w:pPr>
      <w:r>
        <w:rPr>
          <w:rStyle w:val="FootnoteReference"/>
        </w:rPr>
        <w:footnoteRef/>
      </w:r>
      <w:r>
        <w:t xml:space="preserve"> </w:t>
      </w:r>
      <w:r>
        <w:rPr>
          <w:i/>
          <w:iCs/>
        </w:rPr>
        <w:t>Shelter</w:t>
      </w:r>
      <w:r>
        <w:t>, Oxford English Dictionary (2d ed. 1989).</w:t>
      </w:r>
    </w:p>
  </w:footnote>
  <w:footnote w:id="75">
    <w:p w:rsidR="007A1944" w:rsidRDefault="007A1944" w:rsidP="00133F8A">
      <w:pPr>
        <w:pStyle w:val="FootnoteText"/>
      </w:pPr>
      <w:r w:rsidRPr="001B521D">
        <w:rPr>
          <w:rStyle w:val="FootnoteReference"/>
        </w:rPr>
        <w:footnoteRef/>
      </w:r>
      <w:r w:rsidRPr="001B521D">
        <w:t xml:space="preserve"> </w:t>
      </w:r>
      <w:r w:rsidRPr="00500A79">
        <w:rPr>
          <w:i/>
          <w:iCs/>
        </w:rPr>
        <w:t>See, e.g.</w:t>
      </w:r>
      <w:r w:rsidRPr="005E3D3C">
        <w:t xml:space="preserve">, </w:t>
      </w:r>
      <w:proofErr w:type="spellStart"/>
      <w:r w:rsidRPr="005E3D3C">
        <w:t>Lydie</w:t>
      </w:r>
      <w:proofErr w:type="spellEnd"/>
      <w:r w:rsidRPr="005E3D3C">
        <w:t xml:space="preserve"> A. Lebrun-Harris et al., </w:t>
      </w:r>
      <w:r w:rsidRPr="005A6512">
        <w:t xml:space="preserve">Health Status and Health Care Experiences </w:t>
      </w:r>
      <w:r>
        <w:t>A</w:t>
      </w:r>
      <w:r w:rsidRPr="005A6512">
        <w:t>mong Homeless Patients in Federally Supported Health Centers: Findings from the 2009 Patient Survey</w:t>
      </w:r>
      <w:r w:rsidRPr="005E3D3C">
        <w:t xml:space="preserve">, 48 Health </w:t>
      </w:r>
      <w:proofErr w:type="spellStart"/>
      <w:r w:rsidRPr="005E3D3C">
        <w:t>Serv</w:t>
      </w:r>
      <w:proofErr w:type="spellEnd"/>
      <w:r w:rsidRPr="005E3D3C">
        <w:t xml:space="preserve"> Res. 992 (2013), </w:t>
      </w:r>
      <w:hyperlink r:id="rId18" w:history="1">
        <w:r w:rsidRPr="00F71196">
          <w:rPr>
            <w:rStyle w:val="Hyperlink"/>
          </w:rPr>
          <w:t>https://www.ncbi.nlm.nih.gov/pmc/articles/PMC3681240/</w:t>
        </w:r>
      </w:hyperlink>
      <w:r>
        <w:t xml:space="preserve"> (finding that </w:t>
      </w:r>
      <w:r w:rsidRPr="00FB4E77">
        <w:t xml:space="preserve">homeless patients </w:t>
      </w:r>
      <w:r>
        <w:t>were</w:t>
      </w:r>
      <w:r w:rsidRPr="00FB4E77">
        <w:t xml:space="preserve"> tw</w:t>
      </w:r>
      <w:r>
        <w:t xml:space="preserve">o times more likely to </w:t>
      </w:r>
      <w:r w:rsidRPr="00FB4E77">
        <w:t>hav</w:t>
      </w:r>
      <w:r>
        <w:t>e</w:t>
      </w:r>
      <w:r w:rsidRPr="00FB4E77">
        <w:t xml:space="preserve"> unmet medical care needs </w:t>
      </w:r>
      <w:r>
        <w:t xml:space="preserve">as domiciled patients); Barrett A. Lee &amp; Christopher J. Schreck, </w:t>
      </w:r>
      <w:r w:rsidRPr="001B521D">
        <w:rPr>
          <w:i/>
          <w:iCs/>
        </w:rPr>
        <w:t>Danger on the Streets: Marginality and Victimization Among Homeless People</w:t>
      </w:r>
      <w:r w:rsidRPr="00291087">
        <w:t>,</w:t>
      </w:r>
      <w:r w:rsidRPr="00D801A3">
        <w:t xml:space="preserve"> </w:t>
      </w:r>
      <w:r>
        <w:t xml:space="preserve">48 </w:t>
      </w:r>
      <w:r w:rsidRPr="001B521D">
        <w:rPr>
          <w:rFonts w:cs="Times New Roman (Body CS)"/>
          <w:smallCaps/>
        </w:rPr>
        <w:t xml:space="preserve">Am. </w:t>
      </w:r>
      <w:proofErr w:type="spellStart"/>
      <w:r w:rsidRPr="001B521D">
        <w:rPr>
          <w:rFonts w:cs="Times New Roman (Body CS)"/>
          <w:smallCaps/>
        </w:rPr>
        <w:t>Behav</w:t>
      </w:r>
      <w:proofErr w:type="spellEnd"/>
      <w:r w:rsidRPr="001B521D">
        <w:rPr>
          <w:rFonts w:cs="Times New Roman (Body CS)"/>
          <w:smallCaps/>
        </w:rPr>
        <w:t>. Sci.</w:t>
      </w:r>
      <w:r>
        <w:t xml:space="preserve"> 1055, 1067-68 (2005) (finding that 54% of homeless people sampled had experienced some form of direct or indirect violence, such as theft and assault, and arguing that such experiences occur precisely because homelessness increases victimization).</w:t>
      </w:r>
    </w:p>
  </w:footnote>
  <w:footnote w:id="76">
    <w:p w:rsidR="007A1944" w:rsidRDefault="007A1944" w:rsidP="00133F8A">
      <w:pPr>
        <w:pStyle w:val="FootnoteText"/>
      </w:pPr>
      <w:r>
        <w:rPr>
          <w:rStyle w:val="FootnoteReference"/>
        </w:rPr>
        <w:footnoteRef/>
      </w:r>
      <w:r>
        <w:t xml:space="preserve"> Paul A. Diller, </w:t>
      </w:r>
      <w:r>
        <w:rPr>
          <w:i/>
          <w:iCs/>
        </w:rPr>
        <w:t>Combating Obesity with a Right to Nutrition</w:t>
      </w:r>
      <w:r>
        <w:t xml:space="preserve">, 101 </w:t>
      </w:r>
      <w:r w:rsidRPr="00500A79">
        <w:rPr>
          <w:rFonts w:cs="Times New Roman (Body CS)"/>
          <w:smallCaps/>
        </w:rPr>
        <w:t>Geo. L</w:t>
      </w:r>
      <w:r>
        <w:rPr>
          <w:rFonts w:cs="Times New Roman (Body CS)"/>
          <w:smallCaps/>
        </w:rPr>
        <w:t>.J</w:t>
      </w:r>
      <w:r>
        <w:t xml:space="preserve">. 969 (2013).  </w:t>
      </w:r>
    </w:p>
  </w:footnote>
  <w:footnote w:id="77">
    <w:p w:rsidR="007A1944" w:rsidRPr="001B521D" w:rsidRDefault="007A1944" w:rsidP="00133F8A">
      <w:pPr>
        <w:pStyle w:val="FootnoteText"/>
        <w:rPr>
          <w:b/>
          <w:bCs/>
        </w:rPr>
      </w:pPr>
      <w:r>
        <w:rPr>
          <w:rStyle w:val="FootnoteReference"/>
        </w:rPr>
        <w:footnoteRef/>
      </w:r>
      <w:r>
        <w:t xml:space="preserve"> Diller, </w:t>
      </w:r>
      <w:r w:rsidRPr="001B521D">
        <w:rPr>
          <w:i/>
          <w:iCs/>
        </w:rPr>
        <w:t>supra</w:t>
      </w:r>
      <w:r>
        <w:t xml:space="preserve"> note __, at 986. Emily Broad </w:t>
      </w:r>
      <w:proofErr w:type="spellStart"/>
      <w:r>
        <w:t>Lieb</w:t>
      </w:r>
      <w:proofErr w:type="spellEnd"/>
      <w:r>
        <w:t xml:space="preserve"> and Margot </w:t>
      </w:r>
      <w:proofErr w:type="spellStart"/>
      <w:r>
        <w:t>Pollans</w:t>
      </w:r>
      <w:proofErr w:type="spellEnd"/>
      <w:r>
        <w:t xml:space="preserve"> argue that the panoply of food-related illnesses and problems require an entirely new definition of “food safety” that would encompass not only the  traditional attention to food risks posed by immediate ingestion, but whole diet, food additives, and issues like agricultural pollution and food and packaging waste.  Emily Broad </w:t>
      </w:r>
      <w:proofErr w:type="spellStart"/>
      <w:r>
        <w:t>Leib</w:t>
      </w:r>
      <w:proofErr w:type="spellEnd"/>
      <w:r>
        <w:t xml:space="preserve"> &amp; Margot J. </w:t>
      </w:r>
      <w:proofErr w:type="spellStart"/>
      <w:r>
        <w:t>Pollans</w:t>
      </w:r>
      <w:proofErr w:type="spellEnd"/>
      <w:r>
        <w:t xml:space="preserve">, </w:t>
      </w:r>
      <w:r w:rsidRPr="00500A79">
        <w:rPr>
          <w:i/>
          <w:iCs/>
        </w:rPr>
        <w:t>The New Food Safety</w:t>
      </w:r>
      <w:r>
        <w:t xml:space="preserve">, 107 </w:t>
      </w:r>
      <w:r w:rsidRPr="00500A79">
        <w:rPr>
          <w:rFonts w:cs="Times New Roman (Body CS)"/>
          <w:smallCaps/>
        </w:rPr>
        <w:t>Cal. L. Rev</w:t>
      </w:r>
      <w:r>
        <w:t xml:space="preserve"> 1173 (2019).</w:t>
      </w:r>
    </w:p>
  </w:footnote>
  <w:footnote w:id="78">
    <w:p w:rsidR="007A1944" w:rsidRDefault="007A1944" w:rsidP="00133F8A">
      <w:pPr>
        <w:pStyle w:val="FootnoteText"/>
      </w:pPr>
      <w:r>
        <w:rPr>
          <w:rStyle w:val="FootnoteReference"/>
        </w:rPr>
        <w:footnoteRef/>
      </w:r>
      <w:r>
        <w:t xml:space="preserve"> </w:t>
      </w:r>
      <w:r w:rsidRPr="001B521D">
        <w:rPr>
          <w:i/>
          <w:iCs/>
        </w:rPr>
        <w:t>See</w:t>
      </w:r>
      <w:r>
        <w:t xml:space="preserve"> Diller, </w:t>
      </w:r>
      <w:r>
        <w:rPr>
          <w:i/>
          <w:iCs/>
        </w:rPr>
        <w:t xml:space="preserve">supra </w:t>
      </w:r>
      <w:r>
        <w:t xml:space="preserve">note __, at 981-82 (connecting obesity to malnutrition and a greater likelihood for diseases and infant mortality). </w:t>
      </w:r>
      <w:r w:rsidRPr="001B521D">
        <w:rPr>
          <w:i/>
          <w:iCs/>
        </w:rPr>
        <w:t>See generally</w:t>
      </w:r>
      <w:r w:rsidRPr="00377190">
        <w:rPr>
          <w:rFonts w:ascii="Times" w:eastAsia="Times New Roman" w:hAnsi="Times" w:cs="Times New Roman"/>
          <w:sz w:val="18"/>
          <w:szCs w:val="18"/>
        </w:rPr>
        <w:t xml:space="preserve"> </w:t>
      </w:r>
      <w:r w:rsidRPr="001B521D">
        <w:t xml:space="preserve">Lauren M. </w:t>
      </w:r>
      <w:proofErr w:type="spellStart"/>
      <w:r w:rsidRPr="001B521D">
        <w:t>Dinour</w:t>
      </w:r>
      <w:proofErr w:type="spellEnd"/>
      <w:r w:rsidRPr="001B521D">
        <w:t xml:space="preserve"> et al, </w:t>
      </w:r>
      <w:r w:rsidRPr="00377190">
        <w:rPr>
          <w:i/>
          <w:iCs/>
        </w:rPr>
        <w:t>The Food Insecurity-Obesity Paradox: A Review of</w:t>
      </w:r>
      <w:r>
        <w:rPr>
          <w:i/>
          <w:iCs/>
        </w:rPr>
        <w:t xml:space="preserve"> </w:t>
      </w:r>
      <w:r w:rsidRPr="00377190">
        <w:rPr>
          <w:i/>
          <w:iCs/>
        </w:rPr>
        <w:t>the Literature and the Role Food Stamps May Play</w:t>
      </w:r>
      <w:r w:rsidRPr="001B521D">
        <w:t xml:space="preserve">, 107 </w:t>
      </w:r>
      <w:r>
        <w:rPr>
          <w:rFonts w:cs="Times New Roman (Body CS)"/>
          <w:smallCaps/>
        </w:rPr>
        <w:t>j. am</w:t>
      </w:r>
      <w:r w:rsidRPr="001B521D">
        <w:rPr>
          <w:rFonts w:cs="Times New Roman (Body CS)"/>
          <w:smallCaps/>
        </w:rPr>
        <w:t xml:space="preserve">. </w:t>
      </w:r>
      <w:r>
        <w:rPr>
          <w:rFonts w:cs="Times New Roman (Body CS)"/>
          <w:smallCaps/>
        </w:rPr>
        <w:t xml:space="preserve">dietetic </w:t>
      </w:r>
      <w:proofErr w:type="spellStart"/>
      <w:r>
        <w:rPr>
          <w:rFonts w:cs="Times New Roman (Body CS)"/>
          <w:smallCaps/>
        </w:rPr>
        <w:t>a</w:t>
      </w:r>
      <w:r w:rsidRPr="001B521D">
        <w:rPr>
          <w:rFonts w:cs="Times New Roman (Body CS)"/>
          <w:smallCaps/>
        </w:rPr>
        <w:t>ss'</w:t>
      </w:r>
      <w:r>
        <w:rPr>
          <w:rFonts w:cs="Times New Roman (Body CS)"/>
          <w:smallCaps/>
        </w:rPr>
        <w:t>n</w:t>
      </w:r>
      <w:proofErr w:type="spellEnd"/>
      <w:r w:rsidRPr="001B521D">
        <w:rPr>
          <w:rFonts w:cs="Times New Roman (Body CS)"/>
          <w:smallCaps/>
        </w:rPr>
        <w:t xml:space="preserve"> </w:t>
      </w:r>
      <w:r w:rsidRPr="001B521D">
        <w:t>1952 (2007)</w:t>
      </w:r>
      <w:r>
        <w:t xml:space="preserve"> (examining the relationship between food insecurity and obesity).</w:t>
      </w:r>
    </w:p>
  </w:footnote>
  <w:footnote w:id="79">
    <w:p w:rsidR="007A1944" w:rsidRPr="00C340E6" w:rsidRDefault="007A1944" w:rsidP="00133F8A">
      <w:pPr>
        <w:pStyle w:val="FootnoteText"/>
      </w:pPr>
      <w:r>
        <w:rPr>
          <w:rStyle w:val="FootnoteReference"/>
        </w:rPr>
        <w:footnoteRef/>
      </w:r>
      <w:r>
        <w:t xml:space="preserve"> On the contentiousness of the Clean Air Act, see </w:t>
      </w:r>
      <w:r w:rsidRPr="005A17DD">
        <w:t xml:space="preserve">Diane Katz, Coming Clean on Regulatory Costs and Benefits, Report (The Heritage Found., Mar. 3, 2011), </w:t>
      </w:r>
      <w:hyperlink r:id="rId19" w:history="1">
        <w:r w:rsidRPr="001B521D">
          <w:rPr>
            <w:rStyle w:val="Hyperlink"/>
          </w:rPr>
          <w:t>https://www.heritage.org/government-regulation/report/coming-clean-regulatory-costs-and-benefits</w:t>
        </w:r>
      </w:hyperlink>
      <w:r>
        <w:t xml:space="preserve"> </w:t>
      </w:r>
      <w:r w:rsidRPr="001B521D">
        <w:t>(arguing</w:t>
      </w:r>
      <w:r>
        <w:t xml:space="preserve"> that the Act’s costs outweigh its benefits).</w:t>
      </w:r>
    </w:p>
  </w:footnote>
  <w:footnote w:id="80">
    <w:p w:rsidR="007A1944" w:rsidRDefault="007A1944" w:rsidP="00133F8A">
      <w:pPr>
        <w:pStyle w:val="FootnoteText"/>
      </w:pPr>
      <w:r>
        <w:rPr>
          <w:rStyle w:val="FootnoteReference"/>
        </w:rPr>
        <w:footnoteRef/>
      </w:r>
      <w:r>
        <w:t xml:space="preserve"> </w:t>
      </w:r>
      <w:r w:rsidRPr="001B521D">
        <w:t>London Fog Lasts for 3D Day</w:t>
      </w:r>
      <w:r>
        <w:t xml:space="preserve">, Special to the N.Y. Times, </w:t>
      </w:r>
      <w:r w:rsidRPr="001B521D">
        <w:rPr>
          <w:rFonts w:cs="Times New Roman (Body CS)"/>
          <w:smallCaps/>
        </w:rPr>
        <w:t>N.Y. Times</w:t>
      </w:r>
      <w:r>
        <w:t xml:space="preserve">, Dec. 7, 1952; Ass. Press, London Fog Is Bottled Up for Los Angeles Sampling, </w:t>
      </w:r>
      <w:r w:rsidRPr="003E04CC">
        <w:rPr>
          <w:rFonts w:cs="Times New Roman (Body CS)"/>
          <w:smallCaps/>
        </w:rPr>
        <w:t>N.Y. Times</w:t>
      </w:r>
      <w:r>
        <w:rPr>
          <w:rFonts w:cs="Times New Roman (Body CS)"/>
          <w:smallCaps/>
        </w:rPr>
        <w:t>,</w:t>
      </w:r>
      <w:r w:rsidDel="001B6CBC">
        <w:t xml:space="preserve"> </w:t>
      </w:r>
      <w:r>
        <w:t xml:space="preserve">July 21, 1952. </w:t>
      </w:r>
    </w:p>
  </w:footnote>
  <w:footnote w:id="81">
    <w:p w:rsidR="007A1944" w:rsidRDefault="007A1944" w:rsidP="00133F8A">
      <w:pPr>
        <w:pStyle w:val="FootnoteText"/>
      </w:pPr>
      <w:r>
        <w:rPr>
          <w:rStyle w:val="FootnoteReference"/>
        </w:rPr>
        <w:footnoteRef/>
      </w:r>
      <w:r>
        <w:t xml:space="preserve"> </w:t>
      </w:r>
      <w:r w:rsidRPr="00D84A29">
        <w:t xml:space="preserve">David Bird, </w:t>
      </w:r>
      <w:r w:rsidRPr="00D84A29">
        <w:rPr>
          <w:i/>
          <w:iCs/>
        </w:rPr>
        <w:t>November Smog Killed 168 Here</w:t>
      </w:r>
      <w:r w:rsidRPr="00D84A29">
        <w:t xml:space="preserve">, </w:t>
      </w:r>
      <w:r w:rsidRPr="001B521D">
        <w:rPr>
          <w:rFonts w:cs="Times New Roman (Body CS)"/>
          <w:smallCaps/>
        </w:rPr>
        <w:t>N.Y. Times</w:t>
      </w:r>
      <w:r w:rsidRPr="00D84A29">
        <w:t xml:space="preserve"> (Oct. 27, 1967), https://timesmachine.nytimes.com/timesmachine/1967/10/27/82162296.pdf</w:t>
      </w:r>
      <w:r>
        <w:t xml:space="preserve">; </w:t>
      </w:r>
      <w:r w:rsidRPr="00D84A29">
        <w:rPr>
          <w:i/>
          <w:iCs/>
        </w:rPr>
        <w:t>10% Here Suffered Effects of Smog</w:t>
      </w:r>
      <w:r w:rsidRPr="00D84A29">
        <w:t xml:space="preserve">, Private Study Finds, </w:t>
      </w:r>
      <w:r w:rsidRPr="001B521D">
        <w:rPr>
          <w:rFonts w:cs="Times New Roman (Body CS)"/>
          <w:smallCaps/>
        </w:rPr>
        <w:t>N.Y. Times</w:t>
      </w:r>
      <w:r w:rsidRPr="00D84A29">
        <w:t xml:space="preserve"> (Dec. 10, 1966), https://timesmachine.nytimes.com/timesmachine/1966/12/10/82974341.pdf.</w:t>
      </w:r>
    </w:p>
  </w:footnote>
  <w:footnote w:id="82">
    <w:p w:rsidR="007A1944" w:rsidRPr="001B521D" w:rsidRDefault="007A1944" w:rsidP="00BC1BE5">
      <w:pPr>
        <w:pStyle w:val="FootnoteText"/>
        <w:rPr>
          <w:i/>
          <w:iCs/>
        </w:rPr>
      </w:pPr>
      <w:r>
        <w:rPr>
          <w:rStyle w:val="FootnoteReference"/>
        </w:rPr>
        <w:footnoteRef/>
      </w:r>
      <w:r>
        <w:t xml:space="preserve"> Alex Hider, </w:t>
      </w:r>
      <w:r w:rsidRPr="001B521D">
        <w:t xml:space="preserve">Poll: 72% of </w:t>
      </w:r>
      <w:r>
        <w:t>F</w:t>
      </w:r>
      <w:r w:rsidRPr="001B521D">
        <w:t xml:space="preserve">ans </w:t>
      </w:r>
      <w:r>
        <w:t>S</w:t>
      </w:r>
      <w:r w:rsidRPr="001B521D">
        <w:t xml:space="preserve">ay </w:t>
      </w:r>
      <w:r>
        <w:t>T</w:t>
      </w:r>
      <w:r w:rsidRPr="001B521D">
        <w:t xml:space="preserve">hey </w:t>
      </w:r>
      <w:r>
        <w:t>W</w:t>
      </w:r>
      <w:r w:rsidRPr="001B521D">
        <w:t xml:space="preserve">on't </w:t>
      </w:r>
      <w:r>
        <w:t>F</w:t>
      </w:r>
      <w:r w:rsidRPr="001B521D">
        <w:t xml:space="preserve">eel </w:t>
      </w:r>
      <w:r>
        <w:t>S</w:t>
      </w:r>
      <w:r w:rsidRPr="001B521D">
        <w:t xml:space="preserve">afe at a </w:t>
      </w:r>
      <w:r>
        <w:t>S</w:t>
      </w:r>
      <w:r w:rsidRPr="001B521D">
        <w:t xml:space="preserve">porting </w:t>
      </w:r>
      <w:r>
        <w:t>E</w:t>
      </w:r>
      <w:r w:rsidRPr="001B521D">
        <w:t xml:space="preserve">vent </w:t>
      </w:r>
      <w:r>
        <w:t>U</w:t>
      </w:r>
      <w:r w:rsidRPr="001B521D">
        <w:t xml:space="preserve">ntil a COVID-19 </w:t>
      </w:r>
      <w:r>
        <w:t>V</w:t>
      </w:r>
      <w:r w:rsidRPr="001B521D">
        <w:t xml:space="preserve">accine is </w:t>
      </w:r>
      <w:r>
        <w:t>R</w:t>
      </w:r>
      <w:r w:rsidRPr="001B521D">
        <w:t>eady</w:t>
      </w:r>
      <w:r>
        <w:t xml:space="preserve">, 4KXLF (Apr. 16, 2020 12:42 PM), </w:t>
      </w:r>
      <w:hyperlink r:id="rId20" w:history="1">
        <w:r w:rsidRPr="00D167E0">
          <w:rPr>
            <w:rStyle w:val="Hyperlink"/>
          </w:rPr>
          <w:t>https://www.kxlf.com/news/national/coronavirus/poll-72-of-fans-say-they-wont-feel-safe-at-a-sporting-event-until-a-covid-19-vaccine-is-ready</w:t>
        </w:r>
      </w:hyperlink>
      <w:r>
        <w:t xml:space="preserve">. </w:t>
      </w:r>
      <w:r>
        <w:rPr>
          <w:i/>
          <w:iCs/>
        </w:rPr>
        <w:t xml:space="preserve">See also </w:t>
      </w:r>
      <w:r w:rsidRPr="00276672">
        <w:t xml:space="preserve">Am. Psychol. </w:t>
      </w:r>
      <w:proofErr w:type="spellStart"/>
      <w:r w:rsidRPr="00276672">
        <w:t>Ass’n</w:t>
      </w:r>
      <w:proofErr w:type="spellEnd"/>
      <w:r>
        <w:t xml:space="preserve">, </w:t>
      </w:r>
      <w:r w:rsidRPr="001B521D">
        <w:rPr>
          <w:i/>
          <w:iCs/>
        </w:rPr>
        <w:t>Stress in America: Uncertainty About Healthcare</w:t>
      </w:r>
      <w:r>
        <w:t xml:space="preserve">, Press Release (Jan. 24, 2018), </w:t>
      </w:r>
      <w:hyperlink r:id="rId21" w:history="1">
        <w:r w:rsidRPr="00276672">
          <w:rPr>
            <w:rStyle w:val="Hyperlink"/>
          </w:rPr>
          <w:t>https://www.apa.org/news/press/releases/stress/2017/uncertainty-health-care.pdf</w:t>
        </w:r>
      </w:hyperlink>
      <w:r>
        <w:t xml:space="preserve"> (reporting that Americans living with chronic health conditions have significantly higher average stress levels).</w:t>
      </w:r>
      <w:r w:rsidDel="001B6CBC">
        <w:t xml:space="preserve"> </w:t>
      </w:r>
      <w:r>
        <w:t xml:space="preserve">RA* these sources need replaced </w:t>
      </w:r>
      <w:proofErr w:type="spellStart"/>
      <w:r>
        <w:t>iwt</w:t>
      </w:r>
      <w:proofErr w:type="spellEnd"/>
      <w:r>
        <w:t xml:space="preserve"> sources that make clear the depth of insecurity of people without health care/health. </w:t>
      </w:r>
    </w:p>
  </w:footnote>
  <w:footnote w:id="83">
    <w:p w:rsidR="007A1944" w:rsidRPr="001B521D" w:rsidRDefault="007A1944" w:rsidP="00133F8A">
      <w:pPr>
        <w:pStyle w:val="FootnoteText"/>
      </w:pPr>
      <w:r>
        <w:rPr>
          <w:rStyle w:val="FootnoteReference"/>
        </w:rPr>
        <w:footnoteRef/>
      </w:r>
      <w:r>
        <w:t xml:space="preserve"> </w:t>
      </w:r>
      <w:proofErr w:type="spellStart"/>
      <w:r>
        <w:t>Einer</w:t>
      </w:r>
      <w:proofErr w:type="spellEnd"/>
      <w:r>
        <w:t xml:space="preserve"> </w:t>
      </w:r>
      <w:proofErr w:type="spellStart"/>
      <w:r>
        <w:t>Elhauge</w:t>
      </w:r>
      <w:proofErr w:type="spellEnd"/>
      <w:r>
        <w:t xml:space="preserve">, </w:t>
      </w:r>
      <w:r>
        <w:rPr>
          <w:i/>
          <w:iCs/>
        </w:rPr>
        <w:t>Allocating Health Care Morally</w:t>
      </w:r>
      <w:r>
        <w:t xml:space="preserve">, 82 </w:t>
      </w:r>
      <w:r w:rsidRPr="0013449B">
        <w:rPr>
          <w:rFonts w:cs="Times New Roman (Body CS)"/>
          <w:smallCaps/>
        </w:rPr>
        <w:t>Cal. L. Rev.</w:t>
      </w:r>
      <w:r>
        <w:t xml:space="preserve"> 1449, 1465-66, 1465 n.37 (noting “widespread (though not universal) consensus” on the notion that everyone has a right to some level of healthcare access); Matthew Sheffield, </w:t>
      </w:r>
      <w:r w:rsidRPr="001B521D">
        <w:rPr>
          <w:i/>
          <w:iCs/>
        </w:rPr>
        <w:t xml:space="preserve">Poll: Most Americans </w:t>
      </w:r>
      <w:r>
        <w:rPr>
          <w:i/>
          <w:iCs/>
        </w:rPr>
        <w:t>W</w:t>
      </w:r>
      <w:r w:rsidRPr="001B521D">
        <w:rPr>
          <w:i/>
          <w:iCs/>
        </w:rPr>
        <w:t xml:space="preserve">ant </w:t>
      </w:r>
      <w:r>
        <w:rPr>
          <w:i/>
          <w:iCs/>
        </w:rPr>
        <w:t>U</w:t>
      </w:r>
      <w:r w:rsidRPr="001B521D">
        <w:rPr>
          <w:i/>
          <w:iCs/>
        </w:rPr>
        <w:t xml:space="preserve">niversal </w:t>
      </w:r>
      <w:r>
        <w:rPr>
          <w:i/>
          <w:iCs/>
        </w:rPr>
        <w:t>H</w:t>
      </w:r>
      <w:r w:rsidRPr="001B521D">
        <w:rPr>
          <w:i/>
          <w:iCs/>
        </w:rPr>
        <w:t xml:space="preserve">ealthcare </w:t>
      </w:r>
      <w:r>
        <w:rPr>
          <w:i/>
          <w:iCs/>
        </w:rPr>
        <w:t>B</w:t>
      </w:r>
      <w:r w:rsidRPr="001B521D">
        <w:rPr>
          <w:i/>
          <w:iCs/>
        </w:rPr>
        <w:t xml:space="preserve">ut </w:t>
      </w:r>
      <w:r>
        <w:rPr>
          <w:i/>
          <w:iCs/>
        </w:rPr>
        <w:t>D</w:t>
      </w:r>
      <w:r w:rsidRPr="001B521D">
        <w:rPr>
          <w:i/>
          <w:iCs/>
        </w:rPr>
        <w:t xml:space="preserve">on't </w:t>
      </w:r>
      <w:r>
        <w:rPr>
          <w:i/>
          <w:iCs/>
        </w:rPr>
        <w:t>W</w:t>
      </w:r>
      <w:r w:rsidRPr="001B521D">
        <w:rPr>
          <w:i/>
          <w:iCs/>
        </w:rPr>
        <w:t xml:space="preserve">ant to </w:t>
      </w:r>
      <w:r>
        <w:rPr>
          <w:i/>
          <w:iCs/>
        </w:rPr>
        <w:t>A</w:t>
      </w:r>
      <w:r w:rsidRPr="001B521D">
        <w:rPr>
          <w:i/>
          <w:iCs/>
        </w:rPr>
        <w:t xml:space="preserve">bolish </w:t>
      </w:r>
      <w:r>
        <w:rPr>
          <w:i/>
          <w:iCs/>
        </w:rPr>
        <w:t>P</w:t>
      </w:r>
      <w:r w:rsidRPr="001B521D">
        <w:rPr>
          <w:i/>
          <w:iCs/>
        </w:rPr>
        <w:t xml:space="preserve">rivate </w:t>
      </w:r>
      <w:r>
        <w:rPr>
          <w:i/>
          <w:iCs/>
        </w:rPr>
        <w:t>I</w:t>
      </w:r>
      <w:r w:rsidRPr="001B521D">
        <w:rPr>
          <w:i/>
          <w:iCs/>
        </w:rPr>
        <w:t>nsurance</w:t>
      </w:r>
      <w:r>
        <w:t xml:space="preserve">, </w:t>
      </w:r>
      <w:r w:rsidRPr="001B521D">
        <w:rPr>
          <w:rFonts w:cs="Times New Roman (Body CS)"/>
          <w:smallCaps/>
        </w:rPr>
        <w:t>The Hill</w:t>
      </w:r>
      <w:r>
        <w:t xml:space="preserve">, Feb. 7, 2019, </w:t>
      </w:r>
      <w:hyperlink r:id="rId22" w:history="1">
        <w:r w:rsidRPr="00F0026C">
          <w:rPr>
            <w:rStyle w:val="Hyperlink"/>
          </w:rPr>
          <w:t>https://thehill.com/hilltv/what-americas-thinking/428958-poll-voters-want-the-government-to-provide-healthcare-for</w:t>
        </w:r>
      </w:hyperlink>
      <w:r>
        <w:t xml:space="preserve">. </w:t>
      </w:r>
    </w:p>
  </w:footnote>
  <w:footnote w:id="84">
    <w:p w:rsidR="007A1944" w:rsidRDefault="007A1944" w:rsidP="00133F8A">
      <w:pPr>
        <w:pStyle w:val="FootnoteText"/>
      </w:pPr>
      <w:r>
        <w:rPr>
          <w:rStyle w:val="FootnoteReference"/>
        </w:rPr>
        <w:footnoteRef/>
      </w:r>
      <w:r>
        <w:t xml:space="preserve"> </w:t>
      </w:r>
      <w:r>
        <w:rPr>
          <w:i/>
          <w:iCs/>
        </w:rPr>
        <w:t xml:space="preserve">See </w:t>
      </w:r>
      <w:r>
        <w:t xml:space="preserve">Rachel Garfield et. al, The Kaiser Comm’n on Medicaid and the Uninsured, </w:t>
      </w:r>
      <w:r w:rsidRPr="001B521D">
        <w:rPr>
          <w:i/>
          <w:iCs/>
        </w:rPr>
        <w:t>The Uninsured: A Primer</w:t>
      </w:r>
      <w:r>
        <w:t xml:space="preserve"> 1 (2016) (finding that due to healthcare costs, those without health insurance are </w:t>
      </w:r>
      <w:r w:rsidRPr="008E0D39">
        <w:t>more likely to be hospitalized for conditions that could have been prevented and more likely to die in the hospital</w:t>
      </w:r>
      <w:r>
        <w:t xml:space="preserve">). </w:t>
      </w:r>
      <w:r>
        <w:rPr>
          <w:i/>
          <w:iCs/>
        </w:rPr>
        <w:t>See also</w:t>
      </w:r>
      <w:r>
        <w:t xml:space="preserve"> </w:t>
      </w:r>
      <w:proofErr w:type="spellStart"/>
      <w:r>
        <w:t>Elhauge</w:t>
      </w:r>
      <w:proofErr w:type="spellEnd"/>
      <w:r>
        <w:t xml:space="preserve">, </w:t>
      </w:r>
      <w:r w:rsidRPr="001B521D">
        <w:rPr>
          <w:i/>
          <w:iCs/>
        </w:rPr>
        <w:t>supra</w:t>
      </w:r>
      <w:r>
        <w:t xml:space="preserve"> note __, at 1543</w:t>
      </w:r>
      <w:r>
        <w:rPr>
          <w:i/>
          <w:iCs/>
        </w:rPr>
        <w:t xml:space="preserve"> </w:t>
      </w:r>
      <w:r>
        <w:t>(noting that there are “tradeoffs between health care and other social goods”).</w:t>
      </w:r>
    </w:p>
  </w:footnote>
  <w:footnote w:id="85">
    <w:p w:rsidR="007A1944" w:rsidRDefault="007A1944" w:rsidP="00133F8A">
      <w:pPr>
        <w:pStyle w:val="FootnoteText"/>
      </w:pPr>
      <w:r>
        <w:rPr>
          <w:rStyle w:val="FootnoteReference"/>
        </w:rPr>
        <w:footnoteRef/>
      </w:r>
      <w:r>
        <w:t xml:space="preserve"> Ryan, </w:t>
      </w:r>
      <w:r w:rsidRPr="001B521D">
        <w:rPr>
          <w:i/>
          <w:iCs/>
        </w:rPr>
        <w:t>supra</w:t>
      </w:r>
      <w:r>
        <w:t xml:space="preserve"> note  __, at 36.  </w:t>
      </w:r>
    </w:p>
  </w:footnote>
  <w:footnote w:id="86">
    <w:p w:rsidR="007A1944" w:rsidRDefault="007A1944" w:rsidP="00133F8A">
      <w:pPr>
        <w:pStyle w:val="FootnoteText"/>
      </w:pPr>
      <w:r>
        <w:rPr>
          <w:rStyle w:val="FootnoteReference"/>
        </w:rPr>
        <w:footnoteRef/>
      </w:r>
      <w:r>
        <w:t xml:space="preserve"> </w:t>
      </w:r>
      <w:r w:rsidRPr="00251BC9">
        <w:t xml:space="preserve">Jay </w:t>
      </w:r>
      <w:proofErr w:type="spellStart"/>
      <w:r w:rsidRPr="00251BC9">
        <w:t>Shambaugh</w:t>
      </w:r>
      <w:proofErr w:type="spellEnd"/>
      <w:r w:rsidRPr="00251BC9">
        <w:t xml:space="preserve">, Lauren Bauer </w:t>
      </w:r>
      <w:r>
        <w:t>&amp;</w:t>
      </w:r>
      <w:r w:rsidRPr="00251BC9">
        <w:t xml:space="preserve"> Audrey </w:t>
      </w:r>
      <w:proofErr w:type="spellStart"/>
      <w:r w:rsidRPr="00251BC9">
        <w:t>Breitwieser</w:t>
      </w:r>
      <w:proofErr w:type="spellEnd"/>
      <w:r>
        <w:t xml:space="preserve">, </w:t>
      </w:r>
      <w:r w:rsidRPr="001B521D">
        <w:rPr>
          <w:i/>
          <w:iCs/>
        </w:rPr>
        <w:t>Who Is Poor in the United States? A Hamilton Project Annual Report</w:t>
      </w:r>
      <w:r>
        <w:t xml:space="preserve"> (Brookings Inst.), Oct. 2017, </w:t>
      </w:r>
      <w:hyperlink r:id="rId23" w:history="1">
        <w:r w:rsidRPr="00251BC9">
          <w:rPr>
            <w:rStyle w:val="Hyperlink"/>
          </w:rPr>
          <w:t>https://www.hamiltonproject.org/assets/files/who_poor_2017_annual_report.pdf</w:t>
        </w:r>
      </w:hyperlink>
      <w:r>
        <w:t>.</w:t>
      </w:r>
    </w:p>
  </w:footnote>
  <w:footnote w:id="87">
    <w:p w:rsidR="007A1944" w:rsidRDefault="007A1944" w:rsidP="00133F8A">
      <w:pPr>
        <w:pStyle w:val="FootnoteText"/>
      </w:pPr>
      <w:r>
        <w:rPr>
          <w:rStyle w:val="FootnoteReference"/>
        </w:rPr>
        <w:footnoteRef/>
      </w:r>
      <w:r>
        <w:t xml:space="preserve"> </w:t>
      </w:r>
      <w:r w:rsidRPr="00F8034D">
        <w:t>Projected Poverty Impacts of COVID-19 (Coronavirus)</w:t>
      </w:r>
      <w:r>
        <w:t xml:space="preserve">, </w:t>
      </w:r>
      <w:r w:rsidRPr="001B521D">
        <w:rPr>
          <w:rFonts w:cs="Times New Roman (Body CS)"/>
          <w:smallCaps/>
        </w:rPr>
        <w:t xml:space="preserve">World Bank </w:t>
      </w:r>
      <w:r>
        <w:t>(June 8, 2020).</w:t>
      </w:r>
    </w:p>
  </w:footnote>
  <w:footnote w:id="88">
    <w:p w:rsidR="007A1944" w:rsidRPr="00BC6076" w:rsidRDefault="007A1944" w:rsidP="00133F8A">
      <w:pPr>
        <w:pStyle w:val="FootnoteText"/>
      </w:pPr>
      <w:r>
        <w:rPr>
          <w:rStyle w:val="FootnoteReference"/>
        </w:rPr>
        <w:footnoteRef/>
      </w:r>
      <w:r>
        <w:t xml:space="preserve"> Jeff T. </w:t>
      </w:r>
      <w:proofErr w:type="spellStart"/>
      <w:r>
        <w:t>Wattrick</w:t>
      </w:r>
      <w:proofErr w:type="spellEnd"/>
      <w:r>
        <w:t xml:space="preserve">, </w:t>
      </w:r>
      <w:r w:rsidRPr="001B521D">
        <w:rPr>
          <w:i/>
          <w:iCs/>
        </w:rPr>
        <w:t xml:space="preserve">Text of Detroit Mayor Dave Bing's </w:t>
      </w:r>
      <w:r>
        <w:rPr>
          <w:i/>
          <w:iCs/>
        </w:rPr>
        <w:t>F</w:t>
      </w:r>
      <w:r w:rsidRPr="001B521D">
        <w:rPr>
          <w:i/>
          <w:iCs/>
        </w:rPr>
        <w:t xml:space="preserve">inancial </w:t>
      </w:r>
      <w:r>
        <w:rPr>
          <w:i/>
          <w:iCs/>
        </w:rPr>
        <w:t>C</w:t>
      </w:r>
      <w:r w:rsidRPr="001B521D">
        <w:rPr>
          <w:i/>
          <w:iCs/>
        </w:rPr>
        <w:t xml:space="preserve">risis </w:t>
      </w:r>
      <w:r>
        <w:rPr>
          <w:i/>
          <w:iCs/>
        </w:rPr>
        <w:t>S</w:t>
      </w:r>
      <w:r w:rsidRPr="001B521D">
        <w:rPr>
          <w:i/>
          <w:iCs/>
        </w:rPr>
        <w:t>peech</w:t>
      </w:r>
      <w:r>
        <w:t xml:space="preserve">, </w:t>
      </w:r>
      <w:proofErr w:type="spellStart"/>
      <w:r w:rsidRPr="001B521D">
        <w:rPr>
          <w:rFonts w:cs="Times New Roman (Body CS)"/>
          <w:smallCaps/>
        </w:rPr>
        <w:t>MLive</w:t>
      </w:r>
      <w:proofErr w:type="spellEnd"/>
      <w:r w:rsidRPr="001B521D">
        <w:rPr>
          <w:rFonts w:cs="Times New Roman (Body CS)"/>
          <w:smallCaps/>
        </w:rPr>
        <w:t xml:space="preserve"> </w:t>
      </w:r>
      <w:r>
        <w:t xml:space="preserve">(Nov. 17, 2011) (updated Jan. 21, 2019), </w:t>
      </w:r>
      <w:hyperlink r:id="rId24" w:history="1">
        <w:r w:rsidRPr="00BC6076">
          <w:rPr>
            <w:rStyle w:val="Hyperlink"/>
          </w:rPr>
          <w:t>https://www.mlive.com/news/detroit/2011/11/text_of_detroit_mayor_dave_bin.html</w:t>
        </w:r>
      </w:hyperlink>
      <w:r>
        <w:t>.</w:t>
      </w:r>
    </w:p>
  </w:footnote>
  <w:footnote w:id="89">
    <w:p w:rsidR="007A1944" w:rsidRDefault="007A1944">
      <w:pPr>
        <w:pStyle w:val="FootnoteText"/>
      </w:pPr>
      <w:r>
        <w:rPr>
          <w:rStyle w:val="FootnoteReference"/>
        </w:rPr>
        <w:footnoteRef/>
      </w:r>
      <w:r>
        <w:t xml:space="preserve"> </w:t>
      </w:r>
      <w:r>
        <w:rPr>
          <w:i/>
          <w:iCs/>
        </w:rPr>
        <w:t xml:space="preserve">See </w:t>
      </w:r>
      <w:r>
        <w:t xml:space="preserve">Robert L. </w:t>
      </w:r>
      <w:proofErr w:type="spellStart"/>
      <w:r>
        <w:t>Burgdorf</w:t>
      </w:r>
      <w:proofErr w:type="spellEnd"/>
      <w:r>
        <w:t xml:space="preserve"> Jr., </w:t>
      </w:r>
      <w:r>
        <w:rPr>
          <w:i/>
          <w:iCs/>
        </w:rPr>
        <w:t>Why I Wrote the Americans With Disabilities Act</w:t>
      </w:r>
      <w:r>
        <w:t xml:space="preserve">, </w:t>
      </w:r>
      <w:r>
        <w:rPr>
          <w:smallCaps/>
        </w:rPr>
        <w:t xml:space="preserve">Wash. Post </w:t>
      </w:r>
      <w:r>
        <w:t xml:space="preserve">(July 24, 2015, 6:00 AM), </w:t>
      </w:r>
      <w:hyperlink r:id="rId25" w:history="1">
        <w:r w:rsidRPr="00D8296B">
          <w:rPr>
            <w:rStyle w:val="Hyperlink"/>
          </w:rPr>
          <w:t>https://www.washingtonpost.com/posteverything/wp/2015/07/24/why-the-americans-with-disabilities-act-mattered/</w:t>
        </w:r>
      </w:hyperlink>
      <w:r>
        <w:t xml:space="preserve"> (noting how the Act was written with an eye toward improving education, public transportation, accessibility to public parks and streets, and medical treatment, among other reasons).</w:t>
      </w:r>
    </w:p>
  </w:footnote>
  <w:footnote w:id="90">
    <w:p w:rsidR="007A1944" w:rsidRDefault="007A1944">
      <w:pPr>
        <w:pStyle w:val="FootnoteText"/>
      </w:pPr>
      <w:r>
        <w:rPr>
          <w:rStyle w:val="FootnoteReference"/>
        </w:rPr>
        <w:footnoteRef/>
      </w:r>
      <w:r>
        <w:t xml:space="preserve"> Danielle Keats Citron, Hate Crimes in Cyberspace (2014).</w:t>
      </w:r>
    </w:p>
  </w:footnote>
  <w:footnote w:id="91">
    <w:p w:rsidR="007A1944" w:rsidRDefault="007A1944">
      <w:pPr>
        <w:pStyle w:val="FootnoteText"/>
      </w:pPr>
      <w:r>
        <w:rPr>
          <w:rStyle w:val="FootnoteReference"/>
        </w:rPr>
        <w:footnoteRef/>
      </w:r>
      <w:r>
        <w:t xml:space="preserve"> Samuel D. Warren and Louis D. Brandeis, The Right to Privacy, 4 </w:t>
      </w:r>
      <w:proofErr w:type="spellStart"/>
      <w:r>
        <w:t>Harv</w:t>
      </w:r>
      <w:proofErr w:type="spellEnd"/>
      <w:r>
        <w:t>. L. Rev. 193, 193-95 (1890)</w:t>
      </w:r>
    </w:p>
  </w:footnote>
  <w:footnote w:id="92">
    <w:p w:rsidR="007A1944" w:rsidRDefault="007A1944" w:rsidP="00133F8A">
      <w:pPr>
        <w:pStyle w:val="FootnoteText"/>
      </w:pPr>
      <w:r w:rsidRPr="00037F49">
        <w:rPr>
          <w:rStyle w:val="FootnoteReference"/>
        </w:rPr>
        <w:footnoteRef/>
      </w:r>
      <w:r>
        <w:t xml:space="preserve"> FBI, </w:t>
      </w:r>
      <w:r>
        <w:rPr>
          <w:i/>
          <w:iCs/>
        </w:rPr>
        <w:t>What We Investigate: Hate Crimes</w:t>
      </w:r>
      <w:r>
        <w:t xml:space="preserve">, </w:t>
      </w:r>
      <w:hyperlink r:id="rId26" w:history="1">
        <w:r w:rsidRPr="0085172A">
          <w:rPr>
            <w:rStyle w:val="Hyperlink"/>
          </w:rPr>
          <w:t>https://www.fbi.gov/investigate/civil-rights/hate-crimes</w:t>
        </w:r>
      </w:hyperlink>
      <w:r>
        <w:t xml:space="preserve"> (last visited Aug. 2, 2020) (defining a hate crime as a</w:t>
      </w:r>
      <w:r w:rsidRPr="0085172A">
        <w:t xml:space="preserve"> “criminal offense against a person or property motivated in whole or in part by an offender’s bias against a race, religion, disability, sexual orientation, ethnicity, gender, or gender identity.”</w:t>
      </w:r>
      <w:r>
        <w:t xml:space="preserve">). On the effects of discrimination on feelings of safety, see Katy Steinmetz, </w:t>
      </w:r>
      <w:r w:rsidRPr="001B521D">
        <w:rPr>
          <w:i/>
          <w:iCs/>
        </w:rPr>
        <w:t>LGBT Americans Say They Feel Less Safe Under President Trump: Poll</w:t>
      </w:r>
      <w:r>
        <w:t xml:space="preserve">, </w:t>
      </w:r>
      <w:r w:rsidRPr="001B521D">
        <w:rPr>
          <w:rFonts w:cs="Times New Roman (Body CS)"/>
          <w:smallCaps/>
        </w:rPr>
        <w:t>Time</w:t>
      </w:r>
      <w:r>
        <w:rPr>
          <w:i/>
          <w:iCs/>
        </w:rPr>
        <w:t xml:space="preserve"> </w:t>
      </w:r>
      <w:r>
        <w:t xml:space="preserve">(July 10, 2017 9:00 AM), </w:t>
      </w:r>
      <w:hyperlink r:id="rId27" w:history="1">
        <w:r w:rsidRPr="003A690B">
          <w:rPr>
            <w:rStyle w:val="Hyperlink"/>
          </w:rPr>
          <w:t>https://time.com/4842910/donald-trump-lesbian-gay-bisexual-lgbt-poll-safe/</w:t>
        </w:r>
      </w:hyperlink>
      <w:r>
        <w:t xml:space="preserve"> (reporting that discrimination incidents generate feelings of unsafety). </w:t>
      </w:r>
    </w:p>
  </w:footnote>
  <w:footnote w:id="93">
    <w:p w:rsidR="007A1944" w:rsidRDefault="007A1944">
      <w:pPr>
        <w:pStyle w:val="FootnoteText"/>
      </w:pPr>
      <w:r>
        <w:rPr>
          <w:rStyle w:val="FootnoteReference"/>
        </w:rPr>
        <w:footnoteRef/>
      </w:r>
      <w:r>
        <w:t xml:space="preserve"> Danielle Keats Citron, Hate Crimes in Cyberspace (2014).</w:t>
      </w:r>
    </w:p>
  </w:footnote>
  <w:footnote w:id="94">
    <w:p w:rsidR="007A1944" w:rsidRPr="00D86021" w:rsidRDefault="007A1944" w:rsidP="00133F8A">
      <w:pPr>
        <w:pStyle w:val="FootnoteText"/>
      </w:pPr>
      <w:r>
        <w:rPr>
          <w:rStyle w:val="FootnoteReference"/>
        </w:rPr>
        <w:footnoteRef/>
      </w:r>
      <w:r>
        <w:t xml:space="preserve"> </w:t>
      </w:r>
      <w:r w:rsidRPr="008A6B26">
        <w:t>George S.</w:t>
      </w:r>
      <w:r>
        <w:t xml:space="preserve"> </w:t>
      </w:r>
      <w:r w:rsidRPr="008A6B26">
        <w:t>Tolley</w:t>
      </w:r>
      <w:r>
        <w:t xml:space="preserve"> et al., </w:t>
      </w:r>
      <w:r w:rsidRPr="001B521D">
        <w:rPr>
          <w:i/>
          <w:iCs/>
        </w:rPr>
        <w:t>State-of-the-Art Health Values</w:t>
      </w:r>
      <w:r w:rsidRPr="008A6B26">
        <w:t>,</w:t>
      </w:r>
      <w:r>
        <w:t xml:space="preserve"> </w:t>
      </w:r>
      <w:r>
        <w:rPr>
          <w:i/>
          <w:iCs/>
        </w:rPr>
        <w:t>in</w:t>
      </w:r>
      <w:r w:rsidRPr="008A6B26">
        <w:t> </w:t>
      </w:r>
      <w:r w:rsidRPr="001B521D">
        <w:rPr>
          <w:rFonts w:cs="Times New Roman (Body CS)"/>
          <w:smallCaps/>
        </w:rPr>
        <w:t>Valuing Health for Policy: An Economic Approach</w:t>
      </w:r>
      <w:r>
        <w:rPr>
          <w:i/>
          <w:iCs/>
        </w:rPr>
        <w:t xml:space="preserve"> </w:t>
      </w:r>
      <w:r>
        <w:t xml:space="preserve">323, 339-44 (George S. Tolley et al. eds.1994). </w:t>
      </w:r>
      <w:r>
        <w:rPr>
          <w:i/>
          <w:iCs/>
        </w:rPr>
        <w:t xml:space="preserve">See also </w:t>
      </w:r>
      <w:r>
        <w:t xml:space="preserve">Richard </w:t>
      </w:r>
      <w:proofErr w:type="spellStart"/>
      <w:r>
        <w:t>Revesz</w:t>
      </w:r>
      <w:proofErr w:type="spellEnd"/>
      <w:r>
        <w:t xml:space="preserve">, </w:t>
      </w:r>
      <w:r w:rsidRPr="001B521D">
        <w:rPr>
          <w:i/>
          <w:iCs/>
        </w:rPr>
        <w:t>Environmental Regulation, Cost-Benefit Analysis, and the Discounting of Human Lives</w:t>
      </w:r>
      <w:r>
        <w:t xml:space="preserve">, 99 Colum. L. Rev. 941, 972 (1999) (arguing that the dread in anticipating harm should be factored into valuations of damages as well as loss of life). </w:t>
      </w:r>
    </w:p>
  </w:footnote>
  <w:footnote w:id="95">
    <w:p w:rsidR="007A1944" w:rsidRPr="00AC4262" w:rsidRDefault="007A1944" w:rsidP="00C01143">
      <w:pPr>
        <w:pStyle w:val="FootnoteText"/>
      </w:pPr>
      <w:r>
        <w:rPr>
          <w:rStyle w:val="FootnoteReference"/>
        </w:rPr>
        <w:footnoteRef/>
      </w:r>
      <w:r>
        <w:t xml:space="preserve"> </w:t>
      </w:r>
      <w:r>
        <w:rPr>
          <w:i/>
        </w:rPr>
        <w:t xml:space="preserve">See </w:t>
      </w:r>
      <w:proofErr w:type="spellStart"/>
      <w:r>
        <w:t>Bertlatsky</w:t>
      </w:r>
      <w:proofErr w:type="spellEnd"/>
      <w:r>
        <w:t xml:space="preserve">, </w:t>
      </w:r>
      <w:r>
        <w:rPr>
          <w:i/>
        </w:rPr>
        <w:t xml:space="preserve">supra </w:t>
      </w:r>
      <w:r>
        <w:t xml:space="preserve">note ____ (“The United States spends about $115 billion on policing a year . . . .”); Friedman, </w:t>
      </w:r>
      <w:r>
        <w:rPr>
          <w:i/>
        </w:rPr>
        <w:t>We Spend $100 Billion on Policing. We Have No Idea What Works.</w:t>
      </w:r>
      <w:r>
        <w:t xml:space="preserve">, </w:t>
      </w:r>
      <w:r>
        <w:rPr>
          <w:i/>
        </w:rPr>
        <w:t xml:space="preserve">supra </w:t>
      </w:r>
      <w:r w:rsidRPr="00205F31">
        <w:t>note</w:t>
      </w:r>
      <w:r>
        <w:rPr>
          <w:i/>
        </w:rPr>
        <w:t xml:space="preserve"> </w:t>
      </w:r>
      <w:r w:rsidRPr="00205F31">
        <w:t>____</w:t>
      </w:r>
      <w:r>
        <w:t xml:space="preserve"> (“[T]he United States shells out well over $100 billion each year for public safety . . . .”).</w:t>
      </w:r>
    </w:p>
  </w:footnote>
  <w:footnote w:id="96">
    <w:p w:rsidR="007A1944" w:rsidRPr="00AD5BDE" w:rsidRDefault="007A1944" w:rsidP="00C01143">
      <w:pPr>
        <w:pStyle w:val="FootnoteText"/>
      </w:pPr>
      <w:r>
        <w:rPr>
          <w:rStyle w:val="FootnoteReference"/>
        </w:rPr>
        <w:footnoteRef/>
      </w:r>
      <w:r>
        <w:t xml:space="preserve"> </w:t>
      </w:r>
      <w:r>
        <w:rPr>
          <w:i/>
        </w:rPr>
        <w:t xml:space="preserve">See </w:t>
      </w:r>
      <w:r>
        <w:t xml:space="preserve">Friedman &amp; </w:t>
      </w:r>
      <w:proofErr w:type="spellStart"/>
      <w:r>
        <w:t>Janszky</w:t>
      </w:r>
      <w:proofErr w:type="spellEnd"/>
      <w:r>
        <w:t xml:space="preserve">, </w:t>
      </w:r>
      <w:r>
        <w:rPr>
          <w:i/>
        </w:rPr>
        <w:t>Policing’s Information Problem</w:t>
      </w:r>
      <w:r>
        <w:t xml:space="preserve">, </w:t>
      </w:r>
      <w:r>
        <w:rPr>
          <w:i/>
        </w:rPr>
        <w:t xml:space="preserve">supra </w:t>
      </w:r>
      <w:r>
        <w:t xml:space="preserve">note ____, at 2 (noting that the over $100 billion spent on policing does not include counter-terrorism efforts); </w:t>
      </w:r>
      <w:proofErr w:type="spellStart"/>
      <w:r>
        <w:t>Berlatsky</w:t>
      </w:r>
      <w:proofErr w:type="spellEnd"/>
      <w:r>
        <w:t xml:space="preserve">, </w:t>
      </w:r>
      <w:r>
        <w:rPr>
          <w:i/>
        </w:rPr>
        <w:t xml:space="preserve">supra </w:t>
      </w:r>
      <w:r>
        <w:t xml:space="preserve">note ____ (indicating the U.S. spends $115 billion on policing each year, which does not include military spending). </w:t>
      </w:r>
    </w:p>
  </w:footnote>
  <w:footnote w:id="97">
    <w:p w:rsidR="007A1944" w:rsidRDefault="007A1944" w:rsidP="00C01143">
      <w:pPr>
        <w:pStyle w:val="FootnoteText"/>
      </w:pPr>
      <w:r>
        <w:rPr>
          <w:rStyle w:val="FootnoteReference"/>
        </w:rPr>
        <w:footnoteRef/>
      </w:r>
      <w:r>
        <w:t xml:space="preserve"> </w:t>
      </w:r>
      <w:r>
        <w:rPr>
          <w:i/>
        </w:rPr>
        <w:t xml:space="preserve">See </w:t>
      </w:r>
      <w:r>
        <w:t xml:space="preserve">Sullivan &amp; </w:t>
      </w:r>
      <w:proofErr w:type="spellStart"/>
      <w:r>
        <w:t>Baranauckas</w:t>
      </w:r>
      <w:proofErr w:type="spellEnd"/>
      <w:r>
        <w:t xml:space="preserve">, </w:t>
      </w:r>
      <w:r>
        <w:rPr>
          <w:i/>
        </w:rPr>
        <w:t xml:space="preserve">supra </w:t>
      </w:r>
      <w:r>
        <w:t>note ____</w:t>
      </w:r>
      <w:r>
        <w:rPr>
          <w:i/>
        </w:rPr>
        <w:t xml:space="preserve"> </w:t>
      </w:r>
      <w:r>
        <w:t>(reporting that the following cities, for example, allocate 20% or more of their total operating budget for policing: Phoenix, Ariz.; San Antonio, Tex.; San Diego, Cal.; Indianapolis, Ind.; Seattle, Wash.; Denver, Colo.; Memphis, Tenn.; Las Vegas, Nev.; Louisville, Ky.; Oakland, Cal.; and Miami, Fla.).</w:t>
      </w:r>
    </w:p>
  </w:footnote>
  <w:footnote w:id="98">
    <w:p w:rsidR="007A1944" w:rsidRDefault="007A1944">
      <w:pPr>
        <w:pStyle w:val="FootnoteText"/>
      </w:pPr>
      <w:r>
        <w:rPr>
          <w:rStyle w:val="FootnoteReference"/>
        </w:rPr>
        <w:footnoteRef/>
      </w:r>
      <w:r>
        <w:t xml:space="preserve"> RA* need support for much of this </w:t>
      </w:r>
      <w:proofErr w:type="spellStart"/>
      <w:r>
        <w:t>graf</w:t>
      </w:r>
      <w:proofErr w:type="spellEnd"/>
      <w:r>
        <w:t xml:space="preserve">. Education &gt; police in </w:t>
      </w:r>
      <w:proofErr w:type="spellStart"/>
      <w:r>
        <w:t>ny</w:t>
      </w:r>
      <w:proofErr w:type="spellEnd"/>
      <w:r>
        <w:t xml:space="preserve">. A friend told me about </w:t>
      </w:r>
      <w:proofErr w:type="spellStart"/>
      <w:r>
        <w:t>durham</w:t>
      </w:r>
      <w:proofErr w:type="spellEnd"/>
      <w:r>
        <w:t>. Really need third rail support.</w:t>
      </w:r>
    </w:p>
  </w:footnote>
  <w:footnote w:id="99">
    <w:p w:rsidR="007A1944" w:rsidRPr="00B649CB" w:rsidRDefault="007A1944" w:rsidP="00C01143">
      <w:pPr>
        <w:pStyle w:val="FootnoteText"/>
        <w:rPr>
          <w:lang w:val="pt-BR"/>
        </w:rPr>
      </w:pPr>
      <w:r>
        <w:rPr>
          <w:rStyle w:val="FootnoteReference"/>
        </w:rPr>
        <w:footnoteRef/>
      </w:r>
      <w:r w:rsidRPr="00B649CB">
        <w:rPr>
          <w:lang w:val="pt-BR"/>
        </w:rPr>
        <w:t xml:space="preserve"> </w:t>
      </w:r>
      <w:proofErr w:type="spellStart"/>
      <w:r w:rsidRPr="00B649CB">
        <w:rPr>
          <w:lang w:val="pt-BR"/>
        </w:rPr>
        <w:t>Trump</w:t>
      </w:r>
      <w:proofErr w:type="spellEnd"/>
      <w:r w:rsidRPr="00B649CB">
        <w:rPr>
          <w:lang w:val="pt-BR"/>
        </w:rPr>
        <w:t xml:space="preserve">, </w:t>
      </w:r>
      <w:r w:rsidRPr="00B649CB">
        <w:rPr>
          <w:i/>
          <w:lang w:val="pt-BR"/>
        </w:rPr>
        <w:t xml:space="preserve">supra </w:t>
      </w:r>
      <w:r w:rsidRPr="00B649CB">
        <w:rPr>
          <w:lang w:val="pt-BR"/>
        </w:rPr>
        <w:t xml:space="preserve">note ___. </w:t>
      </w:r>
    </w:p>
  </w:footnote>
  <w:footnote w:id="100">
    <w:p w:rsidR="007A1944" w:rsidRPr="008978BA" w:rsidRDefault="007A1944" w:rsidP="00C01143">
      <w:pPr>
        <w:pStyle w:val="FootnoteText"/>
      </w:pPr>
      <w:r>
        <w:rPr>
          <w:rStyle w:val="FootnoteReference"/>
        </w:rPr>
        <w:footnoteRef/>
      </w:r>
      <w:r w:rsidRPr="008978BA">
        <w:t xml:space="preserve"> Reno, </w:t>
      </w:r>
      <w:r w:rsidRPr="008978BA">
        <w:rPr>
          <w:i/>
        </w:rPr>
        <w:t xml:space="preserve">supra </w:t>
      </w:r>
      <w:r w:rsidRPr="008978BA">
        <w:t>note ___.</w:t>
      </w:r>
    </w:p>
  </w:footnote>
  <w:footnote w:id="101">
    <w:p w:rsidR="007A1944" w:rsidRPr="000A42DB" w:rsidRDefault="007A1944" w:rsidP="00C01143">
      <w:pPr>
        <w:pStyle w:val="FootnoteText"/>
        <w:rPr>
          <w:lang w:val="pt-BR"/>
        </w:rPr>
      </w:pPr>
      <w:r>
        <w:rPr>
          <w:rStyle w:val="FootnoteReference"/>
        </w:rPr>
        <w:footnoteRef/>
      </w:r>
      <w:r w:rsidRPr="000A42DB">
        <w:rPr>
          <w:lang w:val="pt-BR"/>
        </w:rPr>
        <w:t xml:space="preserve"> </w:t>
      </w:r>
      <w:proofErr w:type="spellStart"/>
      <w:r w:rsidRPr="000A42DB">
        <w:rPr>
          <w:lang w:val="pt-BR"/>
        </w:rPr>
        <w:t>Cuomo</w:t>
      </w:r>
      <w:proofErr w:type="spellEnd"/>
      <w:r w:rsidRPr="000A42DB">
        <w:rPr>
          <w:lang w:val="pt-BR"/>
        </w:rPr>
        <w:t xml:space="preserve">, </w:t>
      </w:r>
      <w:r w:rsidRPr="000A42DB">
        <w:rPr>
          <w:i/>
          <w:lang w:val="pt-BR"/>
        </w:rPr>
        <w:t xml:space="preserve">supra </w:t>
      </w:r>
      <w:r w:rsidRPr="000A42DB">
        <w:rPr>
          <w:lang w:val="pt-BR"/>
        </w:rPr>
        <w:t>note ___.</w:t>
      </w:r>
    </w:p>
  </w:footnote>
  <w:footnote w:id="102">
    <w:p w:rsidR="007A1944" w:rsidRPr="000A42DB" w:rsidRDefault="007A1944" w:rsidP="00C01143">
      <w:pPr>
        <w:pStyle w:val="FootnoteText"/>
        <w:rPr>
          <w:lang w:val="pt-BR"/>
        </w:rPr>
      </w:pPr>
      <w:r>
        <w:rPr>
          <w:rStyle w:val="FootnoteReference"/>
        </w:rPr>
        <w:footnoteRef/>
      </w:r>
      <w:r w:rsidRPr="000A42DB">
        <w:rPr>
          <w:lang w:val="pt-BR"/>
        </w:rPr>
        <w:t xml:space="preserve"> </w:t>
      </w:r>
      <w:proofErr w:type="spellStart"/>
      <w:r w:rsidRPr="000A42DB">
        <w:rPr>
          <w:lang w:val="pt-BR"/>
        </w:rPr>
        <w:t>Sessions</w:t>
      </w:r>
      <w:proofErr w:type="spellEnd"/>
      <w:r w:rsidRPr="000A42DB">
        <w:rPr>
          <w:lang w:val="pt-BR"/>
        </w:rPr>
        <w:t xml:space="preserve">, </w:t>
      </w:r>
      <w:r w:rsidRPr="000A42DB">
        <w:rPr>
          <w:i/>
          <w:lang w:val="pt-BR"/>
        </w:rPr>
        <w:t xml:space="preserve">supra </w:t>
      </w:r>
      <w:r w:rsidRPr="000A42DB">
        <w:rPr>
          <w:lang w:val="pt-BR"/>
        </w:rPr>
        <w:t xml:space="preserve">note ___. </w:t>
      </w:r>
    </w:p>
  </w:footnote>
  <w:footnote w:id="103">
    <w:p w:rsidR="007A1944" w:rsidRPr="003B18ED" w:rsidRDefault="007A1944" w:rsidP="00C01143">
      <w:pPr>
        <w:pStyle w:val="FootnoteText"/>
      </w:pPr>
      <w:r>
        <w:rPr>
          <w:rStyle w:val="FootnoteReference"/>
        </w:rPr>
        <w:footnoteRef/>
      </w:r>
      <w:r>
        <w:t xml:space="preserve"> </w:t>
      </w:r>
      <w:r>
        <w:rPr>
          <w:i/>
        </w:rPr>
        <w:t>See, e.g.</w:t>
      </w:r>
      <w:r>
        <w:t xml:space="preserve">, Friedman, </w:t>
      </w:r>
      <w:r>
        <w:rPr>
          <w:i/>
        </w:rPr>
        <w:t>Secret Policing</w:t>
      </w:r>
      <w:r>
        <w:t>, supra note ____, at 118-20 (discussing the strategies police employ to keep their work under a blanket of absolute secrecy); Pamela</w:t>
      </w:r>
      <w:r>
        <w:rPr>
          <w:i/>
        </w:rPr>
        <w:t xml:space="preserve"> </w:t>
      </w:r>
      <w:proofErr w:type="spellStart"/>
      <w:r>
        <w:t>Seyffert</w:t>
      </w:r>
      <w:proofErr w:type="spellEnd"/>
      <w:r>
        <w:t xml:space="preserve">, </w:t>
      </w:r>
      <w:r>
        <w:rPr>
          <w:i/>
        </w:rPr>
        <w:t>Can Professional Civilian Oversight Improve Community Police Relations</w:t>
      </w:r>
      <w:r>
        <w:t xml:space="preserve">, </w:t>
      </w:r>
      <w:r>
        <w:rPr>
          <w:smallCaps/>
        </w:rPr>
        <w:t>Police Chief Magazine</w:t>
      </w:r>
      <w:r>
        <w:t xml:space="preserve"> (Sept. 13, 2017), </w:t>
      </w:r>
      <w:r w:rsidRPr="003E3B7F">
        <w:t xml:space="preserve">https://www.policechiefmagazine.org/can-professional-civilian-oversight-improve-community-police-relations/ </w:t>
      </w:r>
      <w:r>
        <w:t>(reporting that “[t]he culture of policing is a guarded one. . . .” and that many officers resist efforts at transparency through civilian complaint review boards because “[o]</w:t>
      </w:r>
      <w:proofErr w:type="spellStart"/>
      <w:r>
        <w:t>fficers</w:t>
      </w:r>
      <w:proofErr w:type="spellEnd"/>
      <w:r>
        <w:t xml:space="preserve"> and managers alike have a hard time believing that a civilian can understand the complexities of police work without having specific training in the field.”).</w:t>
      </w:r>
    </w:p>
  </w:footnote>
  <w:footnote w:id="104">
    <w:p w:rsidR="007A1944" w:rsidRPr="008C6091" w:rsidRDefault="007A1944" w:rsidP="00C01143">
      <w:pPr>
        <w:pStyle w:val="FootnoteText"/>
      </w:pPr>
      <w:r>
        <w:rPr>
          <w:rStyle w:val="FootnoteReference"/>
        </w:rPr>
        <w:footnoteRef/>
      </w:r>
      <w:r>
        <w:t xml:space="preserve"> </w:t>
      </w:r>
      <w:r>
        <w:rPr>
          <w:i/>
        </w:rPr>
        <w:t>See, e.g.</w:t>
      </w:r>
      <w:r>
        <w:t xml:space="preserve">, </w:t>
      </w:r>
      <w:proofErr w:type="spellStart"/>
      <w:r>
        <w:t>Lvovsky</w:t>
      </w:r>
      <w:proofErr w:type="spellEnd"/>
      <w:r>
        <w:t xml:space="preserve">, </w:t>
      </w:r>
      <w:r>
        <w:rPr>
          <w:i/>
        </w:rPr>
        <w:t xml:space="preserve">supra </w:t>
      </w:r>
      <w:r>
        <w:t xml:space="preserve">note ____, at 2067-68 (identifying how narratives of police expertise led to expansive judicial deference to the opinion of police); Moran, </w:t>
      </w:r>
      <w:r>
        <w:rPr>
          <w:i/>
        </w:rPr>
        <w:t xml:space="preserve">supra </w:t>
      </w:r>
      <w:r>
        <w:t xml:space="preserve">note ___, at 955-56 (“The American legal system, from the United States Supreme Court case law down to municipal ordinances, is tremendously deferential to police officers’ actions . . . .”); Chemerinsky, </w:t>
      </w:r>
      <w:r>
        <w:rPr>
          <w:i/>
        </w:rPr>
        <w:t xml:space="preserve">supra </w:t>
      </w:r>
      <w:r>
        <w:t xml:space="preserve">note ____ (“There is great deference to the split-second decisions of the officer in the field . . . . The problem is that the law gives too much deference to police conduct and does not do nearly enough to hold police accountable.”).  </w:t>
      </w:r>
    </w:p>
  </w:footnote>
  <w:footnote w:id="105">
    <w:p w:rsidR="007A1944" w:rsidRDefault="007A1944" w:rsidP="00C01143">
      <w:pPr>
        <w:pStyle w:val="FootnoteText"/>
      </w:pPr>
      <w:r>
        <w:rPr>
          <w:rStyle w:val="FootnoteReference"/>
        </w:rPr>
        <w:footnoteRef/>
      </w:r>
      <w:r>
        <w:t xml:space="preserve"> </w:t>
      </w:r>
      <w:r>
        <w:rPr>
          <w:i/>
        </w:rPr>
        <w:t xml:space="preserve">See </w:t>
      </w:r>
      <w:r w:rsidRPr="00DC347B">
        <w:t>Graham v. Connor,</w:t>
      </w:r>
      <w:r>
        <w:t xml:space="preserve"> 490 U.S. 386,  396-97 (1989) (writing that “the ‘reasonableness’ of a particular use of force must be judged from the perspective of a reasonable officer at the scene . . . . [because] police officers are often forced to make split-second judgements – in circumstances that are tense . . . about the amount of force that is necessary . . . .”). </w:t>
      </w:r>
      <w:r>
        <w:rPr>
          <w:i/>
        </w:rPr>
        <w:t xml:space="preserve">See also </w:t>
      </w:r>
      <w:r w:rsidRPr="00DC347B">
        <w:t>Ornelas v. U.S</w:t>
      </w:r>
      <w:r>
        <w:rPr>
          <w:i/>
        </w:rPr>
        <w:t>.</w:t>
      </w:r>
      <w:r>
        <w:t xml:space="preserve">, 517 U.S. 690, 700 (1996) (holding that, in its </w:t>
      </w:r>
      <w:r>
        <w:rPr>
          <w:i/>
        </w:rPr>
        <w:t xml:space="preserve">de novo </w:t>
      </w:r>
      <w:r>
        <w:t>review of determinations of reasonable suspicion and probable cause, appeals courts “should give due weight to inferences drawn from . . . local law enforcement officers” because police officers have a wealth of experience in drawing inferences of probable cause).</w:t>
      </w:r>
    </w:p>
  </w:footnote>
  <w:footnote w:id="106">
    <w:p w:rsidR="007A1944" w:rsidRPr="00176E20" w:rsidRDefault="007A1944" w:rsidP="00C01143">
      <w:pPr>
        <w:pStyle w:val="FootnoteText"/>
      </w:pPr>
      <w:r>
        <w:rPr>
          <w:rStyle w:val="FootnoteReference"/>
        </w:rPr>
        <w:footnoteRef/>
      </w:r>
      <w:r>
        <w:t xml:space="preserve"> </w:t>
      </w:r>
      <w:r>
        <w:rPr>
          <w:i/>
        </w:rPr>
        <w:t xml:space="preserve">See, e.g., </w:t>
      </w:r>
      <w:r>
        <w:t xml:space="preserve">Sherman, </w:t>
      </w:r>
      <w:r>
        <w:rPr>
          <w:i/>
        </w:rPr>
        <w:t xml:space="preserve">supra </w:t>
      </w:r>
      <w:r>
        <w:t xml:space="preserve">note ___ at 381-82 (arguing that policing is not a profession because becoming an officer does not require mastery of skills through “university-based education” and because the profession does not respond to research on how it can improve).   </w:t>
      </w:r>
    </w:p>
  </w:footnote>
  <w:footnote w:id="107">
    <w:p w:rsidR="007A1944" w:rsidRPr="00714A1B" w:rsidRDefault="007A1944" w:rsidP="00C01143">
      <w:pPr>
        <w:pStyle w:val="FootnoteText"/>
      </w:pPr>
      <w:r>
        <w:rPr>
          <w:rStyle w:val="FootnoteReference"/>
        </w:rPr>
        <w:footnoteRef/>
      </w:r>
      <w:r>
        <w:t xml:space="preserve"> </w:t>
      </w:r>
      <w:r>
        <w:rPr>
          <w:i/>
        </w:rPr>
        <w:t xml:space="preserve">See </w:t>
      </w:r>
      <w:proofErr w:type="spellStart"/>
      <w:r w:rsidRPr="000C7375">
        <w:t>Lum</w:t>
      </w:r>
      <w:proofErr w:type="spellEnd"/>
      <w:r w:rsidRPr="000C7375">
        <w:t xml:space="preserve">, </w:t>
      </w:r>
      <w:r w:rsidRPr="000C7375">
        <w:rPr>
          <w:i/>
        </w:rPr>
        <w:t xml:space="preserve">supra </w:t>
      </w:r>
      <w:r w:rsidRPr="000C7375">
        <w:t xml:space="preserve">note </w:t>
      </w:r>
      <w:r>
        <w:t>___</w:t>
      </w:r>
      <w:r w:rsidRPr="000C7375">
        <w:t xml:space="preserve">, at 3 (noting that </w:t>
      </w:r>
      <w:r>
        <w:t xml:space="preserve">despite the promise of evidence-based practices such as hot-spot policing, </w:t>
      </w:r>
      <w:r w:rsidRPr="000C7375">
        <w:t>there is “little real indication that hot-spot policing is institutionalized in daily police work.”)</w:t>
      </w:r>
      <w:r>
        <w:t>.</w:t>
      </w:r>
      <w:r w:rsidRPr="000C7375">
        <w:t>.</w:t>
      </w:r>
    </w:p>
  </w:footnote>
  <w:footnote w:id="108">
    <w:p w:rsidR="007A1944" w:rsidRDefault="007A1944" w:rsidP="00C01143">
      <w:pPr>
        <w:pStyle w:val="FootnoteText"/>
      </w:pPr>
      <w:r>
        <w:rPr>
          <w:rStyle w:val="FootnoteReference"/>
        </w:rPr>
        <w:footnoteRef/>
      </w:r>
      <w:r>
        <w:t xml:space="preserve"> </w:t>
      </w:r>
      <w:r>
        <w:rPr>
          <w:i/>
        </w:rPr>
        <w:t xml:space="preserve">See </w:t>
      </w:r>
      <w:proofErr w:type="spellStart"/>
      <w:r>
        <w:t>Ponomarenko</w:t>
      </w:r>
      <w:proofErr w:type="spellEnd"/>
      <w:r>
        <w:t xml:space="preserve"> &amp; Friedman, </w:t>
      </w:r>
      <w:r>
        <w:rPr>
          <w:i/>
        </w:rPr>
        <w:t>Benefit-Cost Analysis of Public Safety: Facing the Methodological Challenges</w:t>
      </w:r>
      <w:r>
        <w:t xml:space="preserve">,  </w:t>
      </w:r>
      <w:r>
        <w:rPr>
          <w:i/>
        </w:rPr>
        <w:t xml:space="preserve">supra </w:t>
      </w:r>
      <w:r>
        <w:t>note ____, at 317 (describing how in deciding whether to adopt policing technology such as license plate readers, police chiefs are much less likely to consider social costs such as community trust than other factors such as budgetary restrictions and the technology’s efficacy).</w:t>
      </w:r>
    </w:p>
  </w:footnote>
  <w:footnote w:id="109">
    <w:p w:rsidR="007A1944" w:rsidRPr="00937641" w:rsidRDefault="007A1944" w:rsidP="00C01143">
      <w:pPr>
        <w:pStyle w:val="FootnoteText"/>
      </w:pPr>
      <w:r>
        <w:rPr>
          <w:rStyle w:val="FootnoteReference"/>
        </w:rPr>
        <w:footnoteRef/>
      </w:r>
      <w:r>
        <w:t xml:space="preserve"> </w:t>
      </w:r>
      <w:r>
        <w:rPr>
          <w:i/>
        </w:rPr>
        <w:t xml:space="preserve">See </w:t>
      </w:r>
      <w:r>
        <w:t xml:space="preserve">Sidhu, </w:t>
      </w:r>
      <w:r>
        <w:rPr>
          <w:i/>
        </w:rPr>
        <w:t xml:space="preserve">supra </w:t>
      </w:r>
      <w:r>
        <w:t xml:space="preserve">note ___ (listing a number of new state and local laws that were passed to reform police in the wake of George Floyd’s murder). </w:t>
      </w:r>
    </w:p>
  </w:footnote>
  <w:footnote w:id="110">
    <w:p w:rsidR="007A1944" w:rsidRPr="007B727D" w:rsidRDefault="007A1944" w:rsidP="00C01143">
      <w:pPr>
        <w:pStyle w:val="FootnoteText"/>
      </w:pPr>
      <w:r>
        <w:rPr>
          <w:rStyle w:val="FootnoteReference"/>
        </w:rPr>
        <w:footnoteRef/>
      </w:r>
      <w:r>
        <w:t xml:space="preserve"> </w:t>
      </w:r>
      <w:r>
        <w:rPr>
          <w:i/>
        </w:rPr>
        <w:t xml:space="preserve">See </w:t>
      </w:r>
      <w:r>
        <w:t xml:space="preserve">Lynch, </w:t>
      </w:r>
      <w:r>
        <w:rPr>
          <w:i/>
        </w:rPr>
        <w:t xml:space="preserve">supra </w:t>
      </w:r>
      <w:r>
        <w:t xml:space="preserve">note___ (outlining several issues with civilian review boards, including lack of funding and the often politicized selection process). </w:t>
      </w:r>
    </w:p>
  </w:footnote>
  <w:footnote w:id="111">
    <w:p w:rsidR="007A1944" w:rsidRPr="00E546C0" w:rsidRDefault="007A1944" w:rsidP="00C01143">
      <w:pPr>
        <w:pStyle w:val="FootnoteText"/>
      </w:pPr>
      <w:r>
        <w:rPr>
          <w:rStyle w:val="FootnoteReference"/>
        </w:rPr>
        <w:footnoteRef/>
      </w:r>
      <w:r>
        <w:t xml:space="preserve"> </w:t>
      </w:r>
      <w:r>
        <w:rPr>
          <w:i/>
        </w:rPr>
        <w:t>See, e.g.</w:t>
      </w:r>
      <w:r>
        <w:t>,</w:t>
      </w:r>
      <w:r>
        <w:rPr>
          <w:i/>
        </w:rPr>
        <w:t xml:space="preserve"> </w:t>
      </w:r>
      <w:proofErr w:type="spellStart"/>
      <w:r>
        <w:t>Ponomarenko</w:t>
      </w:r>
      <w:proofErr w:type="spellEnd"/>
      <w:r>
        <w:t xml:space="preserve"> &amp; Friedman, </w:t>
      </w:r>
      <w:r>
        <w:rPr>
          <w:i/>
        </w:rPr>
        <w:t xml:space="preserve">Democratic Accountability and Policing, supra </w:t>
      </w:r>
      <w:r>
        <w:t xml:space="preserve">note ___, at 9 (“One of the reasons accountability is such a concern in policing today is because the existing mechanisms of accountability are focused primarily on the back end, with very little on the front end.”); </w:t>
      </w:r>
      <w:proofErr w:type="spellStart"/>
      <w:r>
        <w:t>Slobogin</w:t>
      </w:r>
      <w:proofErr w:type="spellEnd"/>
      <w:r>
        <w:t xml:space="preserve">, </w:t>
      </w:r>
      <w:r>
        <w:rPr>
          <w:i/>
        </w:rPr>
        <w:t xml:space="preserve">supra </w:t>
      </w:r>
      <w:r>
        <w:t>note ____, at 1725, 1775 (remarking that law enforcement agencies should be treated like other administrative agencies and that they should be subject to the central features of the APA, such as the rulemaking requirements).</w:t>
      </w:r>
    </w:p>
  </w:footnote>
  <w:footnote w:id="112">
    <w:p w:rsidR="007A1944" w:rsidRPr="00C10FD4" w:rsidRDefault="007A1944" w:rsidP="00C01143">
      <w:pPr>
        <w:pStyle w:val="FootnoteText"/>
      </w:pPr>
      <w:r>
        <w:rPr>
          <w:rStyle w:val="FootnoteReference"/>
        </w:rPr>
        <w:footnoteRef/>
      </w:r>
      <w:r>
        <w:t xml:space="preserve">  </w:t>
      </w:r>
      <w:r>
        <w:rPr>
          <w:i/>
        </w:rPr>
        <w:t>See, e.g.</w:t>
      </w:r>
      <w:r>
        <w:t xml:space="preserve">, </w:t>
      </w:r>
      <w:proofErr w:type="spellStart"/>
      <w:r>
        <w:t>Quattlebaum</w:t>
      </w:r>
      <w:proofErr w:type="spellEnd"/>
      <w:r>
        <w:t xml:space="preserve"> &amp; Tyler, </w:t>
      </w:r>
      <w:r>
        <w:rPr>
          <w:i/>
        </w:rPr>
        <w:t xml:space="preserve">supra </w:t>
      </w:r>
      <w:r>
        <w:t xml:space="preserve">note ___, at 1024-25 (describing how police officers “are trained as generalists who deploy force to compel compliance . . .” even though “that skill set is not central to much of their daily jobs . . . .” which instead involves “‘social welfare’ functions”); Jones, </w:t>
      </w:r>
      <w:r>
        <w:rPr>
          <w:i/>
        </w:rPr>
        <w:t xml:space="preserve">supra </w:t>
      </w:r>
      <w:r>
        <w:t xml:space="preserve">note ___ (“In the U.S., the police are the answer for everything. . . . [including] mediating domestic-violence disputes, for wellness checks, though they are not trained to sooth people in crisis.”); Stoughton, Noble, &amp; Alpert, </w:t>
      </w:r>
      <w:r>
        <w:rPr>
          <w:i/>
        </w:rPr>
        <w:t xml:space="preserve">supra </w:t>
      </w:r>
      <w:r>
        <w:t>note ___ (arguing that because we use criminal law to confront a variety of social ills, “police [are] over-</w:t>
      </w:r>
      <w:proofErr w:type="spellStart"/>
      <w:r>
        <w:t>involv</w:t>
      </w:r>
      <w:proofErr w:type="spellEnd"/>
      <w:r>
        <w:t>[</w:t>
      </w:r>
      <w:proofErr w:type="spellStart"/>
      <w:r>
        <w:t>ed</w:t>
      </w:r>
      <w:proofErr w:type="spellEnd"/>
      <w:r>
        <w:t>] in matters that would be far better left to other government institutions . . . including school discipline, poverty, homelessness, and substance abuse.”).</w:t>
      </w:r>
    </w:p>
  </w:footnote>
  <w:footnote w:id="113">
    <w:p w:rsidR="007A1944" w:rsidRDefault="007A1944" w:rsidP="00C01143">
      <w:pPr>
        <w:pStyle w:val="FootnoteText"/>
      </w:pPr>
      <w:r>
        <w:rPr>
          <w:rStyle w:val="FootnoteReference"/>
        </w:rPr>
        <w:footnoteRef/>
      </w:r>
      <w:r>
        <w:t xml:space="preserve"> </w:t>
      </w:r>
      <w:r>
        <w:rPr>
          <w:i/>
        </w:rPr>
        <w:t xml:space="preserve">See </w:t>
      </w:r>
      <w:r>
        <w:t xml:space="preserve">Friedman, </w:t>
      </w:r>
      <w:r>
        <w:rPr>
          <w:i/>
        </w:rPr>
        <w:t xml:space="preserve">Disaggregating the Policing Function, supra </w:t>
      </w:r>
      <w:r>
        <w:t>note ___, at 11-14 (explaining how police are constantly called to respond to situations involving domestic violence, substance abuse, mental illness, and homelessness, but that they are not trained to adequately address the core causes of these issues).</w:t>
      </w:r>
    </w:p>
  </w:footnote>
  <w:footnote w:id="114">
    <w:p w:rsidR="007A1944" w:rsidRPr="00BF586C" w:rsidRDefault="007A1944" w:rsidP="00C01143">
      <w:pPr>
        <w:pStyle w:val="FootnoteText"/>
      </w:pPr>
      <w:r>
        <w:rPr>
          <w:rStyle w:val="FootnoteReference"/>
        </w:rPr>
        <w:footnoteRef/>
      </w:r>
      <w:r>
        <w:t xml:space="preserve"> </w:t>
      </w:r>
      <w:r>
        <w:rPr>
          <w:i/>
        </w:rPr>
        <w:t>See</w:t>
      </w:r>
      <w:r>
        <w:t xml:space="preserve"> Tonya Mosley, </w:t>
      </w:r>
      <w:r>
        <w:rPr>
          <w:i/>
        </w:rPr>
        <w:t>Defunding the Police Can Achieve ‘Real Accountability and Justice,’ Black Lives Matter Co-Founder Says</w:t>
      </w:r>
      <w:r>
        <w:t xml:space="preserve">, </w:t>
      </w:r>
      <w:r>
        <w:rPr>
          <w:smallCaps/>
        </w:rPr>
        <w:t>WBUR</w:t>
      </w:r>
      <w:r>
        <w:t xml:space="preserve"> (June 3, 2020), </w:t>
      </w:r>
      <w:r w:rsidRPr="00B80C35">
        <w:t>https://www.wbur.org/hereandnow/2020/06/03/black-lives-matter-co-founder</w:t>
      </w:r>
      <w:r>
        <w:t xml:space="preserve"> (quoting Patrisse </w:t>
      </w:r>
      <w:proofErr w:type="spellStart"/>
      <w:r>
        <w:t>Cullors</w:t>
      </w:r>
      <w:proofErr w:type="spellEnd"/>
      <w:r>
        <w:t>, co-founder of Black Lives Matter as saying, “[W]</w:t>
      </w:r>
      <w:proofErr w:type="spellStart"/>
      <w:r>
        <w:t>e’re</w:t>
      </w:r>
      <w:proofErr w:type="spellEnd"/>
      <w:r>
        <w:t xml:space="preserve"> asking for . . . reinvestment in how we understand what’s needed in our communities. Why is law enforcement the first responders for a mental health crisis . . . ? domestic violence issues . . . ? [and] homelessness?  [T]hose are the first places we can look into.”).</w:t>
      </w:r>
    </w:p>
  </w:footnote>
  <w:footnote w:id="115">
    <w:p w:rsidR="007A1944" w:rsidRPr="00A24FE5" w:rsidRDefault="007A1944" w:rsidP="00350453">
      <w:pPr>
        <w:pStyle w:val="FootnoteText"/>
      </w:pPr>
      <w:r>
        <w:rPr>
          <w:rStyle w:val="FootnoteReference"/>
        </w:rPr>
        <w:footnoteRef/>
      </w:r>
      <w:r>
        <w:t xml:space="preserve"> Nixon, </w:t>
      </w:r>
      <w:r>
        <w:rPr>
          <w:i/>
        </w:rPr>
        <w:t xml:space="preserve">supra </w:t>
      </w:r>
      <w:r>
        <w:t>note ____ (</w:t>
      </w:r>
      <w:r w:rsidRPr="005B1095">
        <w:rPr>
          <w:rFonts w:cs="Times New Roman"/>
        </w:rPr>
        <w:t>I declared total war against heroin and other illicit drugs.”</w:t>
      </w:r>
      <w:r>
        <w:rPr>
          <w:rFonts w:cs="Times New Roman"/>
        </w:rPr>
        <w:t>); Reagan, supra note _ (</w:t>
      </w:r>
      <w:r>
        <w:t xml:space="preserve">analogizing drugs to World War II; </w:t>
      </w:r>
      <w:r w:rsidRPr="005B1095">
        <w:rPr>
          <w:rFonts w:cs="Times New Roman"/>
        </w:rPr>
        <w:t>“now we're in another war for our freedom</w:t>
      </w:r>
      <w:r>
        <w:rPr>
          <w:rFonts w:cs="Times New Roman"/>
        </w:rPr>
        <w:t>”).</w:t>
      </w:r>
    </w:p>
  </w:footnote>
  <w:footnote w:id="116">
    <w:p w:rsidR="007A1944" w:rsidRDefault="007A1944" w:rsidP="00C01143">
      <w:pPr>
        <w:pStyle w:val="FootnoteText"/>
      </w:pPr>
      <w:r>
        <w:rPr>
          <w:rStyle w:val="FootnoteReference"/>
        </w:rPr>
        <w:footnoteRef/>
      </w:r>
      <w:r>
        <w:t xml:space="preserve"> Sullivan &amp; O’Keefe, </w:t>
      </w:r>
      <w:r>
        <w:rPr>
          <w:i/>
        </w:rPr>
        <w:t xml:space="preserve">supra </w:t>
      </w:r>
      <w:r>
        <w:t xml:space="preserve">note ___, at 730 (concluding, after analyzing several years of NYPD data, that “proactive policing,” which </w:t>
      </w:r>
      <w:r>
        <w:rPr>
          <w:smallCaps/>
        </w:rPr>
        <w:t xml:space="preserve"> “</w:t>
      </w:r>
      <w:r>
        <w:t>d</w:t>
      </w:r>
      <w:r w:rsidRPr="00312F69">
        <w:t>isrupts</w:t>
      </w:r>
      <w:r w:rsidRPr="00FE6A8A">
        <w:t xml:space="preserve"> communal life</w:t>
      </w:r>
      <w:r>
        <w:rPr>
          <w:smallCaps/>
        </w:rPr>
        <w:t xml:space="preserve">” </w:t>
      </w:r>
      <w:r>
        <w:t xml:space="preserve">and is defined as prioritizing “high rates of police stops, criminal summonses and aggressive low-level arrests” does not prevent crime and instead “incites more severe criminal acts.”). </w:t>
      </w:r>
    </w:p>
  </w:footnote>
  <w:footnote w:id="117">
    <w:p w:rsidR="007A1944" w:rsidRDefault="007A1944" w:rsidP="00C01143">
      <w:pPr>
        <w:pStyle w:val="FootnoteText"/>
      </w:pPr>
      <w:r>
        <w:rPr>
          <w:rStyle w:val="FootnoteReference"/>
        </w:rPr>
        <w:footnoteRef/>
      </w:r>
      <w:r>
        <w:t xml:space="preserve"> </w:t>
      </w:r>
      <w:r>
        <w:rPr>
          <w:i/>
        </w:rPr>
        <w:t>See, e.g.</w:t>
      </w:r>
      <w:r>
        <w:t xml:space="preserve">, </w:t>
      </w:r>
      <w:proofErr w:type="spellStart"/>
      <w:r>
        <w:t>Natapoff</w:t>
      </w:r>
      <w:proofErr w:type="spellEnd"/>
      <w:r>
        <w:t xml:space="preserve">, </w:t>
      </w:r>
      <w:r>
        <w:rPr>
          <w:i/>
        </w:rPr>
        <w:t xml:space="preserve">supra </w:t>
      </w:r>
      <w:r>
        <w:t>note ___, at 1749 (“Underenforcement has expressive effects: it can validate private violence . . . . [I]</w:t>
      </w:r>
      <w:proofErr w:type="spellStart"/>
      <w:r>
        <w:t>nattentiveness</w:t>
      </w:r>
      <w:proofErr w:type="spellEnd"/>
      <w:r>
        <w:t xml:space="preserve"> to battered women validates male violence.”); </w:t>
      </w:r>
      <w:proofErr w:type="spellStart"/>
      <w:r>
        <w:rPr>
          <w:smallCaps/>
        </w:rPr>
        <w:t>Giffords</w:t>
      </w:r>
      <w:proofErr w:type="spellEnd"/>
      <w:r>
        <w:rPr>
          <w:smallCaps/>
        </w:rPr>
        <w:t xml:space="preserve"> Law </w:t>
      </w:r>
      <w:r w:rsidRPr="00922462">
        <w:rPr>
          <w:smallCaps/>
        </w:rPr>
        <w:t>Center</w:t>
      </w:r>
      <w:r>
        <w:rPr>
          <w:smallCaps/>
        </w:rPr>
        <w:t xml:space="preserve"> to Prevent Gun Violence</w:t>
      </w:r>
      <w:r>
        <w:t xml:space="preserve">, </w:t>
      </w:r>
      <w:r>
        <w:rPr>
          <w:i/>
        </w:rPr>
        <w:t xml:space="preserve">supra </w:t>
      </w:r>
      <w:r>
        <w:t xml:space="preserve">note ____, at </w:t>
      </w:r>
      <w:r w:rsidRPr="00922462">
        <w:t>5</w:t>
      </w:r>
      <w:r>
        <w:t xml:space="preserve"> (arguing that under-protection from the police contributes to gun violence by making communities “less likely to report shootings, cooperate with the police, and serve as witnesses.”). </w:t>
      </w:r>
    </w:p>
  </w:footnote>
  <w:footnote w:id="118">
    <w:p w:rsidR="007A1944" w:rsidRDefault="007A1944" w:rsidP="00C01143">
      <w:pPr>
        <w:pStyle w:val="FootnoteText"/>
      </w:pPr>
      <w:r>
        <w:rPr>
          <w:rStyle w:val="FootnoteReference"/>
        </w:rPr>
        <w:footnoteRef/>
      </w:r>
      <w:r>
        <w:t xml:space="preserve"> </w:t>
      </w:r>
      <w:r>
        <w:rPr>
          <w:i/>
        </w:rPr>
        <w:t>See, e.g.</w:t>
      </w:r>
      <w:r>
        <w:t xml:space="preserve">, </w:t>
      </w:r>
      <w:proofErr w:type="spellStart"/>
      <w:r>
        <w:rPr>
          <w:i/>
        </w:rPr>
        <w:t>Kisela</w:t>
      </w:r>
      <w:proofErr w:type="spellEnd"/>
      <w:r>
        <w:rPr>
          <w:i/>
        </w:rPr>
        <w:t xml:space="preserve">, </w:t>
      </w:r>
      <w:r>
        <w:t xml:space="preserve">138 S. Ct. at 1155 (2018) (Sotomayor, J., dissenting) </w:t>
      </w:r>
      <w:r>
        <w:rPr>
          <w:rFonts w:cs="Times New Roman"/>
        </w:rPr>
        <w:t xml:space="preserve">(“[T]he Court misapprehends the facts and misapplies the law, effectively treating qualified immunity as an absolute shield.”); </w:t>
      </w:r>
      <w:r>
        <w:rPr>
          <w:smallCaps/>
        </w:rPr>
        <w:t xml:space="preserve">ACLU, </w:t>
      </w:r>
      <w:r>
        <w:rPr>
          <w:i/>
        </w:rPr>
        <w:t xml:space="preserve">supra </w:t>
      </w:r>
      <w:r>
        <w:t xml:space="preserve">note ___ (characterizing qualified immunity as a “loophole allowing government officials to escape accountability for violating constitutional rights” and the Supreme Court’s unwillingness to hear a  challenge to it as “deeply disappointing.”); Cato Institute, </w:t>
      </w:r>
      <w:r>
        <w:rPr>
          <w:i/>
        </w:rPr>
        <w:t xml:space="preserve">supra </w:t>
      </w:r>
      <w:r>
        <w:t xml:space="preserve">note ___ (“The end result [of qualified immunity jurisprudence] is that police may get away with egregious unlawful conduct . . . .”).  </w:t>
      </w:r>
    </w:p>
  </w:footnote>
  <w:footnote w:id="119">
    <w:p w:rsidR="007A1944" w:rsidRDefault="007A1944" w:rsidP="00350453">
      <w:pPr>
        <w:pStyle w:val="FootnoteText"/>
      </w:pPr>
      <w:r>
        <w:rPr>
          <w:rStyle w:val="FootnoteReference"/>
        </w:rPr>
        <w:footnoteRef/>
      </w:r>
      <w:r>
        <w:t xml:space="preserve"> </w:t>
      </w:r>
      <w:r>
        <w:rPr>
          <w:i/>
        </w:rPr>
        <w:t xml:space="preserve">See </w:t>
      </w:r>
      <w:r>
        <w:t xml:space="preserve">Schwartz, </w:t>
      </w:r>
      <w:r>
        <w:rPr>
          <w:i/>
        </w:rPr>
        <w:t xml:space="preserve">supra </w:t>
      </w:r>
      <w:r>
        <w:t>note ____, at 890 (concluding, after analyzing data from forty-four of the largest law enforcement agencies in the U.S., that “[p]</w:t>
      </w:r>
      <w:proofErr w:type="spellStart"/>
      <w:r>
        <w:t>olice</w:t>
      </w:r>
      <w:proofErr w:type="spellEnd"/>
      <w:r>
        <w:t xml:space="preserve"> officers are virtually always indemnified.”).</w:t>
      </w:r>
    </w:p>
  </w:footnote>
  <w:footnote w:id="120">
    <w:p w:rsidR="007A1944" w:rsidRDefault="007A1944">
      <w:pPr>
        <w:pStyle w:val="FootnoteText"/>
      </w:pPr>
      <w:r>
        <w:rPr>
          <w:rStyle w:val="FootnoteReference"/>
        </w:rPr>
        <w:footnoteRef/>
      </w:r>
      <w:r>
        <w:t xml:space="preserve"> RA* need support</w:t>
      </w:r>
    </w:p>
  </w:footnote>
  <w:footnote w:id="121">
    <w:p w:rsidR="007A1944" w:rsidRDefault="007A1944" w:rsidP="00C01143">
      <w:pPr>
        <w:pStyle w:val="FootnoteText"/>
      </w:pPr>
      <w:r>
        <w:rPr>
          <w:rStyle w:val="FootnoteReference"/>
        </w:rPr>
        <w:footnoteRef/>
      </w:r>
      <w:r>
        <w:t xml:space="preserve"> </w:t>
      </w:r>
      <w:r w:rsidRPr="00054A8C">
        <w:rPr>
          <w:i/>
        </w:rPr>
        <w:t>See</w:t>
      </w:r>
      <w:r>
        <w:t xml:space="preserve"> </w:t>
      </w:r>
      <w:proofErr w:type="spellStart"/>
      <w:r>
        <w:rPr>
          <w:i/>
        </w:rPr>
        <w:t>Monell</w:t>
      </w:r>
      <w:proofErr w:type="spellEnd"/>
      <w:r>
        <w:rPr>
          <w:i/>
        </w:rPr>
        <w:t xml:space="preserve"> v. Dep’t of Social Services of N.Y.C.</w:t>
      </w:r>
      <w:r>
        <w:t xml:space="preserve">, 436 U.S. 658, 690-91 (1978) (holding that “a municipality cannot be held liable under § 1983 on a </w:t>
      </w:r>
      <w:proofErr w:type="spellStart"/>
      <w:r>
        <w:rPr>
          <w:i/>
        </w:rPr>
        <w:t>respondeat</w:t>
      </w:r>
      <w:proofErr w:type="spellEnd"/>
      <w:r>
        <w:rPr>
          <w:i/>
        </w:rPr>
        <w:t xml:space="preserve"> superior </w:t>
      </w:r>
      <w:r>
        <w:t xml:space="preserve">theory. . . .” and can instead only be held liable if an employee was acting “pursuant to official municipal policy” or “governmental ‘custom’”).  Municipalities also can be held liable for actions their employees take if the employees taking improper action are inadequately trained, </w:t>
      </w:r>
      <w:r>
        <w:rPr>
          <w:i/>
        </w:rPr>
        <w:t>City of Canton v. Geraldine</w:t>
      </w:r>
      <w:r>
        <w:t xml:space="preserve">, 489 U.S. 378, 380 (1989), or improperly hired, </w:t>
      </w:r>
      <w:r>
        <w:rPr>
          <w:i/>
        </w:rPr>
        <w:t xml:space="preserve">Bd. of the </w:t>
      </w:r>
      <w:proofErr w:type="spellStart"/>
      <w:r>
        <w:rPr>
          <w:i/>
        </w:rPr>
        <w:t>Cty</w:t>
      </w:r>
      <w:proofErr w:type="spellEnd"/>
      <w:r>
        <w:rPr>
          <w:i/>
        </w:rPr>
        <w:t>. Comm’rs v. Brown</w:t>
      </w:r>
      <w:r>
        <w:t>, 520 U.S. 397, 411-12 (1997).</w:t>
      </w:r>
    </w:p>
  </w:footnote>
  <w:footnote w:id="122">
    <w:p w:rsidR="007A1944" w:rsidRPr="00A53C6D" w:rsidRDefault="007A1944" w:rsidP="00C01143">
      <w:pPr>
        <w:pStyle w:val="FootnoteText"/>
      </w:pPr>
      <w:r>
        <w:rPr>
          <w:rStyle w:val="FootnoteReference"/>
        </w:rPr>
        <w:footnoteRef/>
      </w:r>
      <w:r>
        <w:t xml:space="preserve"> </w:t>
      </w:r>
      <w:r>
        <w:rPr>
          <w:i/>
        </w:rPr>
        <w:t xml:space="preserve">See </w:t>
      </w:r>
      <w:r>
        <w:t xml:space="preserve">Schwartz, </w:t>
      </w:r>
      <w:r>
        <w:rPr>
          <w:i/>
        </w:rPr>
        <w:t xml:space="preserve">supra </w:t>
      </w:r>
      <w:r>
        <w:t>note ___, at 956-57 (“Few police departments had ready access to information about the number of lawsuits filed against their department and officers, [or about] the amount paid in settlements and judgments. . . [E]</w:t>
      </w:r>
      <w:proofErr w:type="spellStart"/>
      <w:r>
        <w:t>vidence</w:t>
      </w:r>
      <w:proofErr w:type="spellEnd"/>
      <w:r>
        <w:t xml:space="preserve"> suggests that police litigation costs are often paid from a city’s general budget . . with limited or no direct impact on the finances of the police department.”).  </w:t>
      </w:r>
    </w:p>
  </w:footnote>
  <w:footnote w:id="123">
    <w:p w:rsidR="007A1944" w:rsidRDefault="007A1944" w:rsidP="00C01143">
      <w:pPr>
        <w:pStyle w:val="FootnoteText"/>
      </w:pPr>
      <w:r>
        <w:rPr>
          <w:rStyle w:val="FootnoteReference"/>
        </w:rPr>
        <w:footnoteRef/>
      </w:r>
      <w:r>
        <w:t xml:space="preserve"> </w:t>
      </w:r>
      <w:r>
        <w:rPr>
          <w:i/>
        </w:rPr>
        <w:t xml:space="preserve">See </w:t>
      </w:r>
      <w:proofErr w:type="spellStart"/>
      <w:r>
        <w:t>Skocpol</w:t>
      </w:r>
      <w:proofErr w:type="spellEnd"/>
      <w:r>
        <w:t xml:space="preserve">, </w:t>
      </w:r>
      <w:r>
        <w:rPr>
          <w:i/>
        </w:rPr>
        <w:t xml:space="preserve">supra </w:t>
      </w:r>
      <w:r>
        <w:t>note ____, at 312-21. (outlining the evolution of the American welfare state from the late 1800s to the 1990s and the political forces driving each step).</w:t>
      </w:r>
    </w:p>
  </w:footnote>
  <w:footnote w:id="124">
    <w:p w:rsidR="007A1944" w:rsidRPr="008A4AA3" w:rsidRDefault="007A1944" w:rsidP="00C01143">
      <w:pPr>
        <w:pStyle w:val="FootnoteText"/>
      </w:pPr>
      <w:r>
        <w:rPr>
          <w:rStyle w:val="FootnoteReference"/>
        </w:rPr>
        <w:footnoteRef/>
      </w:r>
      <w:r>
        <w:t xml:space="preserve"> </w:t>
      </w:r>
      <w:r>
        <w:rPr>
          <w:i/>
        </w:rPr>
        <w:t>See, e.g.</w:t>
      </w:r>
      <w:r>
        <w:t xml:space="preserve">, </w:t>
      </w:r>
      <w:proofErr w:type="spellStart"/>
      <w:r>
        <w:t>Dumenil</w:t>
      </w:r>
      <w:proofErr w:type="spellEnd"/>
      <w:r>
        <w:t xml:space="preserve">, </w:t>
      </w:r>
      <w:r>
        <w:rPr>
          <w:i/>
        </w:rPr>
        <w:t xml:space="preserve">supra </w:t>
      </w:r>
      <w:r>
        <w:t xml:space="preserve">note ____, at 503-511 (tracing the battle waged over the attempt to establish a federal department of education in the 1920s); </w:t>
      </w:r>
      <w:r w:rsidRPr="00062E88">
        <w:rPr>
          <w:smallCaps/>
        </w:rPr>
        <w:t>McDonnell</w:t>
      </w:r>
      <w:r>
        <w:t xml:space="preserve">, </w:t>
      </w:r>
      <w:r>
        <w:rPr>
          <w:i/>
        </w:rPr>
        <w:t xml:space="preserve">supra </w:t>
      </w:r>
      <w:r>
        <w:t xml:space="preserve">note ____ (documenting the debate over the passage of the Housing Act of 1937, the first major Federal Public Housing Legislation); </w:t>
      </w:r>
      <w:r w:rsidRPr="00062E88">
        <w:rPr>
          <w:smallCaps/>
        </w:rPr>
        <w:t>Hinton</w:t>
      </w:r>
      <w:r>
        <w:t xml:space="preserve">, </w:t>
      </w:r>
      <w:r>
        <w:rPr>
          <w:i/>
        </w:rPr>
        <w:t xml:space="preserve">supra </w:t>
      </w:r>
      <w:r>
        <w:t>note ___, at 13-14 (exploring how LBJ’s War on Crime, which funneled massive amounts of resources to police forces, undermined the War on Poverty’s goals to support education, health, housing and welfare programs).</w:t>
      </w:r>
    </w:p>
  </w:footnote>
  <w:footnote w:id="125">
    <w:p w:rsidR="007A1944" w:rsidRPr="004604C4" w:rsidRDefault="007A1944" w:rsidP="00C01143">
      <w:pPr>
        <w:pStyle w:val="FootnoteText"/>
      </w:pPr>
      <w:r>
        <w:rPr>
          <w:rStyle w:val="FootnoteReference"/>
        </w:rPr>
        <w:footnoteRef/>
      </w:r>
      <w:r>
        <w:t xml:space="preserve"> </w:t>
      </w:r>
      <w:r>
        <w:rPr>
          <w:i/>
        </w:rPr>
        <w:t xml:space="preserve">See </w:t>
      </w:r>
      <w:proofErr w:type="spellStart"/>
      <w:r>
        <w:t>Carcasson</w:t>
      </w:r>
      <w:proofErr w:type="spellEnd"/>
      <w:r>
        <w:t xml:space="preserve">, </w:t>
      </w:r>
      <w:r>
        <w:rPr>
          <w:i/>
        </w:rPr>
        <w:t xml:space="preserve">supra </w:t>
      </w:r>
      <w:r>
        <w:t>note ___, at 655 (“[T]he Personal Responsibility and Work Opportunity Reconciliation Act. . . . [eliminated] a 61-year-old federal entitlement . . . replacing it with time limits, work requirements, and block grants . . . .”).</w:t>
      </w:r>
    </w:p>
  </w:footnote>
  <w:footnote w:id="126">
    <w:p w:rsidR="007A1944" w:rsidRDefault="007A1944" w:rsidP="00C01143">
      <w:pPr>
        <w:pStyle w:val="FootnoteText"/>
      </w:pPr>
      <w:r>
        <w:rPr>
          <w:rStyle w:val="FootnoteReference"/>
        </w:rPr>
        <w:footnoteRef/>
      </w:r>
      <w:r>
        <w:t xml:space="preserve"> Kagan, </w:t>
      </w:r>
      <w:r>
        <w:rPr>
          <w:i/>
        </w:rPr>
        <w:t xml:space="preserve">supra </w:t>
      </w:r>
      <w:r w:rsidRPr="00154E4D">
        <w:t>note</w:t>
      </w:r>
      <w:r>
        <w:rPr>
          <w:i/>
        </w:rPr>
        <w:t xml:space="preserve"> </w:t>
      </w:r>
      <w:r>
        <w:rPr>
          <w:i/>
        </w:rPr>
        <w:softHyphen/>
        <w:t xml:space="preserve">____, </w:t>
      </w:r>
      <w:r>
        <w:t>at 185.</w:t>
      </w:r>
    </w:p>
  </w:footnote>
  <w:footnote w:id="127">
    <w:p w:rsidR="007A1944" w:rsidRPr="00EB04CF" w:rsidRDefault="007A1944" w:rsidP="00C01143">
      <w:pPr>
        <w:pStyle w:val="FootnoteText"/>
      </w:pPr>
      <w:r>
        <w:rPr>
          <w:rStyle w:val="FootnoteReference"/>
        </w:rPr>
        <w:footnoteRef/>
      </w:r>
      <w:r>
        <w:t xml:space="preserve"> Justice Dep’t, </w:t>
      </w:r>
      <w:r>
        <w:rPr>
          <w:i/>
        </w:rPr>
        <w:t xml:space="preserve">supra </w:t>
      </w:r>
      <w:r>
        <w:t xml:space="preserve">note ____ (describing how crime bill facilitated “putting 100,000 police on America’s streets.”); </w:t>
      </w:r>
      <w:proofErr w:type="spellStart"/>
      <w:r>
        <w:t>Ofer</w:t>
      </w:r>
      <w:proofErr w:type="spellEnd"/>
      <w:r>
        <w:t xml:space="preserve">, </w:t>
      </w:r>
      <w:r>
        <w:rPr>
          <w:i/>
        </w:rPr>
        <w:t xml:space="preserve">supra </w:t>
      </w:r>
      <w:r>
        <w:t>note ____ (“The federal crime bill . . . encouraged mass incarceration to grow even further.”).</w:t>
      </w:r>
    </w:p>
  </w:footnote>
  <w:footnote w:id="128">
    <w:p w:rsidR="007A1944" w:rsidRPr="008A4AA3" w:rsidRDefault="007A1944" w:rsidP="00C01143">
      <w:pPr>
        <w:pStyle w:val="FootnoteText"/>
      </w:pPr>
      <w:r>
        <w:rPr>
          <w:rStyle w:val="FootnoteReference"/>
        </w:rPr>
        <w:footnoteRef/>
      </w:r>
      <w:r>
        <w:t xml:space="preserve"> Alexander, </w:t>
      </w:r>
      <w:r>
        <w:rPr>
          <w:i/>
        </w:rPr>
        <w:t xml:space="preserve">supra </w:t>
      </w:r>
      <w:r>
        <w:t>note ____, at 57 (“</w:t>
      </w:r>
      <w:r>
        <w:rPr>
          <w:rFonts w:cs="Times New Roman"/>
        </w:rPr>
        <w:t>[T]he dramatic shift toward punitiveness resulted in a massive reallocation of public resources. By 1996, the penal budget doubled the amount that had been allocated to AFDC or food stamps. Similarly, funding that had once been used for public housing was being redirected to prison construction. During Clinton’s tenure, Washington slashed funding for public housing by $17 billion (a reduction of 61 percent) and boosted corrections by $19 billion (an increase of 171 percent) . . . .”).</w:t>
      </w:r>
    </w:p>
  </w:footnote>
  <w:footnote w:id="129">
    <w:p w:rsidR="007A1944" w:rsidRPr="00FA2A62" w:rsidRDefault="007A1944" w:rsidP="00C01143">
      <w:pPr>
        <w:pStyle w:val="FootnoteText"/>
      </w:pPr>
      <w:r>
        <w:rPr>
          <w:rStyle w:val="FootnoteReference"/>
        </w:rPr>
        <w:footnoteRef/>
      </w:r>
      <w:r>
        <w:t xml:space="preserve"> </w:t>
      </w:r>
      <w:r w:rsidRPr="00A07332">
        <w:rPr>
          <w:smallCaps/>
        </w:rPr>
        <w:t>U.S. Dep’t of Educ</w:t>
      </w:r>
      <w:r>
        <w:t xml:space="preserve">., </w:t>
      </w:r>
      <w:r>
        <w:rPr>
          <w:i/>
        </w:rPr>
        <w:t xml:space="preserve">supra </w:t>
      </w:r>
      <w:r>
        <w:t>note ____.</w:t>
      </w:r>
    </w:p>
  </w:footnote>
  <w:footnote w:id="130">
    <w:p w:rsidR="007A1944" w:rsidRPr="00A03856" w:rsidRDefault="007A1944" w:rsidP="00C01143">
      <w:pPr>
        <w:pStyle w:val="FootnoteText"/>
      </w:pPr>
      <w:r>
        <w:rPr>
          <w:rStyle w:val="FootnoteReference"/>
        </w:rPr>
        <w:footnoteRef/>
      </w:r>
      <w:r>
        <w:t xml:space="preserve"> </w:t>
      </w:r>
      <w:r>
        <w:rPr>
          <w:i/>
        </w:rPr>
        <w:t xml:space="preserve">See </w:t>
      </w:r>
      <w:r>
        <w:t xml:space="preserve">Alexander, </w:t>
      </w:r>
      <w:r>
        <w:rPr>
          <w:i/>
        </w:rPr>
        <w:t xml:space="preserve">supra </w:t>
      </w:r>
      <w:r>
        <w:t xml:space="preserve">note ____, at 253 (“Obama’s budget for law enforcement is actually worse than the Bush administration’s in terms of dollars devoted to prevention and drug treatment as opposed to law enforcement.”). </w:t>
      </w:r>
    </w:p>
  </w:footnote>
  <w:footnote w:id="131">
    <w:p w:rsidR="007A1944" w:rsidRPr="002C3231" w:rsidRDefault="007A1944" w:rsidP="00C01143">
      <w:pPr>
        <w:pStyle w:val="FootnoteText"/>
      </w:pPr>
      <w:r>
        <w:rPr>
          <w:rStyle w:val="FootnoteReference"/>
        </w:rPr>
        <w:footnoteRef/>
      </w:r>
      <w:r>
        <w:t xml:space="preserve"> </w:t>
      </w:r>
      <w:r>
        <w:rPr>
          <w:i/>
        </w:rPr>
        <w:t>Compare</w:t>
      </w:r>
      <w:r>
        <w:t xml:space="preserve"> Fernandez, </w:t>
      </w:r>
      <w:r>
        <w:rPr>
          <w:i/>
        </w:rPr>
        <w:t xml:space="preserve">supra </w:t>
      </w:r>
      <w:r>
        <w:t xml:space="preserve">note ___  (“Funneling so many resources into law enforcement . . . has caused significant harm to communities. Police violence is actually a leading cause of death for Black men . . . .”) </w:t>
      </w:r>
      <w:r>
        <w:rPr>
          <w:i/>
        </w:rPr>
        <w:t xml:space="preserve">with </w:t>
      </w:r>
      <w:proofErr w:type="spellStart"/>
      <w:r>
        <w:t>DeParle</w:t>
      </w:r>
      <w:proofErr w:type="spellEnd"/>
      <w:r>
        <w:t xml:space="preserve">, </w:t>
      </w:r>
      <w:r>
        <w:rPr>
          <w:i/>
        </w:rPr>
        <w:t xml:space="preserve">supra </w:t>
      </w:r>
      <w:r>
        <w:t>note ____ (documenting that the CARES Act, which will likely result in a $460 billion increase in spending on the safety net this year has “prevented the rise in poverty that experts predicted [due to COVID-19] . . . [and] done much to protect the needy . . . .”).</w:t>
      </w:r>
    </w:p>
  </w:footnote>
  <w:footnote w:id="132">
    <w:p w:rsidR="007A1944" w:rsidRPr="00A50872" w:rsidRDefault="007A1944" w:rsidP="00C01143">
      <w:pPr>
        <w:pStyle w:val="FootnoteText"/>
      </w:pPr>
      <w:r>
        <w:rPr>
          <w:rStyle w:val="FootnoteReference"/>
        </w:rPr>
        <w:footnoteRef/>
      </w:r>
      <w:r>
        <w:t xml:space="preserve"> </w:t>
      </w:r>
      <w:r>
        <w:rPr>
          <w:i/>
        </w:rPr>
        <w:t>See, e.g.</w:t>
      </w:r>
      <w:r>
        <w:t xml:space="preserve">, </w:t>
      </w:r>
      <w:proofErr w:type="spellStart"/>
      <w:r>
        <w:t>Doubek</w:t>
      </w:r>
      <w:proofErr w:type="spellEnd"/>
      <w:r>
        <w:t xml:space="preserve">, </w:t>
      </w:r>
      <w:r>
        <w:rPr>
          <w:i/>
        </w:rPr>
        <w:t xml:space="preserve">supra </w:t>
      </w:r>
      <w:r>
        <w:t xml:space="preserve">note ___ (quoting Mayor Muriel Bowser as saying that she was “not at all” reconsidering her proposed budget, which increased police spending); Jackman, </w:t>
      </w:r>
      <w:r>
        <w:rPr>
          <w:i/>
        </w:rPr>
        <w:t xml:space="preserve">supra </w:t>
      </w:r>
      <w:r>
        <w:t xml:space="preserve">note ____ (reporting that the African American Mayors Association, a group of Black mayors in the U.S., “does not favor ‘defunding the police.’”); Toledo, </w:t>
      </w:r>
      <w:r>
        <w:rPr>
          <w:i/>
        </w:rPr>
        <w:t xml:space="preserve">supra </w:t>
      </w:r>
      <w:r>
        <w:t xml:space="preserve">note ____ (reporting that Mayor of San Jose, Cal. Sam </w:t>
      </w:r>
      <w:proofErr w:type="spellStart"/>
      <w:r>
        <w:t>Liccardo</w:t>
      </w:r>
      <w:proofErr w:type="spellEnd"/>
      <w:r>
        <w:t xml:space="preserve"> rejected calls to cut police funding after George Floyd’s murder). </w:t>
      </w:r>
    </w:p>
  </w:footnote>
  <w:footnote w:id="133">
    <w:p w:rsidR="007A1944" w:rsidRPr="00825C5C" w:rsidRDefault="007A1944" w:rsidP="00C01143">
      <w:pPr>
        <w:pStyle w:val="FootnoteText"/>
      </w:pPr>
      <w:r>
        <w:rPr>
          <w:rStyle w:val="FootnoteReference"/>
        </w:rPr>
        <w:footnoteRef/>
      </w:r>
      <w:r>
        <w:t xml:space="preserve"> </w:t>
      </w:r>
      <w:r>
        <w:rPr>
          <w:i/>
        </w:rPr>
        <w:t xml:space="preserve">Compare </w:t>
      </w:r>
      <w:r>
        <w:t xml:space="preserve">WBKO News Staff, </w:t>
      </w:r>
      <w:r>
        <w:rPr>
          <w:i/>
        </w:rPr>
        <w:t xml:space="preserve">supra </w:t>
      </w:r>
      <w:r>
        <w:t xml:space="preserve">note ____ (quoting Kentucky. Governor Matthew Bevin as stating, “we are grateful for their [Kentucky state police troopers] sacrificial service, we pray for their safety, and we commit to support them even as they serve and protect us”), </w:t>
      </w:r>
      <w:r>
        <w:rPr>
          <w:i/>
        </w:rPr>
        <w:t>with</w:t>
      </w:r>
      <w:r>
        <w:t xml:space="preserve"> </w:t>
      </w:r>
      <w:proofErr w:type="spellStart"/>
      <w:r>
        <w:t>Novelly</w:t>
      </w:r>
      <w:proofErr w:type="spellEnd"/>
      <w:r>
        <w:t xml:space="preserve">, </w:t>
      </w:r>
      <w:r>
        <w:rPr>
          <w:i/>
        </w:rPr>
        <w:t xml:space="preserve">supra </w:t>
      </w:r>
      <w:r>
        <w:t xml:space="preserve">note ____ (reporting that K.Y. Governor Matthew Bevin, in reaction to teacher strikes, stated, “[t]his is a group of people just throwing a temper tantrum”). </w:t>
      </w:r>
    </w:p>
  </w:footnote>
  <w:footnote w:id="134">
    <w:p w:rsidR="007A1944" w:rsidRPr="002F7107" w:rsidRDefault="007A1944" w:rsidP="00C01143">
      <w:pPr>
        <w:pStyle w:val="FootnoteText"/>
      </w:pPr>
      <w:r>
        <w:rPr>
          <w:rStyle w:val="FootnoteReference"/>
        </w:rPr>
        <w:footnoteRef/>
      </w:r>
      <w:r>
        <w:t xml:space="preserve"> </w:t>
      </w:r>
      <w:r>
        <w:rPr>
          <w:i/>
        </w:rPr>
        <w:t xml:space="preserve">See </w:t>
      </w:r>
      <w:r>
        <w:t xml:space="preserve">Phillips, </w:t>
      </w:r>
      <w:r>
        <w:rPr>
          <w:i/>
        </w:rPr>
        <w:t xml:space="preserve">supra </w:t>
      </w:r>
      <w:r>
        <w:t>note ____, at 1663 (“A survey of all staff members at a forensic psychiatric hospital showed that . . . the annual incidence of physical assault was 70%. Among psychiatric aides, the rate is 69 times the national rate of violence in the workplace.”).</w:t>
      </w:r>
    </w:p>
  </w:footnote>
  <w:footnote w:id="135">
    <w:p w:rsidR="007A1944" w:rsidRPr="00EA01CC" w:rsidRDefault="007A1944" w:rsidP="00C01143">
      <w:pPr>
        <w:pStyle w:val="FootnoteText"/>
      </w:pPr>
      <w:r>
        <w:rPr>
          <w:rStyle w:val="FootnoteReference"/>
        </w:rPr>
        <w:footnoteRef/>
      </w:r>
      <w:r>
        <w:t xml:space="preserve"> </w:t>
      </w:r>
      <w:r>
        <w:rPr>
          <w:i/>
        </w:rPr>
        <w:t xml:space="preserve">See </w:t>
      </w:r>
      <w:proofErr w:type="spellStart"/>
      <w:r>
        <w:t>Kiersz</w:t>
      </w:r>
      <w:proofErr w:type="spellEnd"/>
      <w:r>
        <w:t xml:space="preserve"> &amp; Hoff, </w:t>
      </w:r>
      <w:r>
        <w:rPr>
          <w:i/>
        </w:rPr>
        <w:t xml:space="preserve">supra </w:t>
      </w:r>
      <w:r>
        <w:t xml:space="preserve">note ____ (reporting that, according to Bureau of Labor Statistics, in 2018, police and sheriff’s patrol officers have the 16th deadliest job in the U.S., behind jobs such as logging and fishing). </w:t>
      </w:r>
    </w:p>
  </w:footnote>
  <w:footnote w:id="136">
    <w:p w:rsidR="007A1944" w:rsidRPr="00B42D1A" w:rsidRDefault="007A1944" w:rsidP="00C01143">
      <w:pPr>
        <w:pStyle w:val="FootnoteText"/>
      </w:pPr>
      <w:r>
        <w:rPr>
          <w:rStyle w:val="FootnoteReference"/>
        </w:rPr>
        <w:footnoteRef/>
      </w:r>
      <w:r>
        <w:t xml:space="preserve"> </w:t>
      </w:r>
      <w:r>
        <w:rPr>
          <w:i/>
        </w:rPr>
        <w:t xml:space="preserve">See </w:t>
      </w:r>
      <w:r>
        <w:t xml:space="preserve">Nat’l </w:t>
      </w:r>
      <w:proofErr w:type="spellStart"/>
      <w:r>
        <w:t>Ass’n</w:t>
      </w:r>
      <w:proofErr w:type="spellEnd"/>
      <w:r>
        <w:t xml:space="preserve"> of Social Workers, </w:t>
      </w:r>
      <w:r>
        <w:rPr>
          <w:i/>
        </w:rPr>
        <w:t xml:space="preserve">supra </w:t>
      </w:r>
      <w:r>
        <w:t xml:space="preserve">note ____ (explaining that social workers, in providing essential mental health care services to individuals, are subject to increasing “tragic incidences of violence. . . .”). </w:t>
      </w:r>
    </w:p>
  </w:footnote>
  <w:footnote w:id="137">
    <w:p w:rsidR="007A1944" w:rsidRPr="00BE04C1" w:rsidRDefault="007A1944" w:rsidP="00C01143">
      <w:pPr>
        <w:pStyle w:val="FootnoteText"/>
      </w:pPr>
      <w:r>
        <w:rPr>
          <w:rStyle w:val="FootnoteReference"/>
        </w:rPr>
        <w:footnoteRef/>
      </w:r>
      <w:r>
        <w:t xml:space="preserve"> </w:t>
      </w:r>
      <w:r>
        <w:rPr>
          <w:i/>
        </w:rPr>
        <w:t xml:space="preserve">See </w:t>
      </w:r>
      <w:proofErr w:type="spellStart"/>
      <w:r>
        <w:t>Schwirtz</w:t>
      </w:r>
      <w:proofErr w:type="spellEnd"/>
      <w:r>
        <w:t xml:space="preserve">, </w:t>
      </w:r>
      <w:r>
        <w:rPr>
          <w:i/>
        </w:rPr>
        <w:t xml:space="preserve">supra </w:t>
      </w:r>
      <w:r>
        <w:t xml:space="preserve">note ____ (“The coronavirus pandemic . . . is beginning to take a toll on those who are most needed to combat it: the doctors, nurses and other workers at hospitals . . . . Medical workers are still showing up day after day . . .”). </w:t>
      </w:r>
    </w:p>
  </w:footnote>
  <w:footnote w:id="138">
    <w:p w:rsidR="007A1944" w:rsidRPr="004618FC" w:rsidRDefault="007A1944" w:rsidP="00C01143">
      <w:pPr>
        <w:pStyle w:val="FootnoteText"/>
      </w:pPr>
      <w:r>
        <w:rPr>
          <w:rStyle w:val="FootnoteReference"/>
        </w:rPr>
        <w:footnoteRef/>
      </w:r>
      <w:r>
        <w:t xml:space="preserve"> </w:t>
      </w:r>
      <w:proofErr w:type="spellStart"/>
      <w:r>
        <w:t>Corasaniti</w:t>
      </w:r>
      <w:proofErr w:type="spellEnd"/>
      <w:r>
        <w:t xml:space="preserve">, </w:t>
      </w:r>
      <w:r>
        <w:rPr>
          <w:i/>
        </w:rPr>
        <w:t xml:space="preserve">supra </w:t>
      </w:r>
      <w:r>
        <w:t xml:space="preserve">note ___. </w:t>
      </w:r>
    </w:p>
  </w:footnote>
  <w:footnote w:id="139">
    <w:p w:rsidR="007A1944" w:rsidRPr="007830A8" w:rsidRDefault="007A1944" w:rsidP="00C01143">
      <w:pPr>
        <w:pStyle w:val="FootnoteText"/>
      </w:pPr>
      <w:r>
        <w:rPr>
          <w:rStyle w:val="FootnoteReference"/>
        </w:rPr>
        <w:footnoteRef/>
      </w:r>
      <w:r>
        <w:t xml:space="preserve"> Allaire, Wu, &amp; </w:t>
      </w:r>
      <w:proofErr w:type="spellStart"/>
      <w:r>
        <w:t>Lall</w:t>
      </w:r>
      <w:proofErr w:type="spellEnd"/>
      <w:r>
        <w:t xml:space="preserve">, </w:t>
      </w:r>
      <w:r>
        <w:rPr>
          <w:i/>
        </w:rPr>
        <w:t xml:space="preserve">supra </w:t>
      </w:r>
      <w:r>
        <w:t>note ____, at 2079.</w:t>
      </w:r>
    </w:p>
  </w:footnote>
  <w:footnote w:id="140">
    <w:p w:rsidR="007A1944" w:rsidRPr="003B3CB5" w:rsidRDefault="007A1944" w:rsidP="00C01143">
      <w:pPr>
        <w:pStyle w:val="FootnoteText"/>
      </w:pPr>
      <w:r>
        <w:rPr>
          <w:rStyle w:val="FootnoteReference"/>
        </w:rPr>
        <w:footnoteRef/>
      </w:r>
      <w:r>
        <w:t xml:space="preserve"> U.S. Dep’t of Agric., </w:t>
      </w:r>
      <w:r>
        <w:rPr>
          <w:i/>
        </w:rPr>
        <w:t xml:space="preserve">supra </w:t>
      </w:r>
      <w:r>
        <w:t>note ___.</w:t>
      </w:r>
    </w:p>
  </w:footnote>
  <w:footnote w:id="141">
    <w:p w:rsidR="007A1944" w:rsidRPr="00774D7C" w:rsidRDefault="007A1944" w:rsidP="00C01143">
      <w:pPr>
        <w:pStyle w:val="FootnoteText"/>
      </w:pPr>
      <w:r>
        <w:rPr>
          <w:rStyle w:val="FootnoteReference"/>
        </w:rPr>
        <w:footnoteRef/>
      </w:r>
      <w:r>
        <w:t xml:space="preserve"> U.S. Dep’t of Agric., </w:t>
      </w:r>
      <w:r>
        <w:rPr>
          <w:i/>
        </w:rPr>
        <w:t xml:space="preserve">supra </w:t>
      </w:r>
      <w:r>
        <w:t>note ___.</w:t>
      </w:r>
    </w:p>
  </w:footnote>
  <w:footnote w:id="142">
    <w:p w:rsidR="007A1944" w:rsidRPr="00B445D5" w:rsidRDefault="007A1944" w:rsidP="00C01143">
      <w:pPr>
        <w:pStyle w:val="FootnoteText"/>
      </w:pPr>
      <w:r>
        <w:rPr>
          <w:rStyle w:val="FootnoteReference"/>
        </w:rPr>
        <w:footnoteRef/>
      </w:r>
      <w:r>
        <w:t xml:space="preserve"> </w:t>
      </w:r>
      <w:r>
        <w:rPr>
          <w:smallCaps/>
        </w:rPr>
        <w:t xml:space="preserve">Office of </w:t>
      </w:r>
      <w:proofErr w:type="spellStart"/>
      <w:r>
        <w:rPr>
          <w:smallCaps/>
        </w:rPr>
        <w:t>Cmty</w:t>
      </w:r>
      <w:proofErr w:type="spellEnd"/>
      <w:r>
        <w:rPr>
          <w:smallCaps/>
        </w:rPr>
        <w:t xml:space="preserve">. Planning &amp; Dev., U.S. Dep’t of </w:t>
      </w:r>
      <w:proofErr w:type="spellStart"/>
      <w:r>
        <w:rPr>
          <w:smallCaps/>
        </w:rPr>
        <w:t>Hous</w:t>
      </w:r>
      <w:proofErr w:type="spellEnd"/>
      <w:r>
        <w:rPr>
          <w:smallCaps/>
        </w:rPr>
        <w:t>. &amp; Urban Dev.</w:t>
      </w:r>
      <w:r>
        <w:t xml:space="preserve">, </w:t>
      </w:r>
      <w:r>
        <w:rPr>
          <w:smallCaps/>
        </w:rPr>
        <w:t xml:space="preserve">The 2018 Homelessness Assessment Report, </w:t>
      </w:r>
      <w:r>
        <w:rPr>
          <w:i/>
        </w:rPr>
        <w:t xml:space="preserve">supra </w:t>
      </w:r>
      <w:r>
        <w:t>note ___, at 10 exhibit 1.1.</w:t>
      </w:r>
    </w:p>
  </w:footnote>
  <w:footnote w:id="143">
    <w:p w:rsidR="007A1944" w:rsidRPr="003E233D" w:rsidRDefault="007A1944" w:rsidP="00C01143">
      <w:pPr>
        <w:pStyle w:val="FootnoteText"/>
      </w:pPr>
      <w:r>
        <w:rPr>
          <w:rStyle w:val="FootnoteReference"/>
        </w:rPr>
        <w:footnoteRef/>
      </w:r>
      <w:r>
        <w:t xml:space="preserve"> </w:t>
      </w:r>
      <w:r>
        <w:rPr>
          <w:i/>
        </w:rPr>
        <w:t>See</w:t>
      </w:r>
      <w:r>
        <w:t xml:space="preserve"> </w:t>
      </w:r>
      <w:r>
        <w:rPr>
          <w:smallCaps/>
        </w:rPr>
        <w:t xml:space="preserve">Nat’l Law Ctr. on Homelessness &amp; Poverty, </w:t>
      </w:r>
      <w:r>
        <w:rPr>
          <w:i/>
        </w:rPr>
        <w:t xml:space="preserve">supra </w:t>
      </w:r>
      <w:r>
        <w:t>note ___, at 12 (detailing who is included in HUD’s point-in-time homelessness count).</w:t>
      </w:r>
    </w:p>
  </w:footnote>
  <w:footnote w:id="144">
    <w:p w:rsidR="007A1944" w:rsidRPr="000571D6" w:rsidRDefault="007A1944" w:rsidP="00C01143">
      <w:pPr>
        <w:rPr>
          <w:sz w:val="20"/>
          <w:szCs w:val="20"/>
        </w:rPr>
      </w:pPr>
      <w:r w:rsidRPr="00F02448">
        <w:rPr>
          <w:rStyle w:val="FootnoteReference"/>
          <w:szCs w:val="20"/>
        </w:rPr>
        <w:footnoteRef/>
      </w:r>
      <w:r w:rsidRPr="00F02448">
        <w:rPr>
          <w:sz w:val="20"/>
          <w:szCs w:val="20"/>
        </w:rPr>
        <w:t xml:space="preserve"> </w:t>
      </w:r>
      <w:r w:rsidRPr="00FB28F8">
        <w:rPr>
          <w:smallCaps/>
          <w:sz w:val="20"/>
          <w:szCs w:val="20"/>
        </w:rPr>
        <w:t xml:space="preserve">U.S. </w:t>
      </w:r>
      <w:proofErr w:type="spellStart"/>
      <w:r w:rsidRPr="00FB28F8">
        <w:rPr>
          <w:smallCaps/>
          <w:sz w:val="20"/>
          <w:szCs w:val="20"/>
        </w:rPr>
        <w:t>Envtl</w:t>
      </w:r>
      <w:proofErr w:type="spellEnd"/>
      <w:r w:rsidRPr="00FB28F8">
        <w:rPr>
          <w:smallCaps/>
          <w:sz w:val="20"/>
          <w:szCs w:val="20"/>
        </w:rPr>
        <w:t>. Prot. Agency, Our Nation’s Air</w:t>
      </w:r>
      <w:r>
        <w:rPr>
          <w:i/>
          <w:sz w:val="20"/>
          <w:szCs w:val="20"/>
        </w:rPr>
        <w:t>,</w:t>
      </w:r>
      <w:r>
        <w:rPr>
          <w:sz w:val="20"/>
          <w:szCs w:val="20"/>
        </w:rPr>
        <w:t xml:space="preserve"> </w:t>
      </w:r>
      <w:r>
        <w:rPr>
          <w:i/>
          <w:sz w:val="20"/>
          <w:szCs w:val="20"/>
        </w:rPr>
        <w:t xml:space="preserve">supra </w:t>
      </w:r>
      <w:r>
        <w:rPr>
          <w:sz w:val="20"/>
          <w:szCs w:val="20"/>
        </w:rPr>
        <w:t>note ___.</w:t>
      </w:r>
    </w:p>
  </w:footnote>
  <w:footnote w:id="145">
    <w:p w:rsidR="007A1944" w:rsidRDefault="007A1944" w:rsidP="00C01143">
      <w:pPr>
        <w:pStyle w:val="FootnoteText"/>
      </w:pPr>
      <w:r>
        <w:rPr>
          <w:rStyle w:val="FootnoteReference"/>
        </w:rPr>
        <w:footnoteRef/>
      </w:r>
      <w:r>
        <w:rPr>
          <w:smallCaps/>
          <w:szCs w:val="20"/>
        </w:rPr>
        <w:t xml:space="preserve"> </w:t>
      </w:r>
      <w:r w:rsidRPr="009E6188">
        <w:rPr>
          <w:smallCaps/>
          <w:szCs w:val="20"/>
        </w:rPr>
        <w:t>American Lung Assoc.</w:t>
      </w:r>
      <w:r>
        <w:rPr>
          <w:smallCaps/>
          <w:szCs w:val="20"/>
        </w:rPr>
        <w:t xml:space="preserve">, </w:t>
      </w:r>
      <w:r>
        <w:rPr>
          <w:i/>
          <w:szCs w:val="20"/>
        </w:rPr>
        <w:t xml:space="preserve">supra </w:t>
      </w:r>
      <w:r>
        <w:rPr>
          <w:szCs w:val="20"/>
        </w:rPr>
        <w:t xml:space="preserve">note ___, at 5; </w:t>
      </w:r>
      <w:proofErr w:type="spellStart"/>
      <w:r w:rsidRPr="00FB28F8">
        <w:rPr>
          <w:smallCaps/>
        </w:rPr>
        <w:t>Envtl</w:t>
      </w:r>
      <w:proofErr w:type="spellEnd"/>
      <w:r w:rsidRPr="00FB28F8">
        <w:rPr>
          <w:smallCaps/>
        </w:rPr>
        <w:t xml:space="preserve">. Prot. Agency, </w:t>
      </w:r>
      <w:r w:rsidRPr="00FB28F8">
        <w:rPr>
          <w:iCs/>
          <w:smallCaps/>
        </w:rPr>
        <w:t>Our Nation’s Air</w:t>
      </w:r>
      <w:r>
        <w:rPr>
          <w:i/>
          <w:iCs/>
        </w:rPr>
        <w:t>, supra</w:t>
      </w:r>
      <w:r>
        <w:t xml:space="preserve"> note __.</w:t>
      </w:r>
    </w:p>
  </w:footnote>
  <w:footnote w:id="146">
    <w:p w:rsidR="007A1944" w:rsidRPr="002A1D9A" w:rsidRDefault="007A1944" w:rsidP="00C01143">
      <w:pPr>
        <w:pStyle w:val="FootnoteText"/>
      </w:pPr>
      <w:r>
        <w:rPr>
          <w:rStyle w:val="FootnoteReference"/>
        </w:rPr>
        <w:footnoteRef/>
      </w:r>
      <w:r>
        <w:t xml:space="preserve"> Nadja Popovich, Livia </w:t>
      </w:r>
      <w:proofErr w:type="spellStart"/>
      <w:r>
        <w:t>Albeck-Ripka</w:t>
      </w:r>
      <w:proofErr w:type="spellEnd"/>
      <w:r>
        <w:t xml:space="preserve">, &amp; Kendra Pierre-Louis, </w:t>
      </w:r>
      <w:r>
        <w:rPr>
          <w:i/>
        </w:rPr>
        <w:t>The Trump Administration Is Reversing 100 Environmental Rules. Here’s the Full List.</w:t>
      </w:r>
      <w:r>
        <w:t xml:space="preserve">, July 15, 2020, </w:t>
      </w:r>
      <w:r w:rsidRPr="00B17267">
        <w:t>https://www.nytimes.com/interactive/2020/climate/trump-environment-rollbacks.html</w:t>
      </w:r>
      <w:r>
        <w:t>.</w:t>
      </w:r>
      <w:r>
        <w:rPr>
          <w:i/>
        </w:rPr>
        <w:t xml:space="preserve"> </w:t>
      </w:r>
    </w:p>
  </w:footnote>
  <w:footnote w:id="147">
    <w:p w:rsidR="007A1944" w:rsidRPr="00AE5DB5" w:rsidRDefault="007A1944" w:rsidP="00C01143">
      <w:pPr>
        <w:rPr>
          <w:sz w:val="20"/>
          <w:szCs w:val="20"/>
        </w:rPr>
      </w:pPr>
      <w:r w:rsidRPr="00AE5DB5">
        <w:rPr>
          <w:rStyle w:val="FootnoteReference"/>
          <w:szCs w:val="20"/>
        </w:rPr>
        <w:footnoteRef/>
      </w:r>
      <w:r>
        <w:rPr>
          <w:sz w:val="20"/>
          <w:szCs w:val="20"/>
        </w:rPr>
        <w:t xml:space="preserve"> </w:t>
      </w:r>
      <w:r>
        <w:rPr>
          <w:i/>
          <w:sz w:val="20"/>
          <w:szCs w:val="20"/>
        </w:rPr>
        <w:t xml:space="preserve">See </w:t>
      </w:r>
      <w:r w:rsidRPr="001F3616">
        <w:rPr>
          <w:smallCaps/>
          <w:sz w:val="20"/>
          <w:szCs w:val="20"/>
        </w:rPr>
        <w:t xml:space="preserve">American Lung Assoc., </w:t>
      </w:r>
      <w:r>
        <w:rPr>
          <w:i/>
          <w:iCs/>
          <w:sz w:val="20"/>
          <w:szCs w:val="20"/>
        </w:rPr>
        <w:t xml:space="preserve">supra </w:t>
      </w:r>
      <w:r>
        <w:rPr>
          <w:iCs/>
          <w:sz w:val="20"/>
          <w:szCs w:val="20"/>
        </w:rPr>
        <w:t>note ____, at</w:t>
      </w:r>
      <w:r>
        <w:rPr>
          <w:iCs/>
          <w:smallCaps/>
          <w:sz w:val="20"/>
          <w:szCs w:val="20"/>
        </w:rPr>
        <w:t xml:space="preserve"> 10</w:t>
      </w:r>
      <w:r>
        <w:rPr>
          <w:smallCaps/>
          <w:sz w:val="20"/>
          <w:szCs w:val="20"/>
        </w:rPr>
        <w:t xml:space="preserve"> </w:t>
      </w:r>
      <w:r>
        <w:rPr>
          <w:sz w:val="20"/>
          <w:szCs w:val="20"/>
        </w:rPr>
        <w:t xml:space="preserve">(reporting that climate change, which causes “warmer weather, different rain patterns and major wildfires” contributes to “continued challenges to long-term progress in reducing harmful air pollution under the Clean Air Act”). </w:t>
      </w:r>
    </w:p>
  </w:footnote>
  <w:footnote w:id="148">
    <w:p w:rsidR="007A1944" w:rsidRPr="00AC176C" w:rsidRDefault="007A1944" w:rsidP="00C01143">
      <w:pPr>
        <w:pStyle w:val="FootnoteText"/>
      </w:pPr>
      <w:r>
        <w:rPr>
          <w:rStyle w:val="FootnoteReference"/>
        </w:rPr>
        <w:footnoteRef/>
      </w:r>
      <w:r>
        <w:t xml:space="preserve"> </w:t>
      </w:r>
      <w:r>
        <w:rPr>
          <w:i/>
        </w:rPr>
        <w:t xml:space="preserve">See </w:t>
      </w:r>
      <w:r>
        <w:t xml:space="preserve">Garfield et. al., </w:t>
      </w:r>
      <w:r>
        <w:rPr>
          <w:i/>
        </w:rPr>
        <w:t xml:space="preserve">supra </w:t>
      </w:r>
      <w:r>
        <w:t>note ___, at 1 (“Those most at risk of being uninsured include low-income individuals . . . .”).</w:t>
      </w:r>
    </w:p>
  </w:footnote>
  <w:footnote w:id="149">
    <w:p w:rsidR="007A1944" w:rsidRDefault="007A1944" w:rsidP="00C01143">
      <w:pPr>
        <w:pStyle w:val="FootnoteText"/>
      </w:pPr>
      <w:r>
        <w:rPr>
          <w:rStyle w:val="FootnoteReference"/>
        </w:rPr>
        <w:footnoteRef/>
      </w:r>
      <w:r>
        <w:t xml:space="preserve"> Garfield et. al., </w:t>
      </w:r>
      <w:r>
        <w:rPr>
          <w:i/>
        </w:rPr>
        <w:t xml:space="preserve">supra </w:t>
      </w:r>
      <w:r>
        <w:t>note ____, at 1.</w:t>
      </w:r>
    </w:p>
  </w:footnote>
  <w:footnote w:id="150">
    <w:p w:rsidR="007A1944" w:rsidRPr="00AC176C" w:rsidRDefault="007A1944" w:rsidP="00C01143">
      <w:pPr>
        <w:pStyle w:val="FootnoteText"/>
      </w:pPr>
      <w:r>
        <w:rPr>
          <w:rStyle w:val="FootnoteReference"/>
        </w:rPr>
        <w:footnoteRef/>
      </w:r>
      <w:r>
        <w:t xml:space="preserve"> </w:t>
      </w:r>
      <w:r>
        <w:rPr>
          <w:i/>
        </w:rPr>
        <w:t xml:space="preserve">See </w:t>
      </w:r>
      <w:r>
        <w:t xml:space="preserve">Garfield et. al., </w:t>
      </w:r>
      <w:r>
        <w:rPr>
          <w:i/>
        </w:rPr>
        <w:t xml:space="preserve">supra </w:t>
      </w:r>
      <w:r>
        <w:t>note ___, at 13-15 (summarizing how lack of health insurance impacts health care access).</w:t>
      </w:r>
    </w:p>
  </w:footnote>
  <w:footnote w:id="151">
    <w:p w:rsidR="007A1944" w:rsidRPr="0020652A" w:rsidRDefault="007A1944" w:rsidP="00C01143">
      <w:pPr>
        <w:pStyle w:val="FootnoteText"/>
        <w:rPr>
          <w:szCs w:val="20"/>
        </w:rPr>
      </w:pPr>
      <w:r w:rsidRPr="0020652A">
        <w:rPr>
          <w:rStyle w:val="FootnoteReference"/>
          <w:szCs w:val="20"/>
        </w:rPr>
        <w:footnoteRef/>
      </w:r>
      <w:r w:rsidRPr="0020652A">
        <w:rPr>
          <w:szCs w:val="20"/>
        </w:rPr>
        <w:t xml:space="preserve"> </w:t>
      </w:r>
      <w:r w:rsidRPr="0020652A">
        <w:rPr>
          <w:smallCaps/>
          <w:szCs w:val="20"/>
        </w:rPr>
        <w:t>U.S. Dep’t of Educ., Inst. of Educ. Scis., Nat’l Ctr. for Educ. Statistics, Results from the 2019 Mathematics and Reading Assessments</w:t>
      </w:r>
      <w:r w:rsidRPr="0020652A">
        <w:rPr>
          <w:szCs w:val="20"/>
        </w:rPr>
        <w:t xml:space="preserve"> 2 (2019), https://www.nationsreportcard.gov/mathematics/supportive_files/2019_infographic.pdf.</w:t>
      </w:r>
    </w:p>
  </w:footnote>
  <w:footnote w:id="152">
    <w:p w:rsidR="007A1944" w:rsidRPr="002653EE" w:rsidRDefault="007A1944" w:rsidP="00C01143">
      <w:pPr>
        <w:pStyle w:val="FootnoteText"/>
      </w:pPr>
      <w:r>
        <w:rPr>
          <w:rStyle w:val="FootnoteReference"/>
        </w:rPr>
        <w:footnoteRef/>
      </w:r>
      <w:r>
        <w:t xml:space="preserve"> Brief of Appellants, </w:t>
      </w:r>
      <w:r>
        <w:rPr>
          <w:i/>
        </w:rPr>
        <w:t xml:space="preserve">supra </w:t>
      </w:r>
      <w:r>
        <w:t>note ___, at 10.</w:t>
      </w:r>
    </w:p>
  </w:footnote>
  <w:footnote w:id="153">
    <w:p w:rsidR="007A1944" w:rsidRPr="00881A93" w:rsidRDefault="007A1944" w:rsidP="00C01143">
      <w:pPr>
        <w:pStyle w:val="FootnoteText"/>
      </w:pPr>
      <w:r>
        <w:rPr>
          <w:rStyle w:val="FootnoteReference"/>
        </w:rPr>
        <w:footnoteRef/>
      </w:r>
      <w:r>
        <w:t xml:space="preserve"> Brief of Appellants, </w:t>
      </w:r>
      <w:r>
        <w:rPr>
          <w:i/>
        </w:rPr>
        <w:t xml:space="preserve">supra </w:t>
      </w:r>
      <w:r>
        <w:t>note ___, at 9.</w:t>
      </w:r>
    </w:p>
  </w:footnote>
  <w:footnote w:id="154">
    <w:p w:rsidR="007A1944" w:rsidRPr="00881A93" w:rsidRDefault="007A1944" w:rsidP="00C01143">
      <w:pPr>
        <w:pStyle w:val="FootnoteText"/>
      </w:pPr>
      <w:r>
        <w:rPr>
          <w:rStyle w:val="FootnoteReference"/>
        </w:rPr>
        <w:footnoteRef/>
      </w:r>
      <w:r>
        <w:t xml:space="preserve"> Brief of Appellants, </w:t>
      </w:r>
      <w:r>
        <w:rPr>
          <w:i/>
        </w:rPr>
        <w:t xml:space="preserve">supra </w:t>
      </w:r>
      <w:r>
        <w:t>note ___, at 8.</w:t>
      </w:r>
    </w:p>
  </w:footnote>
  <w:footnote w:id="155">
    <w:p w:rsidR="007A1944" w:rsidRPr="00881A93" w:rsidRDefault="007A1944" w:rsidP="00C01143">
      <w:pPr>
        <w:pStyle w:val="FootnoteText"/>
      </w:pPr>
      <w:r>
        <w:rPr>
          <w:rStyle w:val="FootnoteReference"/>
        </w:rPr>
        <w:footnoteRef/>
      </w:r>
      <w:r>
        <w:t xml:space="preserve"> Brief of Appellants, </w:t>
      </w:r>
      <w:r>
        <w:rPr>
          <w:i/>
        </w:rPr>
        <w:t xml:space="preserve">supra </w:t>
      </w:r>
      <w:r>
        <w:t>note ___, at 11.</w:t>
      </w:r>
    </w:p>
  </w:footnote>
  <w:footnote w:id="156">
    <w:p w:rsidR="007A1944" w:rsidRPr="00F2550C" w:rsidRDefault="007A1944" w:rsidP="00C01143">
      <w:pPr>
        <w:rPr>
          <w:rFonts w:cs="Times New Roman"/>
          <w:sz w:val="20"/>
          <w:szCs w:val="20"/>
        </w:rPr>
      </w:pPr>
      <w:r w:rsidRPr="00F2550C">
        <w:rPr>
          <w:rStyle w:val="FootnoteReference"/>
          <w:szCs w:val="20"/>
        </w:rPr>
        <w:footnoteRef/>
      </w:r>
      <w:r>
        <w:rPr>
          <w:i/>
          <w:sz w:val="20"/>
          <w:szCs w:val="20"/>
        </w:rPr>
        <w:t xml:space="preserve"> </w:t>
      </w:r>
      <w:r w:rsidRPr="00514C95">
        <w:rPr>
          <w:rFonts w:cs="Times New Roman"/>
          <w:smallCaps/>
          <w:sz w:val="20"/>
          <w:szCs w:val="20"/>
        </w:rPr>
        <w:t xml:space="preserve">Jessica </w:t>
      </w:r>
      <w:proofErr w:type="spellStart"/>
      <w:r w:rsidRPr="00514C95">
        <w:rPr>
          <w:rFonts w:cs="Times New Roman"/>
          <w:smallCaps/>
          <w:sz w:val="20"/>
          <w:szCs w:val="20"/>
        </w:rPr>
        <w:t>S</w:t>
      </w:r>
      <w:r>
        <w:rPr>
          <w:rFonts w:cs="Times New Roman"/>
          <w:smallCaps/>
          <w:sz w:val="20"/>
          <w:szCs w:val="20"/>
        </w:rPr>
        <w:t>e</w:t>
      </w:r>
      <w:r w:rsidRPr="00514C95">
        <w:rPr>
          <w:rFonts w:cs="Times New Roman"/>
          <w:smallCaps/>
          <w:sz w:val="20"/>
          <w:szCs w:val="20"/>
        </w:rPr>
        <w:t>mega</w:t>
      </w:r>
      <w:proofErr w:type="spellEnd"/>
      <w:r w:rsidRPr="00514C95">
        <w:rPr>
          <w:rFonts w:cs="Times New Roman"/>
          <w:smallCaps/>
          <w:sz w:val="20"/>
          <w:szCs w:val="20"/>
        </w:rPr>
        <w:t xml:space="preserve"> et al.,</w:t>
      </w:r>
      <w:r>
        <w:rPr>
          <w:rFonts w:cs="Times New Roman"/>
          <w:smallCaps/>
          <w:sz w:val="20"/>
          <w:szCs w:val="20"/>
        </w:rPr>
        <w:t xml:space="preserve"> U.S. Census Bureau,</w:t>
      </w:r>
      <w:r w:rsidRPr="00514C95">
        <w:rPr>
          <w:rFonts w:cs="Times New Roman"/>
          <w:smallCaps/>
          <w:sz w:val="20"/>
          <w:szCs w:val="20"/>
        </w:rPr>
        <w:t xml:space="preserve"> Income and Poverty in the United States: 2018 </w:t>
      </w:r>
      <w:r>
        <w:rPr>
          <w:rFonts w:cs="Times New Roman"/>
          <w:sz w:val="20"/>
          <w:szCs w:val="20"/>
        </w:rPr>
        <w:t>at 1 (</w:t>
      </w:r>
      <w:r w:rsidRPr="00F2550C">
        <w:rPr>
          <w:rFonts w:cs="Times New Roman"/>
          <w:sz w:val="20"/>
          <w:szCs w:val="20"/>
        </w:rPr>
        <w:t>2019),</w:t>
      </w:r>
      <w:r>
        <w:rPr>
          <w:rFonts w:cs="Times New Roman"/>
          <w:sz w:val="20"/>
          <w:szCs w:val="20"/>
        </w:rPr>
        <w:t xml:space="preserve"> </w:t>
      </w:r>
      <w:r w:rsidRPr="00514C95">
        <w:rPr>
          <w:rFonts w:cs="Times New Roman"/>
          <w:sz w:val="20"/>
          <w:szCs w:val="20"/>
        </w:rPr>
        <w:t>https://www.census.gov/content/dam/Census/library/publications/2019/demo/p60-266.pdf</w:t>
      </w:r>
      <w:r>
        <w:rPr>
          <w:sz w:val="20"/>
          <w:szCs w:val="20"/>
        </w:rPr>
        <w:t xml:space="preserve">; </w:t>
      </w:r>
      <w:r w:rsidRPr="00F2550C">
        <w:rPr>
          <w:rFonts w:cs="Times New Roman"/>
          <w:smallCaps/>
          <w:sz w:val="20"/>
          <w:szCs w:val="20"/>
        </w:rPr>
        <w:t>Children’s Defense Fund</w:t>
      </w:r>
      <w:r w:rsidRPr="00F2550C">
        <w:rPr>
          <w:rFonts w:cs="Times New Roman"/>
          <w:sz w:val="20"/>
          <w:szCs w:val="20"/>
        </w:rPr>
        <w:t xml:space="preserve">, </w:t>
      </w:r>
      <w:r w:rsidRPr="00F2550C">
        <w:rPr>
          <w:rFonts w:cs="Times New Roman"/>
          <w:smallCaps/>
          <w:sz w:val="20"/>
          <w:szCs w:val="20"/>
        </w:rPr>
        <w:t xml:space="preserve">Ending Child Poverty Now 3 </w:t>
      </w:r>
      <w:r w:rsidRPr="00F2550C">
        <w:rPr>
          <w:rFonts w:cs="Times New Roman"/>
          <w:sz w:val="20"/>
          <w:szCs w:val="20"/>
        </w:rPr>
        <w:t>(2019),</w:t>
      </w:r>
    </w:p>
    <w:p w:rsidR="007A1944" w:rsidRPr="00F2550C" w:rsidRDefault="007A1944" w:rsidP="00C01143">
      <w:pPr>
        <w:pStyle w:val="FootnoteText"/>
      </w:pPr>
      <w:r w:rsidRPr="00514C95">
        <w:t>https://www.childrensdefense.org/wp-content/uploads/2019/04/Ending-Child-Poverty-2019.pdf</w:t>
      </w:r>
      <w:r>
        <w:rPr>
          <w:i/>
        </w:rPr>
        <w:t>.</w:t>
      </w:r>
      <w:r w:rsidRPr="00F2550C">
        <w:t xml:space="preserve"> </w:t>
      </w:r>
    </w:p>
  </w:footnote>
  <w:footnote w:id="157">
    <w:p w:rsidR="007A1944" w:rsidRPr="00F2550C" w:rsidRDefault="007A1944" w:rsidP="00C01143">
      <w:pPr>
        <w:rPr>
          <w:rFonts w:cs="Times New Roman"/>
          <w:sz w:val="20"/>
          <w:szCs w:val="20"/>
        </w:rPr>
      </w:pPr>
      <w:r w:rsidRPr="00F2550C">
        <w:rPr>
          <w:rStyle w:val="FootnoteReference"/>
          <w:szCs w:val="20"/>
        </w:rPr>
        <w:footnoteRef/>
      </w:r>
      <w:r>
        <w:rPr>
          <w:i/>
          <w:sz w:val="20"/>
          <w:szCs w:val="20"/>
        </w:rPr>
        <w:t xml:space="preserve"> </w:t>
      </w:r>
      <w:r>
        <w:rPr>
          <w:smallCaps/>
          <w:sz w:val="20"/>
          <w:szCs w:val="20"/>
        </w:rPr>
        <w:t xml:space="preserve">Octavia Howell, Pew Charitable Trusts, </w:t>
      </w:r>
      <w:r w:rsidRPr="00514C95">
        <w:rPr>
          <w:rFonts w:cs="Times New Roman"/>
          <w:smallCaps/>
          <w:sz w:val="20"/>
          <w:szCs w:val="20"/>
        </w:rPr>
        <w:t>Philadelphia’s Poor: Experiences From Below the Poverty Line</w:t>
      </w:r>
      <w:r>
        <w:rPr>
          <w:rFonts w:cs="Times New Roman"/>
          <w:sz w:val="20"/>
          <w:szCs w:val="20"/>
        </w:rPr>
        <w:t xml:space="preserve"> 1 </w:t>
      </w:r>
      <w:r w:rsidRPr="00F2550C">
        <w:rPr>
          <w:rFonts w:cs="Times New Roman"/>
          <w:sz w:val="20"/>
          <w:szCs w:val="20"/>
        </w:rPr>
        <w:t>(2018),</w:t>
      </w:r>
      <w:r>
        <w:rPr>
          <w:rFonts w:cs="Times New Roman"/>
          <w:sz w:val="20"/>
          <w:szCs w:val="20"/>
        </w:rPr>
        <w:t xml:space="preserve"> </w:t>
      </w:r>
      <w:r w:rsidRPr="00473EA4">
        <w:rPr>
          <w:rFonts w:cs="Times New Roman"/>
          <w:sz w:val="20"/>
          <w:szCs w:val="20"/>
        </w:rPr>
        <w:t>https://www.pewtrusts.org/-/media/assets/2018/09/phillypovertyreport2018.pdf</w:t>
      </w:r>
      <w:r w:rsidRPr="00F2550C">
        <w:rPr>
          <w:rFonts w:cs="Times New Roman"/>
          <w:sz w:val="20"/>
          <w:szCs w:val="20"/>
        </w:rPr>
        <w:t>.</w:t>
      </w:r>
    </w:p>
  </w:footnote>
  <w:footnote w:id="158">
    <w:p w:rsidR="007A1944" w:rsidRPr="00763B9B" w:rsidRDefault="007A1944" w:rsidP="00C01143">
      <w:pPr>
        <w:rPr>
          <w:sz w:val="20"/>
          <w:szCs w:val="20"/>
        </w:rPr>
      </w:pPr>
      <w:r w:rsidRPr="00763B9B">
        <w:rPr>
          <w:rStyle w:val="FootnoteReference"/>
          <w:szCs w:val="20"/>
        </w:rPr>
        <w:footnoteRef/>
      </w:r>
      <w:r w:rsidRPr="00763B9B">
        <w:rPr>
          <w:sz w:val="20"/>
          <w:szCs w:val="20"/>
        </w:rPr>
        <w:t xml:space="preserve"> </w:t>
      </w:r>
      <w:r>
        <w:rPr>
          <w:i/>
          <w:sz w:val="20"/>
          <w:szCs w:val="20"/>
        </w:rPr>
        <w:t>See, e.g.</w:t>
      </w:r>
      <w:r>
        <w:rPr>
          <w:sz w:val="20"/>
          <w:szCs w:val="20"/>
        </w:rPr>
        <w:t>,</w:t>
      </w:r>
      <w:r>
        <w:rPr>
          <w:i/>
          <w:sz w:val="20"/>
          <w:szCs w:val="20"/>
        </w:rPr>
        <w:t xml:space="preserve"> </w:t>
      </w:r>
      <w:r w:rsidRPr="00763B9B">
        <w:rPr>
          <w:sz w:val="20"/>
          <w:szCs w:val="20"/>
        </w:rPr>
        <w:t xml:space="preserve">Elisha Brown, </w:t>
      </w:r>
      <w:r w:rsidRPr="00763B9B">
        <w:rPr>
          <w:i/>
          <w:sz w:val="20"/>
          <w:szCs w:val="20"/>
        </w:rPr>
        <w:t>She Jumped a Turnstile. The Fine Pushed Her to the Breaking Point.,</w:t>
      </w:r>
      <w:r w:rsidRPr="00763B9B">
        <w:rPr>
          <w:sz w:val="20"/>
          <w:szCs w:val="20"/>
        </w:rPr>
        <w:t xml:space="preserve"> </w:t>
      </w:r>
      <w:r w:rsidRPr="00763B9B">
        <w:rPr>
          <w:rFonts w:cs="Times New Roman (Body CS)"/>
          <w:smallCaps/>
          <w:sz w:val="20"/>
          <w:szCs w:val="20"/>
        </w:rPr>
        <w:t>N.Y. Times</w:t>
      </w:r>
      <w:r w:rsidRPr="00763B9B">
        <w:rPr>
          <w:sz w:val="20"/>
          <w:szCs w:val="20"/>
        </w:rPr>
        <w:t xml:space="preserve"> </w:t>
      </w:r>
    </w:p>
    <w:p w:rsidR="007A1944" w:rsidRPr="00763B9B" w:rsidRDefault="007A1944" w:rsidP="00C01143">
      <w:pPr>
        <w:rPr>
          <w:sz w:val="20"/>
          <w:szCs w:val="20"/>
        </w:rPr>
      </w:pPr>
      <w:r w:rsidRPr="00763B9B">
        <w:rPr>
          <w:sz w:val="20"/>
          <w:szCs w:val="20"/>
        </w:rPr>
        <w:t xml:space="preserve">(Oct. 21, 2019), </w:t>
      </w:r>
      <w:r w:rsidRPr="00514C95">
        <w:rPr>
          <w:sz w:val="20"/>
          <w:szCs w:val="20"/>
        </w:rPr>
        <w:t>https://www.nytimes.com/2019/10/21/neediest-cases/jumped-turnstile-breaking-point.html</w:t>
      </w:r>
      <w:r>
        <w:rPr>
          <w:sz w:val="20"/>
          <w:szCs w:val="20"/>
        </w:rPr>
        <w:t xml:space="preserve"> (relating Jasmin Perez’s horror story of jumping a turnstile); </w:t>
      </w:r>
      <w:r w:rsidRPr="00763B9B">
        <w:rPr>
          <w:sz w:val="20"/>
          <w:szCs w:val="20"/>
        </w:rPr>
        <w:t xml:space="preserve">John Otis, </w:t>
      </w:r>
      <w:r w:rsidRPr="00763B9B">
        <w:rPr>
          <w:i/>
          <w:sz w:val="20"/>
          <w:szCs w:val="20"/>
        </w:rPr>
        <w:t>Eliminating Dental Woes Without Worrisome Debt</w:t>
      </w:r>
      <w:r w:rsidRPr="00763B9B">
        <w:rPr>
          <w:sz w:val="20"/>
          <w:szCs w:val="20"/>
        </w:rPr>
        <w:t xml:space="preserve">, </w:t>
      </w:r>
      <w:r w:rsidRPr="00763B9B">
        <w:rPr>
          <w:rFonts w:cs="Times New Roman (Body CS)"/>
          <w:smallCaps/>
          <w:sz w:val="20"/>
          <w:szCs w:val="20"/>
        </w:rPr>
        <w:t>N.Y. Times</w:t>
      </w:r>
      <w:r w:rsidRPr="00763B9B">
        <w:rPr>
          <w:sz w:val="20"/>
          <w:szCs w:val="20"/>
        </w:rPr>
        <w:t xml:space="preserve"> (Jan. 15, 2019), https://www.nytimes.com/2019/01/15/neediest-cases/dental-needs-community-health-advocates.html (quoting Community Health Advocates attorney: “Access to dental service is our top need</w:t>
      </w:r>
      <w:r>
        <w:rPr>
          <w:sz w:val="20"/>
          <w:szCs w:val="20"/>
        </w:rPr>
        <w:t>”</w:t>
      </w:r>
      <w:r w:rsidRPr="00763B9B">
        <w:rPr>
          <w:sz w:val="20"/>
          <w:szCs w:val="20"/>
        </w:rPr>
        <w:t>)</w:t>
      </w:r>
      <w:r>
        <w:rPr>
          <w:sz w:val="20"/>
          <w:szCs w:val="20"/>
        </w:rPr>
        <w:t xml:space="preserve">. </w:t>
      </w:r>
    </w:p>
  </w:footnote>
  <w:footnote w:id="159">
    <w:p w:rsidR="007A1944" w:rsidRDefault="007A1944" w:rsidP="00BE735D">
      <w:pPr>
        <w:pStyle w:val="FootnoteText"/>
      </w:pPr>
      <w:r>
        <w:rPr>
          <w:rStyle w:val="FootnoteReference"/>
        </w:rPr>
        <w:footnoteRef/>
      </w:r>
      <w:r>
        <w:t xml:space="preserve"> </w:t>
      </w:r>
      <w:r>
        <w:rPr>
          <w:i/>
        </w:rPr>
        <w:t xml:space="preserve">See </w:t>
      </w:r>
      <w:r>
        <w:t xml:space="preserve">Lauren Bauer, Emily Moss, &amp; Jay </w:t>
      </w:r>
      <w:proofErr w:type="spellStart"/>
      <w:r>
        <w:t>Shambaugh</w:t>
      </w:r>
      <w:proofErr w:type="spellEnd"/>
      <w:r>
        <w:t xml:space="preserve">, </w:t>
      </w:r>
      <w:r>
        <w:rPr>
          <w:i/>
        </w:rPr>
        <w:t>Who Was Poor in the U.S. in 2018</w:t>
      </w:r>
      <w:r>
        <w:t xml:space="preserve">, </w:t>
      </w:r>
      <w:r>
        <w:rPr>
          <w:smallCaps/>
        </w:rPr>
        <w:t>Hamilton Project</w:t>
      </w:r>
      <w:r>
        <w:t xml:space="preserve"> (Dec. 5, 2019), </w:t>
      </w:r>
      <w:r w:rsidRPr="00514C95">
        <w:t>https://www.hamiltonproject.org/blog/who_was_poor_in_the_u.s_in_2018</w:t>
      </w:r>
      <w:r>
        <w:t xml:space="preserve"> (“Considering only those living in poverty who were of working age, about 40 percent were labor force participants.”).</w:t>
      </w:r>
    </w:p>
  </w:footnote>
  <w:footnote w:id="160">
    <w:p w:rsidR="007A1944" w:rsidRPr="00054A8C" w:rsidRDefault="007A1944" w:rsidP="00C01143">
      <w:pPr>
        <w:pStyle w:val="FootnoteText"/>
        <w:rPr>
          <w:i/>
        </w:rPr>
      </w:pPr>
      <w:r>
        <w:rPr>
          <w:rStyle w:val="FootnoteReference"/>
        </w:rPr>
        <w:footnoteRef/>
      </w:r>
      <w:r>
        <w:t xml:space="preserve"> </w:t>
      </w:r>
      <w:r>
        <w:rPr>
          <w:i/>
        </w:rPr>
        <w:t xml:space="preserve">See </w:t>
      </w:r>
      <w:r>
        <w:t xml:space="preserve">Sullivan </w:t>
      </w:r>
      <w:r w:rsidRPr="00531B36">
        <w:t xml:space="preserve">et al., </w:t>
      </w:r>
      <w:r w:rsidRPr="00531B36">
        <w:rPr>
          <w:i/>
        </w:rPr>
        <w:t xml:space="preserve">supra </w:t>
      </w:r>
      <w:r w:rsidRPr="00531B36">
        <w:t>note __ (finding that “in each of the past four years police nationwide have shot and killed almost the same number of people – nearly 1,000” and that four percent of those who were shot were unarmed</w:t>
      </w:r>
      <w:r>
        <w:t xml:space="preserve">); Vice News, </w:t>
      </w:r>
      <w:r>
        <w:rPr>
          <w:i/>
        </w:rPr>
        <w:t>Get the Data: Explore Data on All Police Shootings from the Nation’s 50 Largest Local Police Departments</w:t>
      </w:r>
      <w:r>
        <w:t xml:space="preserve">, </w:t>
      </w:r>
      <w:r>
        <w:rPr>
          <w:smallCaps/>
        </w:rPr>
        <w:t>Vice</w:t>
      </w:r>
      <w:r>
        <w:t xml:space="preserve"> (Dec. 10 2017), </w:t>
      </w:r>
      <w:r w:rsidRPr="00D30AFA">
        <w:t>https://news.vice.com/en_us/article/a3jjpa/nonfatal-police-shootings-data</w:t>
      </w:r>
      <w:r>
        <w:t xml:space="preserve"> (reporting that, according to data from the “50 largest local police departments in the U.S. . . . [f]or every person shot and killed by cops . . . from 2010 through 2016 . . . police shot at two more people who survived”). </w:t>
      </w:r>
    </w:p>
  </w:footnote>
  <w:footnote w:id="161">
    <w:p w:rsidR="007A1944" w:rsidRDefault="007A1944" w:rsidP="00C01143">
      <w:pPr>
        <w:pStyle w:val="FootnoteText"/>
      </w:pPr>
      <w:r>
        <w:rPr>
          <w:rStyle w:val="FootnoteReference"/>
        </w:rPr>
        <w:footnoteRef/>
      </w:r>
      <w:r>
        <w:t xml:space="preserve"> </w:t>
      </w:r>
      <w:r w:rsidRPr="00DC1C7A">
        <w:rPr>
          <w:smallCaps/>
          <w:szCs w:val="20"/>
        </w:rPr>
        <w:t>Davis et al., Contacts</w:t>
      </w:r>
      <w:r>
        <w:t xml:space="preserve">, </w:t>
      </w:r>
      <w:r>
        <w:rPr>
          <w:i/>
        </w:rPr>
        <w:t xml:space="preserve">supra </w:t>
      </w:r>
      <w:r>
        <w:t>note __, at 16.</w:t>
      </w:r>
    </w:p>
  </w:footnote>
  <w:footnote w:id="162">
    <w:p w:rsidR="007A1944" w:rsidRPr="00FD7888" w:rsidRDefault="007A1944" w:rsidP="00C01143">
      <w:pPr>
        <w:pStyle w:val="FootnoteText"/>
      </w:pPr>
      <w:r w:rsidRPr="00FD7888">
        <w:rPr>
          <w:rStyle w:val="FootnoteReference"/>
        </w:rPr>
        <w:footnoteRef/>
      </w:r>
      <w:r w:rsidRPr="00FD7888">
        <w:t xml:space="preserve"> Tina Rosenberg, </w:t>
      </w:r>
      <w:r w:rsidRPr="00FD7888">
        <w:rPr>
          <w:i/>
        </w:rPr>
        <w:t>Have You Ever Been Arrested? Check Here</w:t>
      </w:r>
      <w:r w:rsidRPr="00FD7888">
        <w:t xml:space="preserve">, </w:t>
      </w:r>
      <w:r w:rsidRPr="00FD7888">
        <w:rPr>
          <w:rFonts w:cs="Times New Roman (Body CS)"/>
          <w:smallCaps/>
        </w:rPr>
        <w:t>N.Y. Times</w:t>
      </w:r>
      <w:r w:rsidRPr="00FD7888">
        <w:t xml:space="preserve"> (May 24, 2016), https://www.nytimes.com/2016/05/24/opinion/have-you-ever-been-arrested-check-here.html.</w:t>
      </w:r>
    </w:p>
  </w:footnote>
  <w:footnote w:id="163">
    <w:p w:rsidR="007A1944" w:rsidRPr="00613DAF" w:rsidRDefault="007A1944" w:rsidP="00C01143">
      <w:pPr>
        <w:pStyle w:val="FootnoteText"/>
      </w:pPr>
      <w:r>
        <w:rPr>
          <w:rStyle w:val="FootnoteReference"/>
        </w:rPr>
        <w:footnoteRef/>
      </w:r>
      <w:r>
        <w:t xml:space="preserve"> </w:t>
      </w:r>
      <w:proofErr w:type="spellStart"/>
      <w:r w:rsidRPr="00A23855">
        <w:rPr>
          <w:rFonts w:cs="Times New Roman"/>
          <w:smallCaps/>
        </w:rPr>
        <w:t>Everytown</w:t>
      </w:r>
      <w:proofErr w:type="spellEnd"/>
      <w:r w:rsidRPr="00A23855">
        <w:rPr>
          <w:rFonts w:cs="Times New Roman"/>
          <w:smallCaps/>
        </w:rPr>
        <w:t xml:space="preserve"> for Gun Safety,</w:t>
      </w:r>
      <w:r>
        <w:rPr>
          <w:rFonts w:cs="Times New Roman"/>
          <w:smallCaps/>
        </w:rPr>
        <w:t xml:space="preserve"> </w:t>
      </w:r>
      <w:r>
        <w:rPr>
          <w:rFonts w:cs="Times New Roman"/>
          <w:i/>
        </w:rPr>
        <w:t xml:space="preserve">supra </w:t>
      </w:r>
      <w:r>
        <w:rPr>
          <w:rFonts w:cs="Times New Roman"/>
        </w:rPr>
        <w:t>note ___, at</w:t>
      </w:r>
      <w:r w:rsidRPr="00A23855">
        <w:rPr>
          <w:rFonts w:cs="Times New Roman"/>
          <w:smallCaps/>
        </w:rPr>
        <w:t xml:space="preserve"> </w:t>
      </w:r>
      <w:r>
        <w:rPr>
          <w:rFonts w:cs="Times New Roman"/>
          <w:smallCaps/>
        </w:rPr>
        <w:t xml:space="preserve"> 9</w:t>
      </w:r>
      <w:r>
        <w:rPr>
          <w:rFonts w:eastAsia="Times New Roman" w:cs="Times New Roman"/>
        </w:rPr>
        <w:t xml:space="preserve">; Philip Bump, </w:t>
      </w:r>
      <w:r>
        <w:rPr>
          <w:rFonts w:eastAsia="Times New Roman" w:cs="Times New Roman"/>
          <w:i/>
        </w:rPr>
        <w:t>15 Years After the Iraq War Began, the Death Toll is Still Murky</w:t>
      </w:r>
      <w:r>
        <w:rPr>
          <w:rFonts w:eastAsia="Times New Roman" w:cs="Times New Roman"/>
        </w:rPr>
        <w:t xml:space="preserve">, </w:t>
      </w:r>
      <w:r>
        <w:rPr>
          <w:rFonts w:eastAsia="Times New Roman" w:cs="Times New Roman"/>
          <w:smallCaps/>
        </w:rPr>
        <w:t>Washington Post</w:t>
      </w:r>
      <w:r>
        <w:rPr>
          <w:rFonts w:eastAsia="Times New Roman" w:cs="Times New Roman"/>
        </w:rPr>
        <w:t xml:space="preserve"> (Mar. 20, 2018), </w:t>
      </w:r>
      <w:r w:rsidRPr="009841DC">
        <w:rPr>
          <w:rFonts w:eastAsia="Times New Roman" w:cs="Times New Roman"/>
        </w:rPr>
        <w:t>https://www.washingtonpost.com/news/politics/wp/2018/03/20/15-years-after-it-began-the-death-toll-from-the-iraq-war-is-still-murky/</w:t>
      </w:r>
      <w:r>
        <w:rPr>
          <w:rFonts w:eastAsia="Times New Roman" w:cs="Times New Roman"/>
        </w:rPr>
        <w:t xml:space="preserve"> (reporting that under 5,000 U.S. service members died in the Iraq War).</w:t>
      </w:r>
    </w:p>
  </w:footnote>
  <w:footnote w:id="164">
    <w:p w:rsidR="007A1944" w:rsidRPr="00C004B2" w:rsidRDefault="007A1944" w:rsidP="00C01143">
      <w:pPr>
        <w:pStyle w:val="FootnoteText"/>
      </w:pPr>
      <w:r>
        <w:rPr>
          <w:rStyle w:val="FootnoteReference"/>
        </w:rPr>
        <w:footnoteRef/>
      </w:r>
      <w:r>
        <w:t xml:space="preserve"> </w:t>
      </w:r>
      <w:proofErr w:type="spellStart"/>
      <w:r>
        <w:rPr>
          <w:smallCaps/>
        </w:rPr>
        <w:t>Everytown</w:t>
      </w:r>
      <w:proofErr w:type="spellEnd"/>
      <w:r>
        <w:rPr>
          <w:smallCaps/>
        </w:rPr>
        <w:t xml:space="preserve"> for Gun Safety</w:t>
      </w:r>
      <w:r>
        <w:t xml:space="preserve">, </w:t>
      </w:r>
      <w:r>
        <w:rPr>
          <w:i/>
        </w:rPr>
        <w:t xml:space="preserve">supra </w:t>
      </w:r>
      <w:r>
        <w:t xml:space="preserve">note ___, at 5. </w:t>
      </w:r>
    </w:p>
  </w:footnote>
  <w:footnote w:id="165">
    <w:p w:rsidR="007A1944" w:rsidRDefault="007A1944" w:rsidP="00C01143">
      <w:pPr>
        <w:pStyle w:val="FootnoteText"/>
      </w:pPr>
      <w:r>
        <w:rPr>
          <w:rStyle w:val="FootnoteReference"/>
        </w:rPr>
        <w:footnoteRef/>
      </w:r>
      <w:r>
        <w:t xml:space="preserve"> </w:t>
      </w:r>
      <w:proofErr w:type="spellStart"/>
      <w:r w:rsidRPr="00A23855">
        <w:rPr>
          <w:rFonts w:cs="Times New Roman"/>
          <w:smallCaps/>
        </w:rPr>
        <w:t>Everytown</w:t>
      </w:r>
      <w:proofErr w:type="spellEnd"/>
      <w:r w:rsidRPr="00A23855">
        <w:rPr>
          <w:rFonts w:cs="Times New Roman"/>
          <w:smallCaps/>
        </w:rPr>
        <w:t xml:space="preserve"> for Gun Safety, </w:t>
      </w:r>
      <w:r>
        <w:rPr>
          <w:rFonts w:cs="Times New Roman"/>
          <w:i/>
        </w:rPr>
        <w:t xml:space="preserve">supra </w:t>
      </w:r>
      <w:r>
        <w:rPr>
          <w:rFonts w:cs="Times New Roman"/>
        </w:rPr>
        <w:t>note___, at</w:t>
      </w:r>
      <w:r w:rsidRPr="00A23855">
        <w:rPr>
          <w:rFonts w:cs="Times New Roman"/>
          <w:smallCaps/>
        </w:rPr>
        <w:t xml:space="preserve"> </w:t>
      </w:r>
      <w:r>
        <w:rPr>
          <w:rFonts w:cs="Times New Roman"/>
          <w:smallCaps/>
        </w:rPr>
        <w:t xml:space="preserve">11. </w:t>
      </w:r>
    </w:p>
  </w:footnote>
  <w:footnote w:id="166">
    <w:p w:rsidR="007A1944" w:rsidRDefault="007A1944" w:rsidP="00C01143">
      <w:r>
        <w:rPr>
          <w:rStyle w:val="FootnoteReference"/>
        </w:rPr>
        <w:footnoteRef/>
      </w:r>
      <w:r>
        <w:t xml:space="preserve"> </w:t>
      </w:r>
      <w:r w:rsidRPr="007C015E">
        <w:rPr>
          <w:i/>
          <w:sz w:val="20"/>
          <w:szCs w:val="20"/>
        </w:rPr>
        <w:t xml:space="preserve">See </w:t>
      </w:r>
      <w:r w:rsidRPr="007F66EF">
        <w:rPr>
          <w:rFonts w:cs="Times New Roman (Body CS)"/>
          <w:smallCaps/>
          <w:sz w:val="20"/>
          <w:szCs w:val="20"/>
        </w:rPr>
        <w:t>Sharon G. Smith et al.,</w:t>
      </w:r>
      <w:r w:rsidRPr="007C015E">
        <w:rPr>
          <w:sz w:val="20"/>
          <w:szCs w:val="20"/>
        </w:rPr>
        <w:t xml:space="preserve"> </w:t>
      </w:r>
      <w:proofErr w:type="spellStart"/>
      <w:r w:rsidRPr="007C015E">
        <w:rPr>
          <w:smallCaps/>
          <w:sz w:val="20"/>
          <w:szCs w:val="20"/>
        </w:rPr>
        <w:t>Ctrs</w:t>
      </w:r>
      <w:proofErr w:type="spellEnd"/>
      <w:r>
        <w:rPr>
          <w:smallCaps/>
          <w:sz w:val="20"/>
          <w:szCs w:val="20"/>
        </w:rPr>
        <w:t>.</w:t>
      </w:r>
      <w:r w:rsidRPr="007C015E">
        <w:rPr>
          <w:smallCaps/>
          <w:sz w:val="20"/>
          <w:szCs w:val="20"/>
        </w:rPr>
        <w:t xml:space="preserve"> for Disease Control </w:t>
      </w:r>
      <w:r>
        <w:rPr>
          <w:smallCaps/>
          <w:sz w:val="20"/>
          <w:szCs w:val="20"/>
        </w:rPr>
        <w:t>&amp;</w:t>
      </w:r>
      <w:r w:rsidRPr="007C015E">
        <w:rPr>
          <w:smallCaps/>
          <w:sz w:val="20"/>
          <w:szCs w:val="20"/>
        </w:rPr>
        <w:t xml:space="preserve"> Prevention, </w:t>
      </w:r>
      <w:r w:rsidRPr="00E41BFA">
        <w:rPr>
          <w:rFonts w:cs="Times New Roman (Body CS)"/>
          <w:smallCaps/>
          <w:sz w:val="20"/>
          <w:szCs w:val="20"/>
        </w:rPr>
        <w:t>National Intimate Partner and Sexual Violence Survey: 2015 Data Brief – Updated Release 9</w:t>
      </w:r>
      <w:r w:rsidRPr="007C015E">
        <w:rPr>
          <w:sz w:val="20"/>
          <w:szCs w:val="20"/>
        </w:rPr>
        <w:t xml:space="preserve"> (2018), https://www.cdc.gov/violenceprevention/pdf/2015data-brief508.pdf.</w:t>
      </w:r>
    </w:p>
  </w:footnote>
  <w:footnote w:id="167">
    <w:p w:rsidR="007A1944" w:rsidRPr="00C51BB6" w:rsidRDefault="007A1944" w:rsidP="00C01143">
      <w:pPr>
        <w:pStyle w:val="FootnoteText"/>
      </w:pPr>
      <w:r>
        <w:rPr>
          <w:rStyle w:val="FootnoteReference"/>
        </w:rPr>
        <w:footnoteRef/>
      </w:r>
      <w:r>
        <w:t xml:space="preserve"> </w:t>
      </w:r>
      <w:r>
        <w:rPr>
          <w:i/>
        </w:rPr>
        <w:t xml:space="preserve">See </w:t>
      </w:r>
      <w:r>
        <w:rPr>
          <w:smallCaps/>
        </w:rPr>
        <w:t>Federal Bureau of Investigation,</w:t>
      </w:r>
      <w:r>
        <w:t xml:space="preserve"> </w:t>
      </w:r>
      <w:r>
        <w:rPr>
          <w:i/>
        </w:rPr>
        <w:t xml:space="preserve">supra </w:t>
      </w:r>
      <w:r>
        <w:t xml:space="preserve">note ___, at 5 (“Over the last five years, the IC3 has received an average of 340,000 complaints per year.”); Al Baker, </w:t>
      </w:r>
      <w:r>
        <w:rPr>
          <w:i/>
        </w:rPr>
        <w:t>An ‘Iceberg’ of Unseen Crimes: Many Cyber Offenses Go Unreported</w:t>
      </w:r>
      <w:r>
        <w:t xml:space="preserve">, </w:t>
      </w:r>
      <w:r>
        <w:rPr>
          <w:smallCaps/>
        </w:rPr>
        <w:t>N.Y. Times</w:t>
      </w:r>
      <w:r>
        <w:t xml:space="preserve"> (Feb. 5, 2018), </w:t>
      </w:r>
      <w:r w:rsidRPr="00C51BB6">
        <w:t>https://www.nytimes.com/2018/02/05/nyregion/cyber-crimes-unreported.html</w:t>
      </w:r>
      <w:r>
        <w:rPr>
          <w:i/>
        </w:rPr>
        <w:t xml:space="preserve"> </w:t>
      </w:r>
      <w:r>
        <w:t>(“Donna Gregory, head of the center [F.B.I. Internet Crime Complaint Center], said that the number of complaints only represented about 10 to 12 percent of all estimated cybercrime victims in the United States in 2016 . . . .”).</w:t>
      </w:r>
    </w:p>
  </w:footnote>
  <w:footnote w:id="168">
    <w:p w:rsidR="007A1944" w:rsidRPr="00F711ED" w:rsidRDefault="007A1944" w:rsidP="00C01143">
      <w:pPr>
        <w:pStyle w:val="FootnoteText"/>
      </w:pPr>
      <w:r>
        <w:rPr>
          <w:rStyle w:val="FootnoteReference"/>
        </w:rPr>
        <w:footnoteRef/>
      </w:r>
      <w:r>
        <w:t xml:space="preserve"> </w:t>
      </w:r>
      <w:r>
        <w:rPr>
          <w:smallCaps/>
        </w:rPr>
        <w:t>Federal Bureau of Investigation</w:t>
      </w:r>
      <w:r>
        <w:t xml:space="preserve">, </w:t>
      </w:r>
      <w:r>
        <w:rPr>
          <w:i/>
        </w:rPr>
        <w:t xml:space="preserve">supra </w:t>
      </w:r>
      <w:r>
        <w:t>note ___, at 3.</w:t>
      </w:r>
    </w:p>
  </w:footnote>
  <w:footnote w:id="169">
    <w:p w:rsidR="007A1944" w:rsidRPr="00537CF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 xml:space="preserve">Oscar Wilde, The Importance of Being Earnest </w:t>
      </w:r>
      <w:r w:rsidRPr="00537CF9">
        <w:rPr>
          <w:rFonts w:cs="Times New Roman"/>
        </w:rPr>
        <w:t>152 (Cambridge 1996) (1899).</w:t>
      </w:r>
    </w:p>
  </w:footnote>
  <w:footnote w:id="170">
    <w:p w:rsidR="007A1944" w:rsidRPr="000A42DB" w:rsidRDefault="007A1944">
      <w:pPr>
        <w:pStyle w:val="FootnoteText"/>
        <w:rPr>
          <w:i/>
          <w:iCs/>
        </w:rPr>
      </w:pPr>
      <w:r>
        <w:rPr>
          <w:rStyle w:val="FootnoteReference"/>
        </w:rPr>
        <w:footnoteRef/>
      </w:r>
      <w:r>
        <w:t xml:space="preserve"> </w:t>
      </w:r>
      <w:r w:rsidR="000A42DB" w:rsidRPr="007F1670">
        <w:rPr>
          <w:i/>
          <w:iCs/>
        </w:rPr>
        <w:t>See</w:t>
      </w:r>
      <w:r w:rsidR="000A42DB">
        <w:rPr>
          <w:i/>
          <w:iCs/>
        </w:rPr>
        <w:t xml:space="preserve"> </w:t>
      </w:r>
      <w:r w:rsidR="000A42DB" w:rsidRPr="001D1DC4">
        <w:rPr>
          <w:rFonts w:cs="Times New Roman (Body CS)"/>
          <w:smallCaps/>
        </w:rPr>
        <w:t>Locke</w:t>
      </w:r>
      <w:r w:rsidR="000A42DB">
        <w:t xml:space="preserve">, </w:t>
      </w:r>
      <w:r w:rsidR="000A42DB" w:rsidRPr="00372E0D">
        <w:rPr>
          <w:smallCaps/>
        </w:rPr>
        <w:t>Second Treatise</w:t>
      </w:r>
      <w:r w:rsidR="000A42DB">
        <w:rPr>
          <w:smallCaps/>
        </w:rPr>
        <w:t>,</w:t>
      </w:r>
      <w:r w:rsidR="000A42DB">
        <w:t xml:space="preserve"> </w:t>
      </w:r>
      <w:r w:rsidR="000A42DB" w:rsidRPr="001D1DC4">
        <w:rPr>
          <w:i/>
          <w:iCs/>
        </w:rPr>
        <w:t>supra</w:t>
      </w:r>
      <w:r w:rsidR="000A42DB">
        <w:t xml:space="preserve"> note __, at § 95 (explaining that individuals give up their natural liberty in exchange for “comfortable, safe, and peaceable living one amongst another” and “secure enjoyment of their properties”); 1 </w:t>
      </w:r>
      <w:r w:rsidR="000A42DB" w:rsidRPr="00111AE0">
        <w:rPr>
          <w:rFonts w:cs="Times New Roman (Body CS)"/>
          <w:smallCaps/>
        </w:rPr>
        <w:t>Blackstone</w:t>
      </w:r>
      <w:r w:rsidR="000A42DB">
        <w:rPr>
          <w:rFonts w:cs="Times New Roman (Body CS)"/>
          <w:smallCaps/>
        </w:rPr>
        <w:t>, Commentaries</w:t>
      </w:r>
      <w:r w:rsidR="000A42DB">
        <w:t xml:space="preserve">, </w:t>
      </w:r>
      <w:r w:rsidR="000A42DB" w:rsidRPr="00111AE0">
        <w:rPr>
          <w:i/>
          <w:iCs/>
        </w:rPr>
        <w:t>supra</w:t>
      </w:r>
      <w:r w:rsidR="000A42DB">
        <w:t xml:space="preserve"> note __, at 125 (describing society’s primary purpose as being the protection of individuals’ ability to enjoy their natural rights).</w:t>
      </w:r>
    </w:p>
  </w:footnote>
  <w:footnote w:id="171">
    <w:p w:rsidR="007A1944" w:rsidRPr="000A42DB" w:rsidRDefault="007A1944">
      <w:pPr>
        <w:pStyle w:val="FootnoteText"/>
        <w:rPr>
          <w:i/>
          <w:iCs/>
        </w:rPr>
      </w:pPr>
      <w:r>
        <w:rPr>
          <w:rStyle w:val="FootnoteReference"/>
        </w:rPr>
        <w:footnoteRef/>
      </w:r>
      <w:r>
        <w:t xml:space="preserve"> </w:t>
      </w:r>
      <w:r w:rsidR="000A42DB" w:rsidRPr="00F15642">
        <w:rPr>
          <w:i/>
          <w:iCs/>
        </w:rPr>
        <w:t>See</w:t>
      </w:r>
      <w:r w:rsidR="000A42DB">
        <w:rPr>
          <w:i/>
          <w:iCs/>
        </w:rPr>
        <w:t xml:space="preserve"> </w:t>
      </w:r>
      <w:r w:rsidR="000A42DB" w:rsidRPr="001B1400">
        <w:rPr>
          <w:rFonts w:cs="Times New Roman (Body CS)"/>
          <w:smallCaps/>
        </w:rPr>
        <w:t>Hobbes</w:t>
      </w:r>
      <w:r w:rsidR="000A42DB">
        <w:t xml:space="preserve">, </w:t>
      </w:r>
      <w:r w:rsidR="000A42DB" w:rsidRPr="001656B7">
        <w:rPr>
          <w:rFonts w:cs="Times New Roman (Body CS)"/>
          <w:smallCaps/>
        </w:rPr>
        <w:t>Leviathan</w:t>
      </w:r>
      <w:r w:rsidR="000A42DB">
        <w:rPr>
          <w:rFonts w:cs="Times New Roman (Body CS)"/>
          <w:smallCaps/>
        </w:rPr>
        <w:t>,</w:t>
      </w:r>
      <w:r w:rsidR="000A42DB">
        <w:rPr>
          <w:rFonts w:cs="Times New Roman (Body CS)"/>
        </w:rPr>
        <w:t xml:space="preserve"> </w:t>
      </w:r>
      <w:r w:rsidR="000A42DB" w:rsidRPr="001656B7">
        <w:rPr>
          <w:rFonts w:cs="Times New Roman (Body CS)"/>
          <w:i/>
          <w:iCs/>
        </w:rPr>
        <w:t>supra</w:t>
      </w:r>
      <w:r w:rsidR="000A42DB">
        <w:rPr>
          <w:rFonts w:cs="Times New Roman (Body CS)"/>
        </w:rPr>
        <w:t xml:space="preserve"> note __,</w:t>
      </w:r>
      <w:r w:rsidR="000A42DB">
        <w:t xml:space="preserve"> at 200 (arguing that the sovereign must be exempt from civil laws because, otherwise, “</w:t>
      </w:r>
      <w:r w:rsidR="000A42DB" w:rsidRPr="00822102">
        <w:t xml:space="preserve">he cannot perform the office </w:t>
      </w:r>
      <w:r w:rsidR="000A42DB">
        <w:t>[individuals]</w:t>
      </w:r>
      <w:r w:rsidR="000A42DB" w:rsidRPr="00822102">
        <w:t xml:space="preserve"> have put him into, which is to defend them both from foreign enemies and from the injuries of one another; and consequently there is no longer a Commonwealth.</w:t>
      </w:r>
      <w:r w:rsidR="000A42DB">
        <w:t xml:space="preserve">”); </w:t>
      </w:r>
      <w:r w:rsidR="000A42DB" w:rsidRPr="00D92CAB">
        <w:rPr>
          <w:rFonts w:cs="Times New Roman (Body CS)"/>
          <w:smallCaps/>
        </w:rPr>
        <w:t>Locke</w:t>
      </w:r>
      <w:r w:rsidR="000A42DB">
        <w:t xml:space="preserve">, </w:t>
      </w:r>
      <w:r w:rsidR="000A42DB" w:rsidRPr="00D92CAB">
        <w:rPr>
          <w:rFonts w:cs="Times New Roman (Body CS)"/>
          <w:smallCaps/>
        </w:rPr>
        <w:t>Second Treatise</w:t>
      </w:r>
      <w:r w:rsidR="000A42DB">
        <w:t xml:space="preserve">, </w:t>
      </w:r>
      <w:r w:rsidR="000A42DB" w:rsidRPr="00D92CAB">
        <w:rPr>
          <w:i/>
          <w:iCs/>
        </w:rPr>
        <w:t>supra</w:t>
      </w:r>
      <w:r w:rsidR="000A42DB">
        <w:t xml:space="preserve"> note __, at  § 211 (explaining that foreign force is usually the only way a society is dissolved, and “w</w:t>
      </w:r>
      <w:r w:rsidR="000A42DB" w:rsidRPr="00D92CAB">
        <w:t>here the society is dissolved, the government cannot remain</w:t>
      </w:r>
      <w:r w:rsidR="009D214D">
        <w:t>”)</w:t>
      </w:r>
      <w:r w:rsidR="000A42DB">
        <w:t>.</w:t>
      </w:r>
    </w:p>
  </w:footnote>
  <w:footnote w:id="172">
    <w:p w:rsidR="007A1944" w:rsidRDefault="007A1944">
      <w:pPr>
        <w:pStyle w:val="FootnoteText"/>
      </w:pPr>
      <w:r>
        <w:rPr>
          <w:rStyle w:val="FootnoteReference"/>
        </w:rPr>
        <w:footnoteRef/>
      </w:r>
      <w:r>
        <w:t xml:space="preserve"> </w:t>
      </w:r>
      <w:r w:rsidR="000A42DB" w:rsidRPr="00EA47FC">
        <w:rPr>
          <w:rFonts w:cs="Times New Roman (Body CS)"/>
          <w:smallCaps/>
        </w:rPr>
        <w:t>U.S. Const.</w:t>
      </w:r>
      <w:r w:rsidR="000A42DB">
        <w:t xml:space="preserve"> art. I, § 9, cl. 2.</w:t>
      </w:r>
    </w:p>
  </w:footnote>
  <w:footnote w:id="173">
    <w:p w:rsidR="007A1944" w:rsidRDefault="007A1944">
      <w:pPr>
        <w:pStyle w:val="FootnoteText"/>
      </w:pPr>
      <w:r>
        <w:rPr>
          <w:rStyle w:val="FootnoteReference"/>
        </w:rPr>
        <w:footnoteRef/>
      </w:r>
      <w:r w:rsidR="004B6C71" w:rsidRPr="00302433">
        <w:rPr>
          <w:i/>
          <w:iCs/>
        </w:rPr>
        <w:t>But see</w:t>
      </w:r>
      <w:r w:rsidR="004B6C71">
        <w:t xml:space="preserve"> Ulysses S. Grant,</w:t>
      </w:r>
      <w:r w:rsidR="004B6C71" w:rsidRPr="003E1F75">
        <w:t xml:space="preserve"> Proclamation No. 201</w:t>
      </w:r>
      <w:r w:rsidR="004B6C71">
        <w:t xml:space="preserve"> </w:t>
      </w:r>
      <w:r w:rsidR="004B6C71" w:rsidRPr="001B1400">
        <w:t>(Oct. 17, 1871)</w:t>
      </w:r>
      <w:r w:rsidR="004B6C71">
        <w:t xml:space="preserve"> </w:t>
      </w:r>
      <w:r w:rsidR="004B6C71" w:rsidRPr="00C7401C">
        <w:t>https://www.presidency.ucsb.edu/documents/proclamation-201-suspending-the-writ-habeas-corpus-certain-counties-south-carolina</w:t>
      </w:r>
      <w:r w:rsidR="004B6C71">
        <w:t xml:space="preserve"> (last visited Jan. 5, 2021)</w:t>
      </w:r>
      <w:r w:rsidR="004B6C71" w:rsidRPr="001B1400">
        <w:t xml:space="preserve"> (suspend</w:t>
      </w:r>
      <w:r w:rsidR="004B6C71">
        <w:t xml:space="preserve">ing the writ of habeas corpus in nine counties in South Carolina during Reconstruction); </w:t>
      </w:r>
      <w:r w:rsidR="004B6C71" w:rsidRPr="00670DC0">
        <w:rPr>
          <w:u w:val="single"/>
        </w:rPr>
        <w:t xml:space="preserve">Duncan v. </w:t>
      </w:r>
      <w:proofErr w:type="spellStart"/>
      <w:r w:rsidR="004B6C71" w:rsidRPr="00670DC0">
        <w:rPr>
          <w:u w:val="single"/>
        </w:rPr>
        <w:t>Kahanamoku</w:t>
      </w:r>
      <w:proofErr w:type="spellEnd"/>
      <w:r w:rsidR="004B6C71" w:rsidRPr="00670DC0">
        <w:t>, 327 U.S. 304</w:t>
      </w:r>
      <w:r w:rsidR="004B6C71">
        <w:t>, 308 n.2</w:t>
      </w:r>
      <w:r w:rsidR="004B6C71" w:rsidRPr="00670DC0">
        <w:t xml:space="preserve"> (1946)</w:t>
      </w:r>
      <w:r w:rsidR="004B6C71">
        <w:t xml:space="preserve"> (noting that President Roosevelt approved a request to suspend the writ of habeas corpus in Hawaii, which was not yet a state, after Pearl Harbor was attacked).</w:t>
      </w:r>
      <w:r w:rsidR="009D214D" w:rsidRPr="009D214D">
        <w:t xml:space="preserve"> </w:t>
      </w:r>
      <w:r w:rsidR="009D214D">
        <w:t>I am</w:t>
      </w:r>
      <w:r w:rsidR="009D214D">
        <w:t xml:space="preserve"> writing this the day after the President of the United States stirred a mob to storm the Uni</w:t>
      </w:r>
      <w:r w:rsidR="009D214D">
        <w:t>t</w:t>
      </w:r>
      <w:r w:rsidR="009D214D">
        <w:t>ed States Capitol.</w:t>
      </w:r>
    </w:p>
  </w:footnote>
  <w:footnote w:id="174">
    <w:p w:rsidR="007A1944" w:rsidRDefault="007A1944">
      <w:pPr>
        <w:pStyle w:val="FootnoteText"/>
      </w:pPr>
      <w:r>
        <w:rPr>
          <w:rStyle w:val="FootnoteReference"/>
        </w:rPr>
        <w:footnoteRef/>
      </w:r>
      <w:r>
        <w:t xml:space="preserve"> </w:t>
      </w:r>
      <w:r w:rsidR="004B6C71" w:rsidRPr="00CE12D8">
        <w:rPr>
          <w:i/>
          <w:iCs/>
        </w:rPr>
        <w:t>See, e.g.</w:t>
      </w:r>
      <w:r w:rsidR="004B6C71">
        <w:t xml:space="preserve">, Abraham Lincoln, Proclamation No. 104 (Sept. 15, 1863) </w:t>
      </w:r>
      <w:r w:rsidR="004B6C71" w:rsidRPr="00687F20">
        <w:t>https://www.presidency.ucsb.edu/documents/proclamation-104-suspending-the-writ-habeas-corpus-throughout-the-united-states</w:t>
      </w:r>
      <w:r w:rsidR="004B6C71">
        <w:t xml:space="preserve"> (last visited Jan. 5, 2021) (suspending the writ of habeas corpus throughout the United States)</w:t>
      </w:r>
      <w:r w:rsidR="004B6C71" w:rsidRPr="003E1F75">
        <w:t xml:space="preserve">. </w:t>
      </w:r>
      <w:r w:rsidR="004B6C71">
        <w:t xml:space="preserve">President Lincoln had issued earlier orders to suspend the writ of habeas corpus, the unilateral nature of which was challenged </w:t>
      </w:r>
      <w:r w:rsidR="009D214D">
        <w:t>in</w:t>
      </w:r>
      <w:r w:rsidR="004B6C71">
        <w:t xml:space="preserve"> </w:t>
      </w:r>
      <w:r w:rsidR="004B6C71">
        <w:rPr>
          <w:i/>
          <w:iCs/>
        </w:rPr>
        <w:t>E</w:t>
      </w:r>
      <w:r w:rsidR="004B6C71" w:rsidRPr="00CE12D8">
        <w:rPr>
          <w:i/>
          <w:iCs/>
        </w:rPr>
        <w:t xml:space="preserve">x </w:t>
      </w:r>
      <w:proofErr w:type="spellStart"/>
      <w:r w:rsidR="004B6C71" w:rsidRPr="00CE12D8">
        <w:rPr>
          <w:i/>
          <w:iCs/>
        </w:rPr>
        <w:t>parte</w:t>
      </w:r>
      <w:proofErr w:type="spellEnd"/>
      <w:r w:rsidR="004B6C71" w:rsidRPr="00CE12D8">
        <w:rPr>
          <w:i/>
          <w:iCs/>
        </w:rPr>
        <w:t xml:space="preserve"> Merryman</w:t>
      </w:r>
      <w:r w:rsidR="004B6C71">
        <w:t xml:space="preserve">. 17 </w:t>
      </w:r>
      <w:r w:rsidR="004B6C71" w:rsidRPr="00F84CAF">
        <w:t>F. Cas. 144</w:t>
      </w:r>
      <w:r w:rsidR="004B6C71">
        <w:t>, 149</w:t>
      </w:r>
      <w:r w:rsidR="004B6C71" w:rsidRPr="00F84CAF">
        <w:t xml:space="preserve"> (</w:t>
      </w:r>
      <w:r w:rsidR="004B6C71">
        <w:t xml:space="preserve">Taney, Circuit Justice, </w:t>
      </w:r>
      <w:r w:rsidR="004B6C71" w:rsidRPr="00F84CAF">
        <w:t>C.C.D. Md. 1861)</w:t>
      </w:r>
      <w:r w:rsidR="004B6C71">
        <w:t xml:space="preserve"> (“[The President]</w:t>
      </w:r>
      <w:r w:rsidR="004B6C71" w:rsidRPr="00F84CAF">
        <w:t xml:space="preserve"> certainly does not faithfully execute the laws, if he takes upon himself legislative power, by suspending the writ of habeas corpus, and the judicial power also, by arresting and imprisoning a person without due process of law.</w:t>
      </w:r>
      <w:r w:rsidR="004B6C71">
        <w:t xml:space="preserve">”). Proclamation 104 was issued after Congress passed the Habeas Corpus Suspension Act, which authorized the president to suspend the writ of habeas corpus during the Civil War. Habeas Corpus Suspension Act, </w:t>
      </w:r>
      <w:r w:rsidR="004B6C71" w:rsidRPr="00ED12E9">
        <w:t>12 Stat. 755 (1863)</w:t>
      </w:r>
      <w:r w:rsidR="004B6C71">
        <w:t>.</w:t>
      </w:r>
    </w:p>
  </w:footnote>
  <w:footnote w:id="175">
    <w:p w:rsidR="007A1944" w:rsidRDefault="007A1944">
      <w:pPr>
        <w:pStyle w:val="FootnoteText"/>
      </w:pPr>
      <w:r>
        <w:rPr>
          <w:rStyle w:val="FootnoteReference"/>
        </w:rPr>
        <w:footnoteRef/>
      </w:r>
      <w:r>
        <w:t xml:space="preserve"> Friedman, Unwarranted, supra note __, at 39.</w:t>
      </w:r>
    </w:p>
  </w:footnote>
  <w:footnote w:id="176">
    <w:p w:rsidR="004B6C71" w:rsidRDefault="004B6C71">
      <w:pPr>
        <w:pStyle w:val="FootnoteText"/>
      </w:pPr>
      <w:r>
        <w:rPr>
          <w:rStyle w:val="FootnoteReference"/>
        </w:rPr>
        <w:footnoteRef/>
      </w:r>
      <w:r>
        <w:t xml:space="preserve"> </w:t>
      </w:r>
      <w:r w:rsidR="008978BA" w:rsidRPr="008978BA">
        <w:rPr>
          <w:i/>
          <w:iCs/>
        </w:rPr>
        <w:t>See</w:t>
      </w:r>
      <w:r w:rsidR="008978BA">
        <w:t xml:space="preserve"> </w:t>
      </w:r>
      <w:r>
        <w:t xml:space="preserve">Simone </w:t>
      </w:r>
      <w:proofErr w:type="spellStart"/>
      <w:r>
        <w:t>Weichselbaum</w:t>
      </w:r>
      <w:proofErr w:type="spellEnd"/>
      <w:r>
        <w:t xml:space="preserve"> &amp; Beth </w:t>
      </w:r>
      <w:proofErr w:type="spellStart"/>
      <w:r>
        <w:t>Schwartzapfel</w:t>
      </w:r>
      <w:proofErr w:type="spellEnd"/>
      <w:r>
        <w:t xml:space="preserve">, </w:t>
      </w:r>
      <w:r w:rsidRPr="00EA0BEA">
        <w:rPr>
          <w:i/>
          <w:iCs/>
        </w:rPr>
        <w:t>When Warriors Put on the Badge</w:t>
      </w:r>
      <w:r>
        <w:t xml:space="preserve">, </w:t>
      </w:r>
      <w:r w:rsidRPr="00EA0BEA">
        <w:rPr>
          <w:rFonts w:cs="Times New Roman (Body CS)"/>
          <w:smallCaps/>
        </w:rPr>
        <w:t>Marshall Project</w:t>
      </w:r>
      <w:r>
        <w:t xml:space="preserve"> (Mar. 30, 2017 6:00 AM), </w:t>
      </w:r>
      <w:r w:rsidRPr="000B5C96">
        <w:t xml:space="preserve">https://www.themarshallproject.org/2017/03/30/when-warriors-put-on-the-badge </w:t>
      </w:r>
      <w:r>
        <w:t>(finding that “police officer” is the third most common occupation for veterans, and that nineteen percent of police officers are veterans).</w:t>
      </w:r>
    </w:p>
  </w:footnote>
  <w:footnote w:id="177">
    <w:p w:rsidR="007A1944" w:rsidRDefault="007A1944">
      <w:pPr>
        <w:pStyle w:val="FootnoteText"/>
      </w:pPr>
      <w:r>
        <w:rPr>
          <w:rStyle w:val="FootnoteReference"/>
        </w:rPr>
        <w:footnoteRef/>
      </w:r>
      <w:r>
        <w:t xml:space="preserve"> </w:t>
      </w:r>
      <w:r w:rsidR="004B6C71" w:rsidRPr="003E145E">
        <w:rPr>
          <w:i/>
          <w:iCs/>
        </w:rPr>
        <w:t>See, e.g.</w:t>
      </w:r>
      <w:r w:rsidR="004B6C71">
        <w:t xml:space="preserve">, James Madison, </w:t>
      </w:r>
      <w:r w:rsidR="004B6C71" w:rsidRPr="003E145E">
        <w:rPr>
          <w:i/>
          <w:iCs/>
        </w:rPr>
        <w:t>Ratification without Conditional Amendments, [24 June] 1788</w:t>
      </w:r>
      <w:r w:rsidR="004B6C71">
        <w:t>,</w:t>
      </w:r>
      <w:r w:rsidR="004B6C71" w:rsidRPr="00906498">
        <w:t xml:space="preserve"> </w:t>
      </w:r>
      <w:r w:rsidR="004B6C71" w:rsidRPr="003E145E">
        <w:rPr>
          <w:rFonts w:cs="Times New Roman (Body CS)"/>
          <w:smallCaps/>
        </w:rPr>
        <w:t>National Archives</w:t>
      </w:r>
      <w:r w:rsidR="004B6C71" w:rsidRPr="00906498">
        <w:t>, https://founders.archives.gov/documents/Madison/01-11-02-0110</w:t>
      </w:r>
      <w:r w:rsidR="004B6C71">
        <w:t xml:space="preserve"> (last visited Jan. 8, 2021)</w:t>
      </w:r>
      <w:r w:rsidR="004B6C71" w:rsidRPr="00906498">
        <w:t xml:space="preserve"> </w:t>
      </w:r>
      <w:r w:rsidR="004B6C71">
        <w:t>(“</w:t>
      </w:r>
      <w:r w:rsidR="004B6C71" w:rsidRPr="001D1D4F">
        <w:t>There can be no harm in declaring, that standing armies in time of peace, are dangerous to liberty, and ought to be avoided, as far as it may be consistent with the protection of the community.</w:t>
      </w:r>
      <w:r w:rsidR="004B6C71">
        <w:t>”).</w:t>
      </w:r>
    </w:p>
  </w:footnote>
  <w:footnote w:id="178">
    <w:p w:rsidR="007A1944" w:rsidRDefault="007A1944">
      <w:pPr>
        <w:pStyle w:val="FootnoteText"/>
      </w:pPr>
      <w:r>
        <w:rPr>
          <w:rStyle w:val="FootnoteReference"/>
        </w:rPr>
        <w:footnoteRef/>
      </w:r>
      <w:r>
        <w:t xml:space="preserve"> </w:t>
      </w:r>
      <w:r w:rsidR="009D214D">
        <w:t>RA*</w:t>
      </w:r>
    </w:p>
  </w:footnote>
  <w:footnote w:id="179">
    <w:p w:rsidR="007A1944" w:rsidRPr="00537CF9" w:rsidRDefault="007A1944" w:rsidP="00C01143">
      <w:pPr>
        <w:rPr>
          <w:rFonts w:cs="Times New Roman"/>
          <w:sz w:val="20"/>
          <w:szCs w:val="20"/>
        </w:rPr>
      </w:pPr>
      <w:r w:rsidRPr="00537CF9">
        <w:rPr>
          <w:rStyle w:val="FootnoteReference"/>
          <w:rFonts w:cs="Times New Roman"/>
          <w:szCs w:val="20"/>
        </w:rPr>
        <w:footnoteRef/>
      </w:r>
      <w:r w:rsidRPr="00537CF9">
        <w:rPr>
          <w:rFonts w:cs="Times New Roman"/>
          <w:sz w:val="20"/>
          <w:szCs w:val="20"/>
        </w:rPr>
        <w:t xml:space="preserve"> Markus </w:t>
      </w:r>
      <w:proofErr w:type="spellStart"/>
      <w:r w:rsidRPr="00537CF9">
        <w:rPr>
          <w:rFonts w:cs="Times New Roman"/>
          <w:sz w:val="20"/>
          <w:szCs w:val="20"/>
        </w:rPr>
        <w:t>Dubber</w:t>
      </w:r>
      <w:proofErr w:type="spellEnd"/>
      <w:r w:rsidRPr="00537CF9">
        <w:rPr>
          <w:rFonts w:cs="Times New Roman"/>
          <w:sz w:val="20"/>
          <w:szCs w:val="20"/>
        </w:rPr>
        <w:t xml:space="preserve"> and Santiago </w:t>
      </w:r>
      <w:proofErr w:type="spellStart"/>
      <w:r w:rsidRPr="00537CF9">
        <w:rPr>
          <w:rFonts w:cs="Times New Roman"/>
          <w:sz w:val="20"/>
          <w:szCs w:val="20"/>
        </w:rPr>
        <w:t>Legarre</w:t>
      </w:r>
      <w:proofErr w:type="spellEnd"/>
      <w:r w:rsidRPr="00537CF9">
        <w:rPr>
          <w:rFonts w:cs="Times New Roman"/>
          <w:sz w:val="20"/>
          <w:szCs w:val="20"/>
        </w:rPr>
        <w:t xml:space="preserve"> have done wonderful jobs of tracing the roots of the </w:t>
      </w:r>
      <w:r w:rsidRPr="00090FC9">
        <w:rPr>
          <w:rFonts w:cs="Times New Roman"/>
          <w:sz w:val="20"/>
          <w:szCs w:val="20"/>
        </w:rPr>
        <w:t xml:space="preserve">police power back at least as far as the sixteenth century. </w:t>
      </w:r>
      <w:r w:rsidRPr="00090FC9">
        <w:rPr>
          <w:rFonts w:cs="Times New Roman"/>
          <w:i/>
          <w:iCs/>
          <w:sz w:val="20"/>
          <w:szCs w:val="20"/>
        </w:rPr>
        <w:t xml:space="preserve">See </w:t>
      </w:r>
      <w:proofErr w:type="spellStart"/>
      <w:r w:rsidRPr="00090FC9">
        <w:rPr>
          <w:rFonts w:cs="Times New Roman"/>
          <w:sz w:val="20"/>
          <w:szCs w:val="20"/>
        </w:rPr>
        <w:t>Dubber</w:t>
      </w:r>
      <w:proofErr w:type="spellEnd"/>
      <w:r w:rsidRPr="00090FC9">
        <w:rPr>
          <w:rFonts w:cs="Times New Roman"/>
          <w:sz w:val="20"/>
          <w:szCs w:val="20"/>
        </w:rPr>
        <w:t xml:space="preserve">, </w:t>
      </w:r>
      <w:r w:rsidRPr="00090FC9">
        <w:rPr>
          <w:rFonts w:cs="Times New Roman"/>
          <w:i/>
          <w:iCs/>
          <w:sz w:val="20"/>
          <w:szCs w:val="20"/>
        </w:rPr>
        <w:t xml:space="preserve">supra </w:t>
      </w:r>
      <w:r w:rsidRPr="00090FC9">
        <w:rPr>
          <w:rFonts w:cs="Times New Roman"/>
          <w:sz w:val="20"/>
          <w:szCs w:val="20"/>
        </w:rPr>
        <w:t xml:space="preserve">note __; </w:t>
      </w:r>
      <w:proofErr w:type="spellStart"/>
      <w:r w:rsidRPr="00090FC9">
        <w:rPr>
          <w:rFonts w:cs="Times New Roman"/>
          <w:sz w:val="20"/>
          <w:szCs w:val="20"/>
        </w:rPr>
        <w:t>Legarre</w:t>
      </w:r>
      <w:proofErr w:type="spellEnd"/>
      <w:r w:rsidRPr="00090FC9">
        <w:rPr>
          <w:rFonts w:cs="Times New Roman"/>
          <w:sz w:val="20"/>
          <w:szCs w:val="20"/>
        </w:rPr>
        <w:t xml:space="preserve">, </w:t>
      </w:r>
      <w:r w:rsidRPr="00960A24">
        <w:rPr>
          <w:rFonts w:cs="Times New Roman"/>
          <w:i/>
          <w:iCs/>
          <w:sz w:val="20"/>
          <w:szCs w:val="20"/>
        </w:rPr>
        <w:t xml:space="preserve">supra </w:t>
      </w:r>
      <w:r w:rsidRPr="00960A24">
        <w:rPr>
          <w:rFonts w:cs="Times New Roman"/>
          <w:sz w:val="20"/>
          <w:szCs w:val="20"/>
        </w:rPr>
        <w:t xml:space="preserve">note __. </w:t>
      </w:r>
      <w:r w:rsidRPr="00960A24">
        <w:rPr>
          <w:rFonts w:cs="Times New Roman"/>
          <w:i/>
          <w:iCs/>
          <w:sz w:val="20"/>
          <w:szCs w:val="20"/>
        </w:rPr>
        <w:t>See also</w:t>
      </w:r>
      <w:r w:rsidRPr="00960A24">
        <w:rPr>
          <w:rFonts w:cs="Times New Roman"/>
          <w:sz w:val="20"/>
          <w:szCs w:val="20"/>
        </w:rPr>
        <w:t xml:space="preserve"> Barnett, </w:t>
      </w:r>
      <w:r w:rsidRPr="00960A24">
        <w:rPr>
          <w:rFonts w:cs="Times New Roman"/>
          <w:i/>
          <w:iCs/>
          <w:sz w:val="20"/>
          <w:szCs w:val="20"/>
        </w:rPr>
        <w:t xml:space="preserve">supra </w:t>
      </w:r>
      <w:r w:rsidRPr="00960A24">
        <w:rPr>
          <w:rFonts w:cs="Times New Roman"/>
          <w:sz w:val="20"/>
          <w:szCs w:val="20"/>
        </w:rPr>
        <w:t xml:space="preserve">note __, at 483 (“The police power is the legitimate authority of states to </w:t>
      </w:r>
      <w:r w:rsidRPr="00960A24">
        <w:rPr>
          <w:rFonts w:cs="Times New Roman"/>
          <w:i/>
          <w:iCs/>
          <w:sz w:val="20"/>
          <w:szCs w:val="20"/>
        </w:rPr>
        <w:t>regulate rightful</w:t>
      </w:r>
      <w:r w:rsidRPr="00960A24">
        <w:rPr>
          <w:rFonts w:cs="Times New Roman"/>
          <w:sz w:val="20"/>
          <w:szCs w:val="20"/>
        </w:rPr>
        <w:t xml:space="preserve"> and </w:t>
      </w:r>
      <w:r w:rsidRPr="00960A24">
        <w:rPr>
          <w:rFonts w:cs="Times New Roman"/>
          <w:i/>
          <w:iCs/>
          <w:sz w:val="20"/>
          <w:szCs w:val="20"/>
        </w:rPr>
        <w:t xml:space="preserve">prohibit wrongful </w:t>
      </w:r>
      <w:r w:rsidRPr="00537CF9">
        <w:rPr>
          <w:rFonts w:cs="Times New Roman"/>
          <w:sz w:val="20"/>
          <w:szCs w:val="20"/>
        </w:rPr>
        <w:t>acts.”).</w:t>
      </w:r>
    </w:p>
  </w:footnote>
  <w:footnote w:id="180">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4 </w:t>
      </w:r>
      <w:r w:rsidRPr="00090FC9">
        <w:rPr>
          <w:rFonts w:cs="Times New Roman"/>
          <w:smallCaps/>
        </w:rPr>
        <w:t xml:space="preserve">Blackstone, </w:t>
      </w:r>
      <w:r w:rsidRPr="00090FC9">
        <w:rPr>
          <w:rFonts w:cs="Times New Roman"/>
          <w:i/>
          <w:iCs/>
        </w:rPr>
        <w:t xml:space="preserve">supra </w:t>
      </w:r>
      <w:r w:rsidRPr="00090FC9">
        <w:rPr>
          <w:rFonts w:cs="Times New Roman"/>
        </w:rPr>
        <w:t>note __, at *162.</w:t>
      </w:r>
    </w:p>
  </w:footnote>
  <w:footnote w:id="181">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090FC9">
        <w:rPr>
          <w:rFonts w:cs="Times New Roman"/>
          <w:i/>
          <w:iCs/>
        </w:rPr>
        <w:t>Miln</w:t>
      </w:r>
      <w:proofErr w:type="spellEnd"/>
      <w:r w:rsidRPr="00090FC9">
        <w:rPr>
          <w:rFonts w:cs="Times New Roman"/>
        </w:rPr>
        <w:t xml:space="preserve">, </w:t>
      </w:r>
      <w:r>
        <w:rPr>
          <w:rFonts w:cs="Times New Roman"/>
        </w:rPr>
        <w:t xml:space="preserve">36 U.S. </w:t>
      </w:r>
      <w:r w:rsidRPr="00090FC9">
        <w:rPr>
          <w:rFonts w:cs="Times New Roman"/>
        </w:rPr>
        <w:t xml:space="preserve">at 103 (emphasis added). </w:t>
      </w:r>
    </w:p>
  </w:footnote>
  <w:footnote w:id="182">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537CF9">
        <w:rPr>
          <w:rFonts w:cs="Times New Roman"/>
        </w:rPr>
        <w:t>Dubber</w:t>
      </w:r>
      <w:proofErr w:type="spellEnd"/>
      <w:r w:rsidRPr="00537CF9">
        <w:rPr>
          <w:rFonts w:cs="Times New Roman"/>
        </w:rPr>
        <w:t xml:space="preserve">, </w:t>
      </w:r>
      <w:r w:rsidRPr="00090FC9">
        <w:rPr>
          <w:rFonts w:cs="Times New Roman"/>
          <w:i/>
          <w:iCs/>
        </w:rPr>
        <w:t xml:space="preserve">supra </w:t>
      </w:r>
      <w:r w:rsidRPr="00090FC9">
        <w:rPr>
          <w:rFonts w:cs="Times New Roman"/>
        </w:rPr>
        <w:t>note __, at 1316.</w:t>
      </w:r>
    </w:p>
  </w:footnote>
  <w:footnote w:id="183">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Novak, </w:t>
      </w:r>
      <w:r w:rsidRPr="00090FC9">
        <w:rPr>
          <w:rFonts w:cs="Times New Roman"/>
          <w:i/>
          <w:iCs/>
        </w:rPr>
        <w:t xml:space="preserve">supra </w:t>
      </w:r>
      <w:r w:rsidRPr="00090FC9">
        <w:rPr>
          <w:rFonts w:cs="Times New Roman"/>
        </w:rPr>
        <w:t>note __, at 1076.</w:t>
      </w:r>
    </w:p>
  </w:footnote>
  <w:footnote w:id="184">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N.Y.C. </w:t>
      </w:r>
      <w:r w:rsidRPr="00090FC9">
        <w:rPr>
          <w:rFonts w:cs="Times New Roman"/>
          <w:smallCaps/>
        </w:rPr>
        <w:t>Administrative Code</w:t>
      </w:r>
      <w:r w:rsidRPr="00090FC9">
        <w:rPr>
          <w:rFonts w:cs="Times New Roman"/>
        </w:rPr>
        <w:t xml:space="preserve"> §§ 10-114—10-166 (2020).</w:t>
      </w:r>
    </w:p>
  </w:footnote>
  <w:footnote w:id="185">
    <w:p w:rsidR="007A1944" w:rsidRPr="00537CF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090FC9">
        <w:rPr>
          <w:rFonts w:cs="Times New Roman"/>
          <w:i/>
          <w:iCs/>
        </w:rPr>
        <w:t xml:space="preserve">See </w:t>
      </w:r>
      <w:proofErr w:type="spellStart"/>
      <w:r w:rsidRPr="00090FC9">
        <w:rPr>
          <w:rFonts w:cs="Times New Roman"/>
        </w:rPr>
        <w:t>Dubber</w:t>
      </w:r>
      <w:proofErr w:type="spellEnd"/>
      <w:r w:rsidRPr="00090FC9">
        <w:rPr>
          <w:rFonts w:cs="Times New Roman"/>
        </w:rPr>
        <w:t xml:space="preserve">, </w:t>
      </w:r>
      <w:r w:rsidRPr="00090FC9">
        <w:rPr>
          <w:rFonts w:cs="Times New Roman"/>
          <w:i/>
          <w:iCs/>
        </w:rPr>
        <w:t xml:space="preserve">supra </w:t>
      </w:r>
      <w:r w:rsidRPr="00090FC9">
        <w:rPr>
          <w:rFonts w:cs="Times New Roman"/>
        </w:rPr>
        <w:t>note __, at 1287 (descri</w:t>
      </w:r>
      <w:r w:rsidRPr="00960A24">
        <w:rPr>
          <w:rFonts w:cs="Times New Roman"/>
        </w:rPr>
        <w:t>bing the prevalence of “idle unattached persons roaming the countryside” in the 1500s as the impetus for an English statute criminalizing street juggling).</w:t>
      </w:r>
    </w:p>
  </w:footnote>
  <w:footnote w:id="186">
    <w:p w:rsidR="007A1944" w:rsidRPr="00960A24" w:rsidRDefault="007A1944" w:rsidP="00C01143">
      <w:pPr>
        <w:rPr>
          <w:rFonts w:cs="Times New Roman"/>
          <w:sz w:val="20"/>
          <w:szCs w:val="20"/>
        </w:rPr>
      </w:pPr>
      <w:r w:rsidRPr="00537CF9">
        <w:rPr>
          <w:rStyle w:val="FootnoteReference"/>
          <w:rFonts w:cs="Times New Roman"/>
          <w:szCs w:val="20"/>
        </w:rPr>
        <w:footnoteRef/>
      </w:r>
      <w:r w:rsidRPr="00537CF9">
        <w:rPr>
          <w:rFonts w:cs="Times New Roman"/>
          <w:sz w:val="20"/>
          <w:szCs w:val="20"/>
        </w:rPr>
        <w:t xml:space="preserve"> </w:t>
      </w:r>
      <w:r w:rsidRPr="00090FC9">
        <w:rPr>
          <w:rFonts w:cs="Times New Roman"/>
          <w:i/>
          <w:iCs/>
          <w:sz w:val="20"/>
          <w:szCs w:val="20"/>
        </w:rPr>
        <w:t xml:space="preserve">See </w:t>
      </w:r>
      <w:r w:rsidRPr="00090FC9">
        <w:rPr>
          <w:rFonts w:cs="Times New Roman"/>
          <w:smallCaps/>
          <w:sz w:val="20"/>
          <w:szCs w:val="20"/>
        </w:rPr>
        <w:t xml:space="preserve">U.S. Const. </w:t>
      </w:r>
      <w:r w:rsidRPr="00090FC9">
        <w:rPr>
          <w:rFonts w:cs="Times New Roman"/>
          <w:sz w:val="20"/>
          <w:szCs w:val="20"/>
        </w:rPr>
        <w:t xml:space="preserve">art. I, § 8 (enumerating the powers of the legislative branch); </w:t>
      </w:r>
      <w:r w:rsidRPr="00090FC9">
        <w:rPr>
          <w:rFonts w:cs="Times New Roman"/>
          <w:i/>
          <w:iCs/>
          <w:sz w:val="20"/>
          <w:szCs w:val="20"/>
        </w:rPr>
        <w:t>id.</w:t>
      </w:r>
      <w:r w:rsidRPr="00090FC9">
        <w:rPr>
          <w:rFonts w:cs="Times New Roman"/>
          <w:sz w:val="20"/>
          <w:szCs w:val="20"/>
        </w:rPr>
        <w:t xml:space="preserve"> amend. X (delegating all powers not enumerated in the Constitution to state governments); </w:t>
      </w:r>
      <w:r w:rsidRPr="00960A24">
        <w:rPr>
          <w:rFonts w:cs="Times New Roman"/>
          <w:i/>
          <w:iCs/>
          <w:sz w:val="20"/>
          <w:szCs w:val="20"/>
        </w:rPr>
        <w:t>U.S. v. Lopez</w:t>
      </w:r>
      <w:r w:rsidRPr="00960A24">
        <w:rPr>
          <w:rFonts w:cs="Times New Roman"/>
          <w:sz w:val="20"/>
          <w:szCs w:val="20"/>
        </w:rPr>
        <w:t>, 514 U.S. 549 (1995) (“</w:t>
      </w:r>
      <w:r w:rsidRPr="00960A24">
        <w:rPr>
          <w:rStyle w:val="ssleftalign"/>
          <w:rFonts w:cs="Times New Roman"/>
          <w:sz w:val="20"/>
          <w:szCs w:val="20"/>
        </w:rPr>
        <w:t>The Constitution creates a Federal Government of enumerated powers.”).</w:t>
      </w:r>
      <w:r w:rsidRPr="00960A24">
        <w:rPr>
          <w:rFonts w:cs="Times New Roman"/>
          <w:sz w:val="20"/>
          <w:szCs w:val="20"/>
        </w:rPr>
        <w:t xml:space="preserve">. </w:t>
      </w:r>
    </w:p>
  </w:footnote>
  <w:footnote w:id="187">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bookmarkStart w:id="0" w:name="_Hlk47531775"/>
      <w:proofErr w:type="spellStart"/>
      <w:r w:rsidRPr="00537CF9">
        <w:rPr>
          <w:rFonts w:cs="Times New Roman"/>
          <w:i/>
          <w:iCs/>
        </w:rPr>
        <w:t>DeShaney</w:t>
      </w:r>
      <w:proofErr w:type="spellEnd"/>
      <w:r w:rsidRPr="00537CF9">
        <w:rPr>
          <w:rFonts w:cs="Times New Roman"/>
        </w:rPr>
        <w:t>, 489 U.S. at 193</w:t>
      </w:r>
      <w:bookmarkEnd w:id="0"/>
      <w:r w:rsidRPr="00537CF9">
        <w:rPr>
          <w:rFonts w:cs="Times New Roman"/>
        </w:rPr>
        <w:t>.</w:t>
      </w:r>
    </w:p>
  </w:footnote>
  <w:footnote w:id="188">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537CF9">
        <w:rPr>
          <w:rFonts w:cs="Times New Roman"/>
          <w:i/>
          <w:iCs/>
        </w:rPr>
        <w:t>DeShaney</w:t>
      </w:r>
      <w:proofErr w:type="spellEnd"/>
      <w:r w:rsidRPr="00537CF9">
        <w:rPr>
          <w:rFonts w:cs="Times New Roman"/>
        </w:rPr>
        <w:t xml:space="preserve">, 489 U.S. at 209 (Brennan, J., dissenting). </w:t>
      </w:r>
    </w:p>
  </w:footnote>
  <w:footnote w:id="189">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537CF9">
        <w:rPr>
          <w:rFonts w:cs="Times New Roman"/>
          <w:i/>
          <w:iCs/>
        </w:rPr>
        <w:t>DeShaney</w:t>
      </w:r>
      <w:proofErr w:type="spellEnd"/>
      <w:r w:rsidRPr="00537CF9">
        <w:rPr>
          <w:rFonts w:cs="Times New Roman"/>
        </w:rPr>
        <w:t>, 489 U.S. at 195.</w:t>
      </w:r>
    </w:p>
  </w:footnote>
  <w:footnote w:id="190">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537CF9">
        <w:rPr>
          <w:rFonts w:cs="Times New Roman"/>
          <w:i/>
          <w:iCs/>
        </w:rPr>
        <w:t>DeShaney</w:t>
      </w:r>
      <w:proofErr w:type="spellEnd"/>
      <w:r w:rsidRPr="00537CF9">
        <w:rPr>
          <w:rFonts w:cs="Times New Roman"/>
        </w:rPr>
        <w:t>, 489 U.S. at 191.</w:t>
      </w:r>
    </w:p>
  </w:footnote>
  <w:footnote w:id="191">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537CF9">
        <w:rPr>
          <w:rFonts w:cs="Times New Roman"/>
          <w:i/>
          <w:iCs/>
        </w:rPr>
        <w:t>DeShaney</w:t>
      </w:r>
      <w:proofErr w:type="spellEnd"/>
      <w:r w:rsidRPr="00537CF9">
        <w:rPr>
          <w:rFonts w:cs="Times New Roman"/>
        </w:rPr>
        <w:t>, 489 U.S. at 195.</w:t>
      </w:r>
    </w:p>
  </w:footnote>
  <w:footnote w:id="192">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 genera</w:t>
      </w:r>
      <w:r w:rsidRPr="00090FC9">
        <w:rPr>
          <w:rFonts w:cs="Times New Roman"/>
          <w:i/>
          <w:iCs/>
        </w:rPr>
        <w:t xml:space="preserve">lly </w:t>
      </w:r>
      <w:r w:rsidRPr="00090FC9">
        <w:rPr>
          <w:rFonts w:cs="Times New Roman"/>
        </w:rPr>
        <w:t xml:space="preserve">Sager, </w:t>
      </w:r>
      <w:r w:rsidRPr="00090FC9">
        <w:rPr>
          <w:rFonts w:cs="Times New Roman"/>
          <w:i/>
          <w:iCs/>
        </w:rPr>
        <w:t xml:space="preserve">supra </w:t>
      </w:r>
      <w:r w:rsidRPr="00090FC9">
        <w:rPr>
          <w:rFonts w:cs="Times New Roman"/>
        </w:rPr>
        <w:t>note __ (describing underenforced constitutional norms as constitutional claims which the federal judiciary is reluctant to uphold to their full extent).</w:t>
      </w:r>
    </w:p>
  </w:footnote>
  <w:footnote w:id="193">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Cf. </w:t>
      </w:r>
      <w:r w:rsidRPr="00090FC9">
        <w:rPr>
          <w:rFonts w:cs="Times New Roman"/>
        </w:rPr>
        <w:t xml:space="preserve">Friedman &amp; Solow, </w:t>
      </w:r>
      <w:r w:rsidRPr="00090FC9">
        <w:rPr>
          <w:rFonts w:cs="Times New Roman"/>
          <w:i/>
          <w:iCs/>
        </w:rPr>
        <w:t xml:space="preserve">supra </w:t>
      </w:r>
      <w:r w:rsidRPr="00090FC9">
        <w:rPr>
          <w:rFonts w:cs="Times New Roman"/>
        </w:rPr>
        <w:t>note __, at 117-20 (describing how the Supreme Court has rejected arguments that the Equal Protection Clause obligates government to provide adequate education, but suggested that a right to education may exist in cases involving the Due Process Clause).</w:t>
      </w:r>
    </w:p>
  </w:footnote>
  <w:footnote w:id="194">
    <w:p w:rsidR="007A1944" w:rsidRPr="00960A24"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E.g. </w:t>
      </w:r>
      <w:r w:rsidRPr="00090FC9">
        <w:rPr>
          <w:rFonts w:cs="Times New Roman"/>
        </w:rPr>
        <w:t>Bowers v. Hardwick, 478 U.S. 186, 191 (1986) (holding that the Constitution does not contain “a fundamental right to engage in homosexual sodomy”); Lochner v. New York, 198 U.S. 45, 58 (1905) (holding that workplace safety laws violate the Due Process Clause);</w:t>
      </w:r>
      <w:r w:rsidRPr="00090FC9">
        <w:rPr>
          <w:rFonts w:cs="Times New Roman"/>
          <w:i/>
          <w:iCs/>
        </w:rPr>
        <w:t xml:space="preserve"> </w:t>
      </w:r>
      <w:r w:rsidRPr="00090FC9">
        <w:rPr>
          <w:rFonts w:cs="Times New Roman"/>
        </w:rPr>
        <w:t>Bradwell v. State, 83 U.S. 130, 139 (1872) (</w:t>
      </w:r>
      <w:r w:rsidRPr="00960A24">
        <w:rPr>
          <w:rFonts w:cs="Times New Roman"/>
        </w:rPr>
        <w:t>upholding state statute limiting practice of law to male citizens);</w:t>
      </w:r>
      <w:r w:rsidRPr="00960A24">
        <w:rPr>
          <w:rFonts w:cs="Times New Roman"/>
          <w:i/>
          <w:iCs/>
        </w:rPr>
        <w:t xml:space="preserve"> </w:t>
      </w:r>
      <w:r w:rsidRPr="00960A24">
        <w:rPr>
          <w:rFonts w:cs="Times New Roman"/>
        </w:rPr>
        <w:t xml:space="preserve">Dred Scott v. Sandford, 60 U.S. 393, 426-27 (1857) (holding that slaves are not American citizens). </w:t>
      </w:r>
    </w:p>
  </w:footnote>
  <w:footnote w:id="195">
    <w:p w:rsidR="007A1944" w:rsidRDefault="007A1944">
      <w:pPr>
        <w:pStyle w:val="FootnoteText"/>
      </w:pPr>
      <w:r>
        <w:rPr>
          <w:rStyle w:val="FootnoteReference"/>
        </w:rPr>
        <w:footnoteRef/>
      </w:r>
      <w:r>
        <w:t xml:space="preserve"> </w:t>
      </w:r>
      <w:r w:rsidRPr="009E329C">
        <w:rPr>
          <w:i/>
        </w:rPr>
        <w:t>See generally</w:t>
      </w:r>
      <w:r>
        <w:t xml:space="preserve"> David. P. Currie, Positive and Negative Constitutional Rights, 53 U. Chi. L. Rev. 864 (1986) (arguing that even within negative rights the case law imposes positive duties on government in many areas).</w:t>
      </w:r>
    </w:p>
  </w:footnote>
  <w:footnote w:id="196">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Waldron, </w:t>
      </w:r>
      <w:r w:rsidRPr="00537CF9">
        <w:rPr>
          <w:rFonts w:cs="Times New Roman"/>
          <w:i/>
          <w:iCs/>
        </w:rPr>
        <w:t xml:space="preserve">supra </w:t>
      </w:r>
      <w:r w:rsidRPr="00090FC9">
        <w:rPr>
          <w:rFonts w:cs="Times New Roman"/>
        </w:rPr>
        <w:t>note __, at 477-78.</w:t>
      </w:r>
    </w:p>
  </w:footnote>
  <w:footnote w:id="197">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sidRPr="00090FC9">
        <w:rPr>
          <w:rFonts w:cs="Times New Roman"/>
        </w:rPr>
        <w:t xml:space="preserve">Waldron, </w:t>
      </w:r>
      <w:r w:rsidRPr="00090FC9">
        <w:rPr>
          <w:rFonts w:cs="Times New Roman"/>
          <w:i/>
          <w:iCs/>
        </w:rPr>
        <w:t xml:space="preserve">supra </w:t>
      </w:r>
      <w:r w:rsidRPr="00090FC9">
        <w:rPr>
          <w:rFonts w:cs="Times New Roman"/>
        </w:rPr>
        <w:t xml:space="preserve">note __, at 478-80 (describing shortcomings of maximizing approach and advocating for egalitarian approach). </w:t>
      </w:r>
    </w:p>
  </w:footnote>
  <w:footnote w:id="198">
    <w:p w:rsidR="007A1944" w:rsidRPr="00090FC9" w:rsidRDefault="007A1944" w:rsidP="00C01143">
      <w:pPr>
        <w:rPr>
          <w:rFonts w:cs="Times New Roman"/>
          <w:sz w:val="20"/>
          <w:szCs w:val="20"/>
        </w:rPr>
      </w:pPr>
      <w:r w:rsidRPr="00537CF9">
        <w:rPr>
          <w:rStyle w:val="FootnoteReference"/>
          <w:rFonts w:cs="Times New Roman"/>
          <w:szCs w:val="20"/>
        </w:rPr>
        <w:footnoteRef/>
      </w:r>
      <w:r w:rsidRPr="00537CF9">
        <w:rPr>
          <w:rFonts w:cs="Times New Roman"/>
          <w:sz w:val="20"/>
          <w:szCs w:val="20"/>
        </w:rPr>
        <w:t xml:space="preserve">  Ultimately, it becomes clear that what Waldron is offering up a theory of what government cannot do, not what it necessarily must.  That’s fair enough:  Writing in the aftermath of 9/11, he was concerned we were harming some populations—especially Muslim ones in the United States—in an effort to keep the rest of us safe.  </w:t>
      </w:r>
    </w:p>
  </w:footnote>
  <w:footnote w:id="199">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Waldron, </w:t>
      </w:r>
      <w:r w:rsidRPr="00537CF9">
        <w:rPr>
          <w:rFonts w:cs="Times New Roman"/>
          <w:i/>
          <w:iCs/>
        </w:rPr>
        <w:t xml:space="preserve">supra </w:t>
      </w:r>
      <w:r w:rsidRPr="00090FC9">
        <w:rPr>
          <w:rFonts w:cs="Times New Roman"/>
        </w:rPr>
        <w:t>note __, at 492.</w:t>
      </w:r>
    </w:p>
  </w:footnote>
  <w:footnote w:id="200">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Waldron, </w:t>
      </w:r>
      <w:r w:rsidRPr="00537CF9">
        <w:rPr>
          <w:rFonts w:cs="Times New Roman"/>
          <w:i/>
          <w:iCs/>
        </w:rPr>
        <w:t xml:space="preserve">supra </w:t>
      </w:r>
      <w:r w:rsidRPr="00090FC9">
        <w:rPr>
          <w:rFonts w:cs="Times New Roman"/>
        </w:rPr>
        <w:t>note __, at 492.</w:t>
      </w:r>
    </w:p>
  </w:footnote>
  <w:footnote w:id="201">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Pr>
          <w:rFonts w:cs="Times New Roman"/>
        </w:rPr>
        <w:t xml:space="preserve">1 </w:t>
      </w:r>
      <w:r w:rsidRPr="00537CF9">
        <w:rPr>
          <w:rFonts w:cs="Times New Roman"/>
          <w:smallCaps/>
        </w:rPr>
        <w:t>Bentham</w:t>
      </w:r>
      <w:r w:rsidRPr="00090FC9">
        <w:rPr>
          <w:rFonts w:cs="Times New Roman"/>
        </w:rPr>
        <w:t xml:space="preserve">, </w:t>
      </w:r>
      <w:r w:rsidRPr="00090FC9">
        <w:rPr>
          <w:rFonts w:cs="Times New Roman"/>
          <w:i/>
          <w:iCs/>
        </w:rPr>
        <w:t xml:space="preserve">supra </w:t>
      </w:r>
      <w:r w:rsidRPr="00090FC9">
        <w:rPr>
          <w:rFonts w:cs="Times New Roman"/>
        </w:rPr>
        <w:t>note __, at 174.</w:t>
      </w:r>
    </w:p>
  </w:footnote>
  <w:footnote w:id="202">
    <w:p w:rsidR="007A1944" w:rsidRDefault="007A1944">
      <w:pPr>
        <w:pStyle w:val="FootnoteText"/>
      </w:pPr>
      <w:r>
        <w:rPr>
          <w:rStyle w:val="FootnoteReference"/>
        </w:rPr>
        <w:footnoteRef/>
      </w:r>
      <w:r>
        <w:t xml:space="preserve"> 1 Commentaries *131. See also RA* cites from Heyman letter in comments </w:t>
      </w:r>
      <w:proofErr w:type="spellStart"/>
      <w:r>
        <w:t>dec</w:t>
      </w:r>
      <w:proofErr w:type="spellEnd"/>
      <w:r>
        <w:t xml:space="preserve"> 20 cumulative at 14.</w:t>
      </w:r>
    </w:p>
  </w:footnote>
  <w:footnote w:id="203">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generally </w:t>
      </w:r>
      <w:r w:rsidRPr="00090FC9">
        <w:rPr>
          <w:rFonts w:cs="Times New Roman"/>
          <w:smallCaps/>
        </w:rPr>
        <w:t>Nicholls</w:t>
      </w:r>
      <w:r w:rsidRPr="00090FC9">
        <w:rPr>
          <w:rFonts w:cs="Times New Roman"/>
        </w:rPr>
        <w:t xml:space="preserve">, </w:t>
      </w:r>
      <w:r w:rsidRPr="00090FC9">
        <w:rPr>
          <w:rFonts w:cs="Times New Roman"/>
          <w:i/>
          <w:iCs/>
        </w:rPr>
        <w:t xml:space="preserve">supra </w:t>
      </w:r>
      <w:r w:rsidRPr="00090FC9">
        <w:rPr>
          <w:rFonts w:cs="Times New Roman"/>
        </w:rPr>
        <w:t xml:space="preserve">note __, at 21-36 (discussing the development of English Poor Laws and almshouses in the 1500s). </w:t>
      </w:r>
    </w:p>
  </w:footnote>
  <w:footnote w:id="204">
    <w:p w:rsidR="007A1944" w:rsidRDefault="007A1944">
      <w:pPr>
        <w:pStyle w:val="FootnoteText"/>
      </w:pPr>
      <w:r>
        <w:rPr>
          <w:rStyle w:val="FootnoteReference"/>
        </w:rPr>
        <w:footnoteRef/>
      </w:r>
      <w:r>
        <w:t>RA* can you find a source making this point that almshouses relieved public of the duty</w:t>
      </w:r>
    </w:p>
  </w:footnote>
  <w:footnote w:id="205">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 Historical Development</w:t>
      </w:r>
      <w:r w:rsidRPr="00090FC9">
        <w:rPr>
          <w:rFonts w:cs="Times New Roman"/>
        </w:rPr>
        <w:t xml:space="preserve">, </w:t>
      </w:r>
      <w:r w:rsidRPr="00090FC9">
        <w:rPr>
          <w:rFonts w:cs="Times New Roman"/>
          <w:i/>
          <w:iCs/>
        </w:rPr>
        <w:t>supra</w:t>
      </w:r>
      <w:r w:rsidRPr="00090FC9">
        <w:rPr>
          <w:rFonts w:cs="Times New Roman"/>
        </w:rPr>
        <w:t xml:space="preserve"> note __ (describing the history of social welfare programs in America).</w:t>
      </w:r>
    </w:p>
  </w:footnote>
  <w:footnote w:id="206">
    <w:p w:rsidR="007A1944" w:rsidRPr="00090FC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 xml:space="preserve">Ryan, </w:t>
      </w:r>
      <w:r w:rsidRPr="00090FC9">
        <w:rPr>
          <w:rFonts w:cs="Times New Roman"/>
          <w:i/>
          <w:iCs/>
        </w:rPr>
        <w:t xml:space="preserve">supra </w:t>
      </w:r>
      <w:r w:rsidRPr="00090FC9">
        <w:rPr>
          <w:rFonts w:cs="Times New Roman"/>
        </w:rPr>
        <w:t xml:space="preserve">note __, at __. [NOTE: PAGE # TO BE FILLED IN LATER. QUOTE IS NEAR THE END OF CHAPTER 1] </w:t>
      </w:r>
    </w:p>
  </w:footnote>
  <w:footnote w:id="207">
    <w:p w:rsidR="007A1944" w:rsidRPr="00090FC9" w:rsidRDefault="007A1944" w:rsidP="003B12E5">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Hobbes</w:t>
      </w:r>
      <w:r w:rsidRPr="00090FC9">
        <w:rPr>
          <w:rFonts w:cs="Times New Roman"/>
        </w:rPr>
        <w:t xml:space="preserve">, </w:t>
      </w:r>
      <w:r w:rsidRPr="00090FC9">
        <w:rPr>
          <w:rFonts w:cs="Times New Roman"/>
          <w:i/>
          <w:iCs/>
        </w:rPr>
        <w:t xml:space="preserve">supra </w:t>
      </w:r>
      <w:r w:rsidRPr="00090FC9">
        <w:rPr>
          <w:rFonts w:cs="Times New Roman"/>
        </w:rPr>
        <w:t>note __, at 110.</w:t>
      </w:r>
    </w:p>
  </w:footnote>
  <w:footnote w:id="208">
    <w:p w:rsidR="007A1944" w:rsidRPr="00960A24" w:rsidRDefault="007A1944" w:rsidP="0094658B">
      <w:pPr>
        <w:pStyle w:val="FootnoteText"/>
        <w:rPr>
          <w:rFonts w:cs="Times New Roman"/>
        </w:rPr>
      </w:pPr>
      <w:r w:rsidRPr="00537CF9">
        <w:rPr>
          <w:rStyle w:val="FootnoteReference"/>
          <w:rFonts w:cs="Times New Roman"/>
        </w:rPr>
        <w:footnoteRef/>
      </w:r>
      <w:r w:rsidRPr="00537CF9">
        <w:rPr>
          <w:rFonts w:cs="Times New Roman"/>
        </w:rPr>
        <w:t xml:space="preserve"> </w:t>
      </w:r>
      <w:r>
        <w:rPr>
          <w:rFonts w:cs="Times New Roman"/>
        </w:rPr>
        <w:t xml:space="preserve">1 </w:t>
      </w:r>
      <w:r w:rsidRPr="00537CF9">
        <w:rPr>
          <w:rFonts w:cs="Times New Roman"/>
          <w:smallCaps/>
        </w:rPr>
        <w:t>Bentham</w:t>
      </w:r>
      <w:r w:rsidRPr="00090FC9">
        <w:rPr>
          <w:rFonts w:cs="Times New Roman"/>
        </w:rPr>
        <w:t xml:space="preserve">, </w:t>
      </w:r>
      <w:r w:rsidRPr="00090FC9">
        <w:rPr>
          <w:rFonts w:cs="Times New Roman"/>
          <w:i/>
          <w:iCs/>
        </w:rPr>
        <w:t xml:space="preserve">supra </w:t>
      </w:r>
      <w:r w:rsidRPr="00090FC9">
        <w:rPr>
          <w:rFonts w:cs="Times New Roman"/>
        </w:rPr>
        <w:t>note __, at 152</w:t>
      </w:r>
      <w:r w:rsidRPr="00960A24">
        <w:rPr>
          <w:rFonts w:cs="Times New Roman"/>
        </w:rPr>
        <w:t>.</w:t>
      </w:r>
    </w:p>
  </w:footnote>
  <w:footnote w:id="209">
    <w:p w:rsidR="007A1944" w:rsidRPr="00537CF9" w:rsidRDefault="007A1944" w:rsidP="003B12E5">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w:t>
      </w:r>
      <w:r w:rsidRPr="00090FC9">
        <w:rPr>
          <w:rFonts w:cs="Times New Roman"/>
          <w:i/>
          <w:iCs/>
        </w:rPr>
        <w:t xml:space="preserve"> </w:t>
      </w:r>
      <w:r w:rsidRPr="00090FC9">
        <w:rPr>
          <w:rFonts w:cs="Times New Roman"/>
          <w:smallCaps/>
        </w:rPr>
        <w:t>Musgrave</w:t>
      </w:r>
      <w:r w:rsidRPr="00090FC9">
        <w:rPr>
          <w:rFonts w:cs="Times New Roman"/>
        </w:rPr>
        <w:t xml:space="preserve">, </w:t>
      </w:r>
      <w:r w:rsidRPr="00090FC9">
        <w:rPr>
          <w:rFonts w:cs="Times New Roman"/>
          <w:i/>
          <w:iCs/>
        </w:rPr>
        <w:t xml:space="preserve">supra </w:t>
      </w:r>
      <w:r w:rsidRPr="00090FC9">
        <w:rPr>
          <w:rFonts w:cs="Times New Roman"/>
        </w:rPr>
        <w:t>note __, at 44 (defining public goods as those which require public production);</w:t>
      </w:r>
      <w:r w:rsidRPr="00960A24">
        <w:rPr>
          <w:rFonts w:cs="Times New Roman"/>
          <w:i/>
          <w:iCs/>
        </w:rPr>
        <w:t xml:space="preserve"> </w:t>
      </w:r>
      <w:r w:rsidRPr="00960A24">
        <w:rPr>
          <w:rFonts w:cs="Times New Roman"/>
        </w:rPr>
        <w:t xml:space="preserve">Samuelson, </w:t>
      </w:r>
      <w:r w:rsidRPr="00960A24">
        <w:rPr>
          <w:rFonts w:cs="Times New Roman"/>
          <w:i/>
          <w:iCs/>
        </w:rPr>
        <w:t xml:space="preserve">supra </w:t>
      </w:r>
      <w:r w:rsidRPr="00960A24">
        <w:rPr>
          <w:rFonts w:cs="Times New Roman"/>
        </w:rPr>
        <w:t>note __ (describing the concept of “collective consumption goods” funded by public expenditures and enjoyed in common)</w:t>
      </w:r>
      <w:r w:rsidRPr="00537CF9">
        <w:rPr>
          <w:rFonts w:cs="Times New Roman"/>
        </w:rPr>
        <w:t xml:space="preserve">. </w:t>
      </w:r>
    </w:p>
  </w:footnote>
  <w:footnote w:id="210">
    <w:p w:rsidR="007A1944" w:rsidRPr="00960A24"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w:t>
      </w:r>
      <w:r w:rsidRPr="00090FC9">
        <w:rPr>
          <w:rFonts w:cs="Times New Roman"/>
          <w:i/>
          <w:iCs/>
        </w:rPr>
        <w:t xml:space="preserve"> </w:t>
      </w:r>
      <w:r w:rsidRPr="00090FC9">
        <w:rPr>
          <w:rFonts w:cs="Times New Roman"/>
        </w:rPr>
        <w:t xml:space="preserve">Cowen, </w:t>
      </w:r>
      <w:r w:rsidRPr="00090FC9">
        <w:rPr>
          <w:rFonts w:cs="Times New Roman"/>
          <w:i/>
          <w:iCs/>
        </w:rPr>
        <w:t xml:space="preserve">supra </w:t>
      </w:r>
      <w:r w:rsidRPr="00090FC9">
        <w:rPr>
          <w:rFonts w:cs="Times New Roman"/>
        </w:rPr>
        <w:t>note __, at 54 (describing non-rivalrous consumption and non-excludability as the defining elements of public goods);</w:t>
      </w:r>
      <w:r w:rsidRPr="00090FC9">
        <w:rPr>
          <w:rFonts w:cs="Times New Roman"/>
          <w:i/>
          <w:iCs/>
        </w:rPr>
        <w:t xml:space="preserve"> </w:t>
      </w:r>
      <w:r w:rsidRPr="00090FC9">
        <w:rPr>
          <w:rFonts w:cs="Times New Roman"/>
        </w:rPr>
        <w:t xml:space="preserve">Hummel, </w:t>
      </w:r>
      <w:r w:rsidRPr="00960A24">
        <w:rPr>
          <w:rFonts w:cs="Times New Roman"/>
          <w:i/>
          <w:iCs/>
        </w:rPr>
        <w:t xml:space="preserve">supra </w:t>
      </w:r>
      <w:r w:rsidRPr="00960A24">
        <w:rPr>
          <w:rFonts w:cs="Times New Roman"/>
        </w:rPr>
        <w:t xml:space="preserve">note __, at 89 (same); Samuelson, </w:t>
      </w:r>
      <w:r w:rsidRPr="00960A24">
        <w:rPr>
          <w:rFonts w:cs="Times New Roman"/>
          <w:i/>
          <w:iCs/>
        </w:rPr>
        <w:t xml:space="preserve">supra </w:t>
      </w:r>
      <w:r w:rsidRPr="00960A24">
        <w:rPr>
          <w:rFonts w:cs="Times New Roman"/>
        </w:rPr>
        <w:t>note __, at 387 (“[E]</w:t>
      </w:r>
      <w:proofErr w:type="spellStart"/>
      <w:r w:rsidRPr="00960A24">
        <w:rPr>
          <w:rFonts w:cs="Times New Roman"/>
        </w:rPr>
        <w:t>ach</w:t>
      </w:r>
      <w:proofErr w:type="spellEnd"/>
      <w:r w:rsidRPr="00960A24">
        <w:rPr>
          <w:rFonts w:cs="Times New Roman"/>
        </w:rPr>
        <w:t xml:space="preserve"> individual’s consumption of [a public good] leads to no subtraction from any other individual’s consumption of that good . . . .”). </w:t>
      </w:r>
    </w:p>
  </w:footnote>
  <w:footnote w:id="211">
    <w:p w:rsidR="007A1944" w:rsidRPr="00090FC9" w:rsidRDefault="007A1944" w:rsidP="00B16DB8">
      <w:pPr>
        <w:pStyle w:val="FootnoteText"/>
        <w:rPr>
          <w:rFonts w:cs="Times New Roman"/>
        </w:rPr>
      </w:pPr>
      <w:r w:rsidRPr="00537CF9">
        <w:rPr>
          <w:rStyle w:val="FootnoteReference"/>
          <w:rFonts w:cs="Times New Roman"/>
        </w:rPr>
        <w:footnoteRef/>
      </w:r>
      <w:r w:rsidRPr="00537CF9">
        <w:rPr>
          <w:rFonts w:cs="Times New Roman"/>
        </w:rPr>
        <w:t xml:space="preserve"> </w:t>
      </w:r>
      <w:proofErr w:type="spellStart"/>
      <w:r w:rsidRPr="00537CF9">
        <w:rPr>
          <w:rFonts w:cs="Times New Roman"/>
        </w:rPr>
        <w:t>Tiebout</w:t>
      </w:r>
      <w:proofErr w:type="spellEnd"/>
      <w:r w:rsidRPr="00537CF9">
        <w:rPr>
          <w:rFonts w:cs="Times New Roman"/>
        </w:rPr>
        <w:t xml:space="preserve">, </w:t>
      </w:r>
      <w:r w:rsidRPr="00537CF9">
        <w:rPr>
          <w:rFonts w:cs="Times New Roman"/>
          <w:i/>
          <w:iCs/>
        </w:rPr>
        <w:t xml:space="preserve">supra </w:t>
      </w:r>
      <w:r w:rsidRPr="00090FC9">
        <w:rPr>
          <w:rFonts w:cs="Times New Roman"/>
        </w:rPr>
        <w:t>note __, at 417.</w:t>
      </w:r>
    </w:p>
  </w:footnote>
  <w:footnote w:id="212">
    <w:p w:rsidR="007A1944" w:rsidRPr="00960A24"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sidRPr="00090FC9">
        <w:rPr>
          <w:rFonts w:cs="Times New Roman"/>
        </w:rPr>
        <w:t xml:space="preserve">Coyne, </w:t>
      </w:r>
      <w:r w:rsidRPr="00090FC9">
        <w:rPr>
          <w:rFonts w:cs="Times New Roman"/>
          <w:i/>
          <w:iCs/>
        </w:rPr>
        <w:t xml:space="preserve">supra </w:t>
      </w:r>
      <w:r w:rsidRPr="00090FC9">
        <w:rPr>
          <w:rFonts w:cs="Times New Roman"/>
        </w:rPr>
        <w:t xml:space="preserve">note __, at 374 (“[T]he idea of a national missile defense shield. . . is often used to illustrate the supposed publicness of national defense. . . . [I]t is non-rivalrous and non-excludable from the standpoint of the nation.”). </w:t>
      </w:r>
    </w:p>
  </w:footnote>
  <w:footnote w:id="213">
    <w:p w:rsidR="007A1944" w:rsidRPr="00960A24"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w:t>
      </w:r>
      <w:r w:rsidRPr="00090FC9">
        <w:rPr>
          <w:rFonts w:cs="Times New Roman"/>
          <w:i/>
          <w:iCs/>
        </w:rPr>
        <w:t xml:space="preserve"> </w:t>
      </w:r>
      <w:r w:rsidRPr="00090FC9">
        <w:rPr>
          <w:rFonts w:cs="Times New Roman"/>
        </w:rPr>
        <w:t xml:space="preserve">Brooks, </w:t>
      </w:r>
      <w:r w:rsidRPr="00090FC9">
        <w:rPr>
          <w:rFonts w:cs="Times New Roman"/>
          <w:i/>
          <w:iCs/>
        </w:rPr>
        <w:t xml:space="preserve">supra </w:t>
      </w:r>
      <w:r w:rsidRPr="00090FC9">
        <w:rPr>
          <w:rFonts w:cs="Times New Roman"/>
        </w:rPr>
        <w:t>note __, at 388 (“The standard solution for such a collective action problem is for the government to compel taxation, and provide the public good for everyone.”);</w:t>
      </w:r>
      <w:r w:rsidRPr="00090FC9">
        <w:rPr>
          <w:rFonts w:cs="Times New Roman"/>
          <w:i/>
          <w:iCs/>
        </w:rPr>
        <w:t xml:space="preserve"> </w:t>
      </w:r>
      <w:r w:rsidRPr="00090FC9">
        <w:rPr>
          <w:rFonts w:cs="Times New Roman"/>
        </w:rPr>
        <w:t xml:space="preserve">Hummel, </w:t>
      </w:r>
      <w:r w:rsidRPr="00960A24">
        <w:rPr>
          <w:rFonts w:cs="Times New Roman"/>
          <w:i/>
          <w:iCs/>
        </w:rPr>
        <w:t xml:space="preserve">supra </w:t>
      </w:r>
      <w:r w:rsidRPr="00960A24">
        <w:rPr>
          <w:rFonts w:cs="Times New Roman"/>
        </w:rPr>
        <w:t>note __, at 93 (“[U]</w:t>
      </w:r>
      <w:proofErr w:type="spellStart"/>
      <w:r w:rsidRPr="00960A24">
        <w:rPr>
          <w:rFonts w:cs="Times New Roman"/>
        </w:rPr>
        <w:t>nless</w:t>
      </w:r>
      <w:proofErr w:type="spellEnd"/>
      <w:r w:rsidRPr="00960A24">
        <w:rPr>
          <w:rFonts w:cs="Times New Roman"/>
        </w:rPr>
        <w:t xml:space="preserve"> taxation or some other coercive levy forces people to contribute, [non-excludable goods] would be inadequately funded and therefore under-produced.”).  </w:t>
      </w:r>
    </w:p>
  </w:footnote>
  <w:footnote w:id="214">
    <w:p w:rsidR="007A1944" w:rsidRPr="00537CF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Olson</w:t>
      </w:r>
      <w:r w:rsidRPr="00090FC9">
        <w:rPr>
          <w:rFonts w:cs="Times New Roman"/>
          <w:smallCaps/>
        </w:rPr>
        <w:t xml:space="preserve">, </w:t>
      </w:r>
      <w:r w:rsidRPr="00090FC9">
        <w:rPr>
          <w:rFonts w:cs="Times New Roman"/>
          <w:i/>
          <w:iCs/>
        </w:rPr>
        <w:t xml:space="preserve">supra </w:t>
      </w:r>
      <w:r w:rsidRPr="00090FC9">
        <w:rPr>
          <w:rFonts w:cs="Times New Roman"/>
        </w:rPr>
        <w:t xml:space="preserve">note __, at 14.  </w:t>
      </w:r>
      <w:r w:rsidRPr="00090FC9">
        <w:rPr>
          <w:rFonts w:cs="Times New Roman"/>
          <w:i/>
          <w:iCs/>
        </w:rPr>
        <w:t xml:space="preserve">See also </w:t>
      </w:r>
      <w:r w:rsidRPr="00090FC9">
        <w:rPr>
          <w:rFonts w:cs="Times New Roman"/>
        </w:rPr>
        <w:t xml:space="preserve">Hummel, </w:t>
      </w:r>
      <w:r w:rsidRPr="00090FC9">
        <w:rPr>
          <w:rFonts w:cs="Times New Roman"/>
          <w:i/>
          <w:iCs/>
        </w:rPr>
        <w:t xml:space="preserve">supra </w:t>
      </w:r>
      <w:r w:rsidRPr="00960A24">
        <w:rPr>
          <w:rFonts w:cs="Times New Roman"/>
        </w:rPr>
        <w:t xml:space="preserve">note __, at 111 (characterizing the creation of a government-run police and court system as a public good). </w:t>
      </w:r>
    </w:p>
  </w:footnote>
  <w:footnote w:id="215">
    <w:p w:rsidR="007A1944" w:rsidRPr="00C622B7" w:rsidRDefault="007A1944" w:rsidP="00E20540">
      <w:pPr>
        <w:pStyle w:val="FootnoteText"/>
        <w:rPr>
          <w:rFonts w:cs="Times New Roman"/>
          <w:u w:val="single"/>
        </w:rPr>
      </w:pPr>
      <w:r w:rsidRPr="00C622B7">
        <w:rPr>
          <w:rStyle w:val="FootnoteReference"/>
          <w:rFonts w:cs="Times New Roman"/>
        </w:rPr>
        <w:footnoteRef/>
      </w:r>
      <w:r w:rsidRPr="00C622B7">
        <w:rPr>
          <w:rFonts w:cs="Times New Roman"/>
        </w:rPr>
        <w:t xml:space="preserve"> Ed Gallek, </w:t>
      </w:r>
      <w:r w:rsidRPr="00C622B7">
        <w:rPr>
          <w:rFonts w:cs="Times New Roman"/>
          <w:i/>
          <w:iCs/>
        </w:rPr>
        <w:t>More Than 2,000 Cleveland Police 911 Calls Went Unanswered in June: I-Team</w:t>
      </w:r>
      <w:r w:rsidRPr="00C622B7">
        <w:rPr>
          <w:rFonts w:cs="Times New Roman"/>
        </w:rPr>
        <w:t xml:space="preserve">, </w:t>
      </w:r>
      <w:r w:rsidRPr="00C622B7">
        <w:rPr>
          <w:rFonts w:cs="Times New Roman"/>
          <w:smallCaps/>
        </w:rPr>
        <w:t>Fox8: I-Team</w:t>
      </w:r>
      <w:r w:rsidRPr="00C622B7">
        <w:rPr>
          <w:rFonts w:cs="Times New Roman"/>
        </w:rPr>
        <w:t xml:space="preserve"> (June 17, 2020, 5:45 PM), https://fox8.com/news/i-team/i-team-more-than-2000-cleveland-police-911-calls-went-unanswered-in-june; Ted Booker, </w:t>
      </w:r>
      <w:r w:rsidRPr="00C622B7">
        <w:rPr>
          <w:rFonts w:cs="Times New Roman"/>
          <w:i/>
          <w:iCs/>
        </w:rPr>
        <w:t>10,000 911 Calls Go Unanswered in St. Joseph County Last Year</w:t>
      </w:r>
      <w:r w:rsidRPr="00C622B7">
        <w:rPr>
          <w:rFonts w:cs="Times New Roman"/>
        </w:rPr>
        <w:t xml:space="preserve">, </w:t>
      </w:r>
      <w:r w:rsidRPr="00C622B7">
        <w:rPr>
          <w:rFonts w:cs="Times New Roman"/>
          <w:smallCaps/>
        </w:rPr>
        <w:t xml:space="preserve">South Bend Trib. </w:t>
      </w:r>
      <w:r w:rsidRPr="00C622B7">
        <w:rPr>
          <w:rFonts w:cs="Times New Roman"/>
        </w:rPr>
        <w:t xml:space="preserve">(June 28, 2017),  https://www.businessinsider.com/the-most-dangerous-jobs-in-america-2018-7. </w:t>
      </w:r>
    </w:p>
  </w:footnote>
  <w:footnote w:id="216">
    <w:p w:rsidR="007A1944" w:rsidRPr="00090FC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sidRPr="00C622B7">
        <w:rPr>
          <w:rFonts w:cs="Times New Roman"/>
          <w:i/>
          <w:iCs/>
        </w:rPr>
        <w:t>Court Fees and Getting Court Fees Paid</w:t>
      </w:r>
      <w:r w:rsidRPr="00090FC9">
        <w:rPr>
          <w:rFonts w:cs="Times New Roman"/>
        </w:rPr>
        <w:t xml:space="preserve">, </w:t>
      </w:r>
      <w:proofErr w:type="spellStart"/>
      <w:r w:rsidRPr="00090FC9">
        <w:rPr>
          <w:rFonts w:cs="Times New Roman"/>
          <w:smallCaps/>
        </w:rPr>
        <w:t>LawHelp</w:t>
      </w:r>
      <w:proofErr w:type="spellEnd"/>
      <w:r w:rsidRPr="00090FC9">
        <w:rPr>
          <w:rFonts w:cs="Times New Roman"/>
        </w:rPr>
        <w:t>, https://www.lawhelp.org/resource/court-fees-and-getting-court-fees-paid (last visited July 24, 2020) (describing categories of common court costs).</w:t>
      </w:r>
    </w:p>
  </w:footnote>
  <w:footnote w:id="217">
    <w:p w:rsidR="007A1944" w:rsidRPr="00537CF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proofErr w:type="spellStart"/>
      <w:r w:rsidRPr="00090FC9">
        <w:rPr>
          <w:rFonts w:cs="Times New Roman"/>
        </w:rPr>
        <w:t>Markadonatos</w:t>
      </w:r>
      <w:proofErr w:type="spellEnd"/>
      <w:r w:rsidRPr="00090FC9">
        <w:rPr>
          <w:rFonts w:cs="Times New Roman"/>
        </w:rPr>
        <w:t xml:space="preserve"> v. </w:t>
      </w:r>
      <w:proofErr w:type="spellStart"/>
      <w:r w:rsidRPr="00090FC9">
        <w:rPr>
          <w:rFonts w:cs="Times New Roman"/>
        </w:rPr>
        <w:t>Vill</w:t>
      </w:r>
      <w:proofErr w:type="spellEnd"/>
      <w:r w:rsidRPr="00090FC9">
        <w:rPr>
          <w:rFonts w:cs="Times New Roman"/>
        </w:rPr>
        <w:t>. of Woodridge</w:t>
      </w:r>
      <w:r w:rsidRPr="00090FC9">
        <w:rPr>
          <w:rFonts w:cs="Times New Roman"/>
          <w:i/>
          <w:iCs/>
        </w:rPr>
        <w:t>,</w:t>
      </w:r>
      <w:r w:rsidRPr="00090FC9">
        <w:rPr>
          <w:rFonts w:cs="Times New Roman"/>
        </w:rPr>
        <w:t xml:space="preserve"> 760 F.3d 545, 545-52 (7th Cir. 2014) (upholding defendant munici</w:t>
      </w:r>
      <w:r w:rsidRPr="00960A24">
        <w:rPr>
          <w:rFonts w:cs="Times New Roman"/>
        </w:rPr>
        <w:t xml:space="preserve">pality’s practice of charging an administrative fee “upon completion of any custodial arrest/booking procedure”);  Christopher Zoukis, </w:t>
      </w:r>
      <w:r w:rsidRPr="00960A24">
        <w:rPr>
          <w:rFonts w:cs="Times New Roman"/>
          <w:i/>
          <w:iCs/>
        </w:rPr>
        <w:t>Supreme Court Declines to Hear Case on Jail Booking Fees</w:t>
      </w:r>
      <w:r w:rsidRPr="00960A24">
        <w:rPr>
          <w:rFonts w:cs="Times New Roman"/>
        </w:rPr>
        <w:t xml:space="preserve">, </w:t>
      </w:r>
      <w:r w:rsidRPr="00960A24">
        <w:rPr>
          <w:rFonts w:cs="Times New Roman"/>
          <w:smallCaps/>
        </w:rPr>
        <w:t>Prison Legal News</w:t>
      </w:r>
      <w:r w:rsidRPr="00960A24">
        <w:rPr>
          <w:rFonts w:cs="Times New Roman"/>
        </w:rPr>
        <w:t xml:space="preserve"> (Nov. 7, 2017), https://www.prisonlegalnews.org/news/2017/nov/7/supreme-court-declines-hear-case-jail-booking-fees/ (describing</w:t>
      </w:r>
      <w:r w:rsidRPr="00537CF9">
        <w:rPr>
          <w:rFonts w:cs="Times New Roman"/>
        </w:rPr>
        <w:t xml:space="preserve"> practice of “booking fees” charged to all arrestees in some jurisdictions). </w:t>
      </w:r>
    </w:p>
  </w:footnote>
  <w:footnote w:id="218">
    <w:p w:rsidR="007A1944" w:rsidRPr="003B12E5" w:rsidRDefault="007A1944" w:rsidP="003B12E5">
      <w:pPr>
        <w:rPr>
          <w:rFonts w:eastAsia="Calibri" w:cs="Times New Roman"/>
          <w:sz w:val="20"/>
          <w:szCs w:val="20"/>
        </w:rPr>
      </w:pPr>
      <w:r w:rsidRPr="00537CF9">
        <w:rPr>
          <w:rStyle w:val="FootnoteReference"/>
          <w:rFonts w:cs="Times New Roman"/>
        </w:rPr>
        <w:footnoteRef/>
      </w:r>
      <w:r w:rsidRPr="00537CF9">
        <w:rPr>
          <w:rFonts w:cs="Times New Roman"/>
        </w:rPr>
        <w:t xml:space="preserve">  </w:t>
      </w:r>
      <w:r w:rsidRPr="003B12E5">
        <w:rPr>
          <w:rFonts w:cs="Times New Roman"/>
          <w:i/>
          <w:iCs/>
          <w:sz w:val="20"/>
          <w:szCs w:val="20"/>
        </w:rPr>
        <w:t xml:space="preserve">Cf. </w:t>
      </w:r>
      <w:r w:rsidRPr="003B12E5">
        <w:rPr>
          <w:rFonts w:cs="Times New Roman"/>
          <w:sz w:val="20"/>
          <w:szCs w:val="20"/>
        </w:rPr>
        <w:t xml:space="preserve">Erwin A. Blackstone et al., </w:t>
      </w:r>
      <w:r w:rsidRPr="003B12E5">
        <w:rPr>
          <w:rFonts w:cs="Times New Roman"/>
          <w:i/>
          <w:iCs/>
          <w:sz w:val="20"/>
          <w:szCs w:val="20"/>
        </w:rPr>
        <w:t>Evaluation of Alternative Policies to Combat False Emergency Calls</w:t>
      </w:r>
      <w:r w:rsidRPr="003B12E5">
        <w:rPr>
          <w:rFonts w:cs="Times New Roman"/>
          <w:sz w:val="20"/>
          <w:szCs w:val="20"/>
        </w:rPr>
        <w:t xml:space="preserve">, 28 </w:t>
      </w:r>
      <w:r w:rsidRPr="003B12E5">
        <w:rPr>
          <w:rFonts w:cs="Times New Roman"/>
          <w:smallCaps/>
          <w:sz w:val="20"/>
          <w:szCs w:val="20"/>
        </w:rPr>
        <w:t>Evaluation &amp; Program Plan.</w:t>
      </w:r>
      <w:r w:rsidRPr="003B12E5">
        <w:rPr>
          <w:rFonts w:cs="Times New Roman"/>
          <w:sz w:val="20"/>
          <w:szCs w:val="20"/>
        </w:rPr>
        <w:t xml:space="preserve"> 233, 317 (2004)</w:t>
      </w:r>
      <w:r w:rsidRPr="003B12E5">
        <w:rPr>
          <w:rFonts w:cs="Times New Roman"/>
          <w:i/>
          <w:iCs/>
          <w:sz w:val="20"/>
          <w:szCs w:val="20"/>
        </w:rPr>
        <w:t xml:space="preserve"> </w:t>
      </w:r>
      <w:r w:rsidRPr="003B12E5">
        <w:rPr>
          <w:rFonts w:cs="Times New Roman"/>
          <w:sz w:val="20"/>
          <w:szCs w:val="20"/>
        </w:rPr>
        <w:t xml:space="preserve">(arguing that “consumers of false alarm response [should be required] to pay for the cost of the service rendered.”). </w:t>
      </w:r>
      <w:r w:rsidRPr="003B12E5">
        <w:rPr>
          <w:rFonts w:eastAsia="Calibri" w:cs="Times New Roman"/>
          <w:sz w:val="20"/>
          <w:szCs w:val="20"/>
        </w:rPr>
        <w:t>Nor does the argument that protection is a partial public good work any better. It’s certainly true that for a fee some group of people can lock themselves in a gated community, and provide private security, thereby avoiding free riding. But this is something government is not entitled to do. The actual provision of protection is distributed wildly unevenly; there are neighborhoods in this country beset by horrific violence that the government cannot seem to quell. But ostensibly government is obligated to provide public safety without discrimination or favor.</w:t>
      </w:r>
    </w:p>
    <w:p w:rsidR="007A1944" w:rsidRPr="00960A24" w:rsidRDefault="007A1944" w:rsidP="00E20540">
      <w:pPr>
        <w:pStyle w:val="FootnoteText"/>
        <w:rPr>
          <w:rFonts w:cs="Times New Roman"/>
        </w:rPr>
      </w:pPr>
    </w:p>
  </w:footnote>
  <w:footnote w:id="219">
    <w:p w:rsidR="007A1944" w:rsidRPr="00960A24"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sidRPr="00090FC9">
        <w:rPr>
          <w:rFonts w:cs="Times New Roman"/>
        </w:rPr>
        <w:t xml:space="preserve">Daniel A. Farber, </w:t>
      </w:r>
      <w:r w:rsidRPr="00090FC9">
        <w:rPr>
          <w:rFonts w:cs="Times New Roman"/>
          <w:i/>
          <w:iCs/>
        </w:rPr>
        <w:t>Politics and Procedure in Environmental Law</w:t>
      </w:r>
      <w:r w:rsidRPr="00090FC9">
        <w:rPr>
          <w:rFonts w:cs="Times New Roman"/>
        </w:rPr>
        <w:t xml:space="preserve">, 8 </w:t>
      </w:r>
      <w:r w:rsidRPr="00090FC9">
        <w:rPr>
          <w:rFonts w:cs="Times New Roman"/>
          <w:smallCaps/>
        </w:rPr>
        <w:t xml:space="preserve">J. L. Econ. &amp; Org. </w:t>
      </w:r>
      <w:r w:rsidRPr="00090FC9">
        <w:rPr>
          <w:rFonts w:cs="Times New Roman"/>
        </w:rPr>
        <w:t xml:space="preserve">59, 59-60 (1992) (describing how environmental regulation </w:t>
      </w:r>
      <w:r w:rsidRPr="00960A24">
        <w:rPr>
          <w:rFonts w:cs="Times New Roman"/>
        </w:rPr>
        <w:t xml:space="preserve">produces public goods such as clean air). </w:t>
      </w:r>
    </w:p>
  </w:footnote>
  <w:footnote w:id="220">
    <w:p w:rsidR="007A1944" w:rsidRPr="00090FC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proofErr w:type="spellStart"/>
      <w:r w:rsidRPr="00090FC9">
        <w:rPr>
          <w:rFonts w:cs="Times New Roman"/>
        </w:rPr>
        <w:t>Cornes</w:t>
      </w:r>
      <w:proofErr w:type="spellEnd"/>
      <w:r w:rsidRPr="00090FC9">
        <w:rPr>
          <w:rFonts w:cs="Times New Roman"/>
        </w:rPr>
        <w:t xml:space="preserve"> &amp; Sandler, </w:t>
      </w:r>
      <w:r w:rsidRPr="00090FC9">
        <w:rPr>
          <w:rFonts w:cs="Times New Roman"/>
          <w:i/>
          <w:iCs/>
        </w:rPr>
        <w:t xml:space="preserve">supra </w:t>
      </w:r>
      <w:r w:rsidRPr="00090FC9">
        <w:rPr>
          <w:rFonts w:cs="Times New Roman"/>
        </w:rPr>
        <w:t xml:space="preserve">note __, at 6 (describing how issues with externalities can justify government intervention in the provision of public goods). </w:t>
      </w:r>
    </w:p>
  </w:footnote>
  <w:footnote w:id="221">
    <w:p w:rsidR="007A1944" w:rsidRDefault="007A1944">
      <w:pPr>
        <w:pStyle w:val="FootnoteText"/>
      </w:pPr>
      <w:r>
        <w:rPr>
          <w:rStyle w:val="FootnoteReference"/>
        </w:rPr>
        <w:footnoteRef/>
      </w:r>
      <w:r>
        <w:t xml:space="preserve"> </w:t>
      </w:r>
      <w:r w:rsidRPr="00960A24">
        <w:rPr>
          <w:rFonts w:cs="Times New Roman"/>
          <w:i/>
          <w:iCs/>
        </w:rPr>
        <w:t>See generally</w:t>
      </w:r>
      <w:r w:rsidRPr="00960A24">
        <w:rPr>
          <w:rFonts w:cs="Times New Roman"/>
        </w:rPr>
        <w:t xml:space="preserve"> Philip J. Cook &amp; Jens Ludwig, </w:t>
      </w:r>
      <w:r w:rsidRPr="00960A24">
        <w:rPr>
          <w:rFonts w:cs="Times New Roman"/>
          <w:i/>
          <w:iCs/>
        </w:rPr>
        <w:t>The Social Costs of Gun Ownership</w:t>
      </w:r>
      <w:r w:rsidRPr="00960A24">
        <w:rPr>
          <w:rFonts w:cs="Times New Roman"/>
        </w:rPr>
        <w:t xml:space="preserve">, 90 </w:t>
      </w:r>
      <w:r w:rsidRPr="00960A24">
        <w:rPr>
          <w:rFonts w:cs="Times New Roman"/>
          <w:smallCaps/>
        </w:rPr>
        <w:t>J. Pub. Econ.</w:t>
      </w:r>
      <w:r w:rsidRPr="00960A24">
        <w:rPr>
          <w:rFonts w:cs="Times New Roman"/>
        </w:rPr>
        <w:t xml:space="preserve"> 379 (2006) (arguing that, due to increases in homicide and suicide rates, marginal social cost of household gun ownership </w:t>
      </w:r>
      <w:r>
        <w:rPr>
          <w:rFonts w:cs="Times New Roman"/>
        </w:rPr>
        <w:t>ranges from</w:t>
      </w:r>
      <w:r w:rsidRPr="00960A24">
        <w:rPr>
          <w:rFonts w:cs="Times New Roman"/>
        </w:rPr>
        <w:t xml:space="preserve"> $100 to $1800).</w:t>
      </w:r>
    </w:p>
  </w:footnote>
  <w:footnote w:id="222">
    <w:p w:rsidR="007A1944" w:rsidRPr="00A7630F" w:rsidRDefault="007A1944" w:rsidP="00A7630F">
      <w:pPr>
        <w:rPr>
          <w:rFonts w:eastAsia="Calibri" w:cs="Times New Roman"/>
          <w:sz w:val="20"/>
          <w:szCs w:val="20"/>
        </w:rPr>
      </w:pPr>
      <w:r>
        <w:rPr>
          <w:rStyle w:val="FootnoteReference"/>
        </w:rPr>
        <w:footnoteRef/>
      </w:r>
      <w:r>
        <w:t xml:space="preserve"> </w:t>
      </w:r>
      <w:r w:rsidRPr="00BD1B59">
        <w:rPr>
          <w:rFonts w:cs="Times New Roman"/>
          <w:smallCaps/>
          <w:sz w:val="20"/>
          <w:szCs w:val="20"/>
        </w:rPr>
        <w:t>Weber</w:t>
      </w:r>
      <w:r w:rsidRPr="00BD1B59">
        <w:rPr>
          <w:rFonts w:cs="Times New Roman"/>
          <w:sz w:val="20"/>
          <w:szCs w:val="20"/>
        </w:rPr>
        <w:t xml:space="preserve">, </w:t>
      </w:r>
      <w:r w:rsidRPr="00BD1B59">
        <w:rPr>
          <w:rFonts w:cs="Times New Roman"/>
          <w:i/>
          <w:iCs/>
          <w:sz w:val="20"/>
          <w:szCs w:val="20"/>
        </w:rPr>
        <w:t xml:space="preserve">supra </w:t>
      </w:r>
      <w:r w:rsidRPr="00BD1B59">
        <w:rPr>
          <w:rFonts w:cs="Times New Roman"/>
          <w:sz w:val="20"/>
          <w:szCs w:val="20"/>
        </w:rPr>
        <w:t xml:space="preserve">note __, at 78; </w:t>
      </w:r>
      <w:r w:rsidRPr="00BD1B59">
        <w:rPr>
          <w:rFonts w:cs="Times New Roman"/>
          <w:i/>
          <w:sz w:val="20"/>
          <w:szCs w:val="20"/>
        </w:rPr>
        <w:t>s</w:t>
      </w:r>
      <w:r w:rsidRPr="00BD1B59">
        <w:rPr>
          <w:rFonts w:cs="Times New Roman"/>
          <w:i/>
          <w:iCs/>
          <w:sz w:val="20"/>
          <w:szCs w:val="20"/>
        </w:rPr>
        <w:t xml:space="preserve">ee also </w:t>
      </w:r>
      <w:r w:rsidRPr="00BD1B59">
        <w:rPr>
          <w:rFonts w:cs="Times New Roman"/>
          <w:smallCaps/>
          <w:sz w:val="20"/>
          <w:szCs w:val="20"/>
        </w:rPr>
        <w:t xml:space="preserve">John </w:t>
      </w:r>
      <w:proofErr w:type="spellStart"/>
      <w:r w:rsidRPr="00BD1B59">
        <w:rPr>
          <w:rFonts w:cs="Times New Roman"/>
          <w:smallCaps/>
          <w:sz w:val="20"/>
          <w:szCs w:val="20"/>
        </w:rPr>
        <w:t>Schwarzmantel</w:t>
      </w:r>
      <w:proofErr w:type="spellEnd"/>
      <w:r w:rsidRPr="00BD1B59">
        <w:rPr>
          <w:rFonts w:cs="Times New Roman"/>
          <w:sz w:val="20"/>
          <w:szCs w:val="20"/>
        </w:rPr>
        <w:t xml:space="preserve">, </w:t>
      </w:r>
      <w:r w:rsidRPr="00BD1B59">
        <w:rPr>
          <w:rFonts w:cs="Times New Roman"/>
          <w:smallCaps/>
          <w:sz w:val="20"/>
          <w:szCs w:val="20"/>
        </w:rPr>
        <w:t xml:space="preserve">Democracy and Political Violence 62 </w:t>
      </w:r>
      <w:r w:rsidRPr="00BD1B59">
        <w:rPr>
          <w:rFonts w:cs="Times New Roman"/>
          <w:sz w:val="20"/>
          <w:szCs w:val="20"/>
        </w:rPr>
        <w:t>(2011) (“[Some claim] the state functions as a societal policeman, which through its agents makes it impossible for citizens to use violence against each other, or at the very least punishes those who illegitimately use physical force to achieve their ends.”).</w:t>
      </w:r>
    </w:p>
  </w:footnote>
  <w:footnote w:id="223">
    <w:p w:rsidR="007A1944" w:rsidRPr="00960A24" w:rsidRDefault="007A1944" w:rsidP="0059349E">
      <w:pPr>
        <w:pStyle w:val="FootnoteText"/>
        <w:rPr>
          <w:rFonts w:cs="Times New Roman"/>
        </w:rPr>
      </w:pPr>
      <w:r w:rsidRPr="00537CF9">
        <w:rPr>
          <w:rStyle w:val="FootnoteReference"/>
          <w:rFonts w:cs="Times New Roman"/>
        </w:rPr>
        <w:footnoteRef/>
      </w:r>
      <w:r w:rsidRPr="00537CF9">
        <w:rPr>
          <w:rFonts w:cs="Times New Roman"/>
        </w:rPr>
        <w:t xml:space="preserve"> The evidence is thin that self-protection incidents justify themselves. </w:t>
      </w:r>
      <w:r w:rsidRPr="00090FC9">
        <w:rPr>
          <w:rFonts w:cs="Times New Roman"/>
          <w:i/>
          <w:iCs/>
        </w:rPr>
        <w:t xml:space="preserve">See </w:t>
      </w:r>
      <w:r w:rsidRPr="00090FC9">
        <w:rPr>
          <w:rFonts w:cs="Times New Roman"/>
        </w:rPr>
        <w:t xml:space="preserve">David Hemenway &amp; Sara J. </w:t>
      </w:r>
      <w:proofErr w:type="spellStart"/>
      <w:r w:rsidRPr="00090FC9">
        <w:rPr>
          <w:rFonts w:cs="Times New Roman"/>
        </w:rPr>
        <w:t>Solnick</w:t>
      </w:r>
      <w:proofErr w:type="spellEnd"/>
      <w:r w:rsidRPr="00090FC9">
        <w:rPr>
          <w:rFonts w:cs="Times New Roman"/>
        </w:rPr>
        <w:t xml:space="preserve">, </w:t>
      </w:r>
      <w:r w:rsidRPr="00090FC9">
        <w:rPr>
          <w:rFonts w:cs="Times New Roman"/>
          <w:i/>
          <w:iCs/>
        </w:rPr>
        <w:t>The Epidemiology of Self-Defense Gun Use: Evidence from the National Crime Victimization Surveys 2007-2011</w:t>
      </w:r>
      <w:r w:rsidRPr="00090FC9">
        <w:rPr>
          <w:rFonts w:cs="Times New Roman"/>
        </w:rPr>
        <w:t xml:space="preserve">, 79 </w:t>
      </w:r>
      <w:r w:rsidRPr="00090FC9">
        <w:rPr>
          <w:rFonts w:cs="Times New Roman"/>
          <w:smallCaps/>
        </w:rPr>
        <w:t>Preventive Med</w:t>
      </w:r>
      <w:r w:rsidRPr="00090FC9">
        <w:rPr>
          <w:rFonts w:cs="Times New Roman"/>
        </w:rPr>
        <w:t>. 22 (2015) (</w:t>
      </w:r>
      <w:r w:rsidRPr="00960A24">
        <w:rPr>
          <w:rFonts w:cs="Times New Roman"/>
        </w:rPr>
        <w:t>finding that self-defense gun use is very rare and “little evidence that self-defense gun use reduces the likelihood of victim injury during a crime.”).</w:t>
      </w:r>
      <w:r w:rsidRPr="00960A24">
        <w:rPr>
          <w:rFonts w:cs="Times New Roman"/>
          <w:i/>
          <w:iCs/>
        </w:rPr>
        <w:t xml:space="preserve"> </w:t>
      </w:r>
    </w:p>
  </w:footnote>
  <w:footnote w:id="224">
    <w:p w:rsidR="007A1944" w:rsidRPr="00537CF9" w:rsidRDefault="007A1944" w:rsidP="006D4F19">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sidRPr="00090FC9">
        <w:rPr>
          <w:rFonts w:cs="Times New Roman"/>
        </w:rPr>
        <w:t xml:space="preserve">Fairfax, </w:t>
      </w:r>
      <w:r w:rsidRPr="00090FC9">
        <w:rPr>
          <w:rFonts w:cs="Times New Roman"/>
          <w:i/>
          <w:iCs/>
        </w:rPr>
        <w:t xml:space="preserve">supra </w:t>
      </w:r>
      <w:r w:rsidRPr="00090FC9">
        <w:rPr>
          <w:rFonts w:cs="Times New Roman"/>
        </w:rPr>
        <w:t xml:space="preserve">note __ , at 273-75 (describing the trend of private security firms </w:t>
      </w:r>
      <w:r w:rsidRPr="00960A24">
        <w:rPr>
          <w:rFonts w:cs="Times New Roman"/>
        </w:rPr>
        <w:t xml:space="preserve">performing services traditionally performed by public police); Joh, </w:t>
      </w:r>
      <w:r w:rsidRPr="00960A24">
        <w:rPr>
          <w:rFonts w:cs="Times New Roman"/>
          <w:i/>
          <w:iCs/>
        </w:rPr>
        <w:t xml:space="preserve">supra </w:t>
      </w:r>
      <w:r w:rsidRPr="00960A24">
        <w:rPr>
          <w:rFonts w:cs="Times New Roman"/>
        </w:rPr>
        <w:t xml:space="preserve">note __ (same); </w:t>
      </w:r>
      <w:proofErr w:type="spellStart"/>
      <w:r w:rsidRPr="00960A24">
        <w:rPr>
          <w:rFonts w:cs="Times New Roman"/>
        </w:rPr>
        <w:t>Sklansky</w:t>
      </w:r>
      <w:proofErr w:type="spellEnd"/>
      <w:r w:rsidRPr="00960A24">
        <w:rPr>
          <w:rFonts w:cs="Times New Roman"/>
        </w:rPr>
        <w:t xml:space="preserve">, </w:t>
      </w:r>
      <w:r w:rsidRPr="00960A24">
        <w:rPr>
          <w:rFonts w:cs="Times New Roman"/>
          <w:i/>
          <w:iCs/>
        </w:rPr>
        <w:t xml:space="preserve">supra </w:t>
      </w:r>
      <w:r w:rsidRPr="00960A24">
        <w:rPr>
          <w:rFonts w:cs="Times New Roman"/>
        </w:rPr>
        <w:t>note __ (same).</w:t>
      </w:r>
      <w:r w:rsidRPr="00537CF9">
        <w:rPr>
          <w:rFonts w:cs="Times New Roman"/>
        </w:rPr>
        <w:t xml:space="preserve"> </w:t>
      </w:r>
      <w:r>
        <w:rPr>
          <w:rFonts w:cs="Times New Roman"/>
        </w:rPr>
        <w:t xml:space="preserve">TA* make sure these sources are historical as well, </w:t>
      </w:r>
      <w:proofErr w:type="spellStart"/>
      <w:r>
        <w:rPr>
          <w:rFonts w:cs="Times New Roman"/>
        </w:rPr>
        <w:t>eg</w:t>
      </w:r>
      <w:proofErr w:type="spellEnd"/>
      <w:r>
        <w:rPr>
          <w:rFonts w:cs="Times New Roman"/>
        </w:rPr>
        <w:t xml:space="preserve"> Pinkertons during labor fights, and make clear with at least one </w:t>
      </w:r>
      <w:proofErr w:type="spellStart"/>
      <w:r>
        <w:rPr>
          <w:rFonts w:cs="Times New Roman"/>
        </w:rPr>
        <w:t>paren</w:t>
      </w:r>
      <w:proofErr w:type="spellEnd"/>
    </w:p>
  </w:footnote>
  <w:footnote w:id="225">
    <w:p w:rsidR="007A1944" w:rsidRPr="00090FC9" w:rsidRDefault="007A1944" w:rsidP="002E6625">
      <w:pPr>
        <w:pStyle w:val="FootnoteText"/>
        <w:rPr>
          <w:rFonts w:cs="Times New Roman"/>
        </w:rPr>
      </w:pPr>
      <w:r w:rsidRPr="00537CF9">
        <w:rPr>
          <w:rStyle w:val="FootnoteReference"/>
          <w:rFonts w:cs="Times New Roman"/>
        </w:rPr>
        <w:footnoteRef/>
      </w:r>
      <w:r w:rsidRPr="00537CF9">
        <w:rPr>
          <w:rFonts w:cs="Times New Roman"/>
        </w:rPr>
        <w:t xml:space="preserve"> Joh, </w:t>
      </w:r>
      <w:r w:rsidRPr="00537CF9">
        <w:rPr>
          <w:rFonts w:cs="Times New Roman"/>
          <w:i/>
          <w:iCs/>
        </w:rPr>
        <w:t xml:space="preserve">supra </w:t>
      </w:r>
      <w:r w:rsidRPr="00090FC9">
        <w:rPr>
          <w:rFonts w:cs="Times New Roman"/>
        </w:rPr>
        <w:t>note __, at 50.</w:t>
      </w:r>
    </w:p>
  </w:footnote>
  <w:footnote w:id="226">
    <w:p w:rsidR="007A1944" w:rsidRPr="00960A24" w:rsidRDefault="007A1944" w:rsidP="002E6625">
      <w:pPr>
        <w:rPr>
          <w:rFonts w:cs="Times New Roman"/>
          <w:sz w:val="20"/>
          <w:szCs w:val="20"/>
        </w:rPr>
      </w:pPr>
      <w:r w:rsidRPr="00537CF9">
        <w:rPr>
          <w:rStyle w:val="FootnoteReference"/>
          <w:rFonts w:cs="Times New Roman"/>
          <w:szCs w:val="20"/>
        </w:rPr>
        <w:footnoteRef/>
      </w:r>
      <w:r w:rsidRPr="00537CF9">
        <w:rPr>
          <w:rFonts w:cs="Times New Roman"/>
          <w:sz w:val="20"/>
          <w:szCs w:val="20"/>
        </w:rPr>
        <w:t xml:space="preserve"> Ian Loader and Neil Walker </w:t>
      </w:r>
      <w:r>
        <w:rPr>
          <w:rFonts w:cs="Times New Roman"/>
          <w:sz w:val="20"/>
          <w:szCs w:val="20"/>
        </w:rPr>
        <w:t xml:space="preserve">explore the government’s role in providing security, </w:t>
      </w:r>
      <w:r w:rsidRPr="00537CF9">
        <w:rPr>
          <w:rFonts w:cs="Times New Roman"/>
          <w:sz w:val="20"/>
          <w:szCs w:val="20"/>
        </w:rPr>
        <w:t xml:space="preserve">discussing many of the same subjects taken up here, such as the police power and public goods. Loader &amp; Walker, </w:t>
      </w:r>
      <w:r w:rsidRPr="00537CF9">
        <w:rPr>
          <w:rFonts w:cs="Times New Roman"/>
          <w:i/>
          <w:iCs/>
          <w:sz w:val="20"/>
          <w:szCs w:val="20"/>
        </w:rPr>
        <w:t>supra</w:t>
      </w:r>
      <w:r w:rsidRPr="00090FC9">
        <w:rPr>
          <w:rFonts w:cs="Times New Roman"/>
          <w:i/>
          <w:iCs/>
          <w:sz w:val="20"/>
          <w:szCs w:val="20"/>
        </w:rPr>
        <w:t xml:space="preserve"> </w:t>
      </w:r>
      <w:r w:rsidRPr="00090FC9">
        <w:rPr>
          <w:rFonts w:cs="Times New Roman"/>
          <w:sz w:val="20"/>
          <w:szCs w:val="20"/>
        </w:rPr>
        <w:t xml:space="preserve">note __. They </w:t>
      </w:r>
      <w:r>
        <w:rPr>
          <w:rFonts w:cs="Times New Roman"/>
          <w:sz w:val="20"/>
          <w:szCs w:val="20"/>
        </w:rPr>
        <w:t>maintain that</w:t>
      </w:r>
      <w:r w:rsidRPr="00090FC9">
        <w:rPr>
          <w:rFonts w:cs="Times New Roman"/>
          <w:sz w:val="20"/>
          <w:szCs w:val="20"/>
        </w:rPr>
        <w:t xml:space="preserve"> security is </w:t>
      </w:r>
      <w:r>
        <w:rPr>
          <w:rFonts w:cs="Times New Roman"/>
          <w:sz w:val="20"/>
          <w:szCs w:val="20"/>
        </w:rPr>
        <w:t>a form of</w:t>
      </w:r>
      <w:r w:rsidRPr="00090FC9">
        <w:rPr>
          <w:rFonts w:cs="Times New Roman"/>
          <w:sz w:val="20"/>
          <w:szCs w:val="20"/>
        </w:rPr>
        <w:t xml:space="preserve"> “communal good,” in which my security is enhanced when you share it with me. “Our sense of safety and security is, in short, like conviviality, </w:t>
      </w:r>
      <w:r w:rsidRPr="00090FC9">
        <w:rPr>
          <w:rFonts w:cs="Times New Roman"/>
          <w:i/>
          <w:sz w:val="20"/>
          <w:szCs w:val="20"/>
        </w:rPr>
        <w:t>irreducibly social</w:t>
      </w:r>
      <w:r w:rsidRPr="00960A24">
        <w:rPr>
          <w:rFonts w:cs="Times New Roman"/>
          <w:sz w:val="20"/>
          <w:szCs w:val="20"/>
        </w:rPr>
        <w:t xml:space="preserve">, deeply implicated in our relationship with others.” Loader &amp; Walker, </w:t>
      </w:r>
      <w:r w:rsidRPr="00960A24">
        <w:rPr>
          <w:rFonts w:cs="Times New Roman"/>
          <w:i/>
          <w:iCs/>
          <w:sz w:val="20"/>
          <w:szCs w:val="20"/>
        </w:rPr>
        <w:t xml:space="preserve">supra </w:t>
      </w:r>
      <w:r w:rsidRPr="00960A24">
        <w:rPr>
          <w:rFonts w:cs="Times New Roman"/>
          <w:sz w:val="20"/>
          <w:szCs w:val="20"/>
        </w:rPr>
        <w:t xml:space="preserve">note __, at 26. Waldron doesn’t buy this, and I agree.  </w:t>
      </w:r>
      <w:r w:rsidRPr="00960A24">
        <w:rPr>
          <w:rFonts w:cs="Times New Roman"/>
          <w:i/>
          <w:iCs/>
          <w:sz w:val="20"/>
          <w:szCs w:val="20"/>
        </w:rPr>
        <w:t xml:space="preserve">See </w:t>
      </w:r>
      <w:r w:rsidRPr="00960A24">
        <w:rPr>
          <w:rFonts w:cs="Times New Roman"/>
          <w:sz w:val="20"/>
          <w:szCs w:val="20"/>
        </w:rPr>
        <w:t xml:space="preserve">Waldron, </w:t>
      </w:r>
      <w:r w:rsidRPr="00960A24">
        <w:rPr>
          <w:rFonts w:cs="Times New Roman"/>
          <w:i/>
          <w:iCs/>
          <w:sz w:val="20"/>
          <w:szCs w:val="20"/>
        </w:rPr>
        <w:t xml:space="preserve">supra </w:t>
      </w:r>
      <w:r w:rsidRPr="00960A24">
        <w:rPr>
          <w:rFonts w:cs="Times New Roman"/>
          <w:sz w:val="20"/>
          <w:szCs w:val="20"/>
        </w:rPr>
        <w:t>note __, at 502 (arguing that safety cannot be reduced to its communal element). Safety and security can be experienced together, but at bottom either I’m safe or I’m not and that is what I focus on.</w:t>
      </w:r>
      <w:r>
        <w:rPr>
          <w:rFonts w:cs="Times New Roman"/>
          <w:sz w:val="20"/>
          <w:szCs w:val="20"/>
        </w:rPr>
        <w:t xml:space="preserve"> Which is not to say that our safety could not be enhanced by communal conduct, such as patrolling streets. See Fennell RA* </w:t>
      </w:r>
      <w:proofErr w:type="spellStart"/>
      <w:r>
        <w:rPr>
          <w:rFonts w:cs="Times New Roman"/>
          <w:sz w:val="20"/>
          <w:szCs w:val="20"/>
        </w:rPr>
        <w:t>pls</w:t>
      </w:r>
      <w:proofErr w:type="spellEnd"/>
      <w:r>
        <w:rPr>
          <w:rFonts w:cs="Times New Roman"/>
          <w:sz w:val="20"/>
          <w:szCs w:val="20"/>
        </w:rPr>
        <w:t xml:space="preserve"> add cite she’s in sources</w:t>
      </w:r>
    </w:p>
  </w:footnote>
  <w:footnote w:id="227">
    <w:p w:rsidR="007A1944" w:rsidRPr="00960A24" w:rsidRDefault="007A1944" w:rsidP="00F91ED6">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 e</w:t>
      </w:r>
      <w:r w:rsidRPr="00090FC9">
        <w:rPr>
          <w:rFonts w:cs="Times New Roman"/>
          <w:i/>
          <w:iCs/>
        </w:rPr>
        <w:t xml:space="preserve">.g. </w:t>
      </w:r>
      <w:r w:rsidRPr="00090FC9">
        <w:rPr>
          <w:rFonts w:cs="Times New Roman"/>
          <w:smallCaps/>
        </w:rPr>
        <w:t>Fla. Stat. § 776.012 (2020) (</w:t>
      </w:r>
      <w:r w:rsidRPr="00090FC9">
        <w:rPr>
          <w:rFonts w:cs="Times New Roman"/>
        </w:rPr>
        <w:t>excusing the use of force by citizens acting in self-defense)</w:t>
      </w:r>
      <w:r w:rsidRPr="00090FC9">
        <w:rPr>
          <w:rFonts w:cs="Times New Roman"/>
          <w:smallCaps/>
        </w:rPr>
        <w:t xml:space="preserve">; Mich. Comp. Laws </w:t>
      </w:r>
      <w:r w:rsidRPr="00960A24">
        <w:rPr>
          <w:rFonts w:cs="Times New Roman"/>
          <w:smallCaps/>
        </w:rPr>
        <w:t xml:space="preserve"> § 780.972 (2020) (</w:t>
      </w:r>
      <w:r w:rsidRPr="00960A24">
        <w:rPr>
          <w:rFonts w:cs="Times New Roman"/>
        </w:rPr>
        <w:t>same)</w:t>
      </w:r>
      <w:r w:rsidRPr="00960A24">
        <w:rPr>
          <w:rFonts w:cs="Times New Roman"/>
          <w:smallCaps/>
        </w:rPr>
        <w:t>; S.D. Codified Laws</w:t>
      </w:r>
      <w:r w:rsidRPr="00960A24">
        <w:rPr>
          <w:rFonts w:cs="Times New Roman"/>
        </w:rPr>
        <w:t xml:space="preserve"> </w:t>
      </w:r>
      <w:r w:rsidRPr="00960A24">
        <w:rPr>
          <w:rFonts w:cs="Times New Roman"/>
          <w:smallCaps/>
        </w:rPr>
        <w:t xml:space="preserve"> § 22-18-4 (2020) (</w:t>
      </w:r>
      <w:r w:rsidRPr="00960A24">
        <w:rPr>
          <w:rFonts w:cs="Times New Roman"/>
        </w:rPr>
        <w:t>same)</w:t>
      </w:r>
      <w:r w:rsidRPr="00960A24">
        <w:rPr>
          <w:rFonts w:cs="Times New Roman"/>
          <w:smallCaps/>
        </w:rPr>
        <w:t xml:space="preserve">. </w:t>
      </w:r>
    </w:p>
  </w:footnote>
  <w:footnote w:id="228">
    <w:p w:rsidR="007A1944" w:rsidRPr="00090FC9" w:rsidRDefault="007A1944" w:rsidP="00F91ED6">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 McDonald</w:t>
      </w:r>
      <w:r w:rsidRPr="00090FC9">
        <w:rPr>
          <w:rFonts w:cs="Times New Roman"/>
        </w:rPr>
        <w:t xml:space="preserve">, 561 U.S. at 767-68 (overturning a handgun ban on the grounds that the Second Amendment protects the right to bear arms in self-defense); </w:t>
      </w:r>
      <w:r w:rsidRPr="00090FC9">
        <w:rPr>
          <w:rFonts w:cs="Times New Roman"/>
          <w:i/>
          <w:iCs/>
        </w:rPr>
        <w:t>Heller</w:t>
      </w:r>
      <w:r w:rsidRPr="00090FC9">
        <w:rPr>
          <w:rFonts w:cs="Times New Roman"/>
          <w:iCs/>
        </w:rPr>
        <w:t>, 554 U.S. at 628-29 (“</w:t>
      </w:r>
      <w:r w:rsidRPr="00090FC9">
        <w:rPr>
          <w:rFonts w:cs="Times New Roman"/>
        </w:rPr>
        <w:t>[B]</w:t>
      </w:r>
      <w:proofErr w:type="spellStart"/>
      <w:r w:rsidRPr="00090FC9">
        <w:rPr>
          <w:rFonts w:cs="Times New Roman"/>
        </w:rPr>
        <w:t>anning</w:t>
      </w:r>
      <w:proofErr w:type="spellEnd"/>
      <w:r w:rsidRPr="00090FC9">
        <w:rPr>
          <w:rFonts w:cs="Times New Roman"/>
        </w:rPr>
        <w:t xml:space="preserve"> from the home “the most preferred firearm in the nation to ‘keep’ and use for protection of one's home and family would fail constitutional muster.”) (citation omitted).</w:t>
      </w:r>
    </w:p>
  </w:footnote>
  <w:footnote w:id="229">
    <w:p w:rsidR="007A1944" w:rsidRPr="00537CF9" w:rsidRDefault="007A1944" w:rsidP="00F91ED6">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w:t>
      </w:r>
      <w:r w:rsidRPr="00090FC9">
        <w:rPr>
          <w:rFonts w:cs="Times New Roman"/>
          <w:i/>
          <w:iCs/>
        </w:rPr>
        <w:t xml:space="preserve"> Guns</w:t>
      </w:r>
      <w:r w:rsidRPr="00090FC9">
        <w:rPr>
          <w:rFonts w:cs="Times New Roman"/>
        </w:rPr>
        <w:t xml:space="preserve">, </w:t>
      </w:r>
      <w:r w:rsidRPr="00090FC9">
        <w:rPr>
          <w:rFonts w:cs="Times New Roman"/>
          <w:smallCaps/>
        </w:rPr>
        <w:t xml:space="preserve">Gallup, </w:t>
      </w:r>
      <w:r w:rsidRPr="00BE0CEC">
        <w:rPr>
          <w:rFonts w:cs="Times New Roman"/>
        </w:rPr>
        <w:t>https://news.gallup.com/poll/1645/guns.aspx</w:t>
      </w:r>
      <w:r w:rsidRPr="00537CF9">
        <w:rPr>
          <w:rFonts w:cs="Times New Roman"/>
        </w:rPr>
        <w:t xml:space="preserve"> (last visited July 31, 2020) (finding that 73% of adults believe the Second Amendment guarantees the rights of Americans to own guns);</w:t>
      </w:r>
      <w:r w:rsidRPr="00537CF9">
        <w:rPr>
          <w:rFonts w:cs="Times New Roman"/>
          <w:i/>
          <w:iCs/>
        </w:rPr>
        <w:t xml:space="preserve"> </w:t>
      </w:r>
      <w:r w:rsidRPr="00090FC9">
        <w:rPr>
          <w:rFonts w:cs="Times New Roman"/>
        </w:rPr>
        <w:t xml:space="preserve">John </w:t>
      </w:r>
      <w:proofErr w:type="spellStart"/>
      <w:r w:rsidRPr="00090FC9">
        <w:rPr>
          <w:rFonts w:cs="Times New Roman"/>
        </w:rPr>
        <w:t>Gramlich</w:t>
      </w:r>
      <w:proofErr w:type="spellEnd"/>
      <w:r w:rsidRPr="00090FC9">
        <w:rPr>
          <w:rFonts w:cs="Times New Roman"/>
        </w:rPr>
        <w:t xml:space="preserve"> &amp; Katherine Schaeffer, </w:t>
      </w:r>
      <w:r w:rsidRPr="00090FC9">
        <w:rPr>
          <w:rFonts w:cs="Times New Roman"/>
          <w:i/>
          <w:iCs/>
        </w:rPr>
        <w:t>7 Facts About Guns in the U.S.</w:t>
      </w:r>
      <w:r w:rsidRPr="00090FC9">
        <w:rPr>
          <w:rFonts w:cs="Times New Roman"/>
        </w:rPr>
        <w:t xml:space="preserve">, </w:t>
      </w:r>
      <w:r w:rsidRPr="00090FC9">
        <w:rPr>
          <w:rFonts w:cs="Times New Roman"/>
          <w:smallCaps/>
        </w:rPr>
        <w:t>Pew Res. Ctr</w:t>
      </w:r>
      <w:r w:rsidRPr="00090FC9">
        <w:rPr>
          <w:rFonts w:cs="Times New Roman"/>
        </w:rPr>
        <w:t xml:space="preserve">. (Oct. 22, 2019), https://www.pewresearch.org/fact-tank/2019/10/22/facts-about-guns-in-united-states/ </w:t>
      </w:r>
      <w:r w:rsidRPr="00960A24">
        <w:rPr>
          <w:rFonts w:cs="Times New Roman"/>
        </w:rPr>
        <w:t xml:space="preserve">(finding that </w:t>
      </w:r>
      <w:r w:rsidRPr="00537CF9">
        <w:rPr>
          <w:rFonts w:cs="Times New Roman"/>
        </w:rPr>
        <w:t>67% of gun owners say protection is a major reason why they own a firearm).</w:t>
      </w:r>
    </w:p>
  </w:footnote>
  <w:footnote w:id="230">
    <w:p w:rsidR="007A1944" w:rsidRPr="00090FC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Pr>
          <w:rFonts w:cs="Times New Roman"/>
          <w:i/>
          <w:iCs/>
        </w:rPr>
        <w:t>See</w:t>
      </w:r>
      <w:r>
        <w:rPr>
          <w:rFonts w:cs="Times New Roman"/>
        </w:rPr>
        <w:t xml:space="preserve"> </w:t>
      </w:r>
      <w:r w:rsidRPr="002D5E75">
        <w:rPr>
          <w:rFonts w:cs="Times New Roman"/>
        </w:rPr>
        <w:t xml:space="preserve">Tracey L. Meares &amp; </w:t>
      </w:r>
      <w:proofErr w:type="spellStart"/>
      <w:r w:rsidRPr="002D5E75">
        <w:rPr>
          <w:rFonts w:cs="Times New Roman"/>
        </w:rPr>
        <w:t>Vesla</w:t>
      </w:r>
      <w:proofErr w:type="spellEnd"/>
      <w:r w:rsidRPr="002D5E75">
        <w:rPr>
          <w:rFonts w:cs="Times New Roman"/>
        </w:rPr>
        <w:t xml:space="preserve"> M. Weaver, </w:t>
      </w:r>
      <w:r w:rsidRPr="00F53051">
        <w:rPr>
          <w:rFonts w:cs="Times New Roman"/>
          <w:i/>
          <w:iCs/>
        </w:rPr>
        <w:t>Abolish the Police? Is Policing a Public Good Gone Bad?</w:t>
      </w:r>
      <w:r w:rsidRPr="002D5E75">
        <w:rPr>
          <w:rFonts w:cs="Times New Roman"/>
        </w:rPr>
        <w:t xml:space="preserve">, </w:t>
      </w:r>
      <w:r>
        <w:rPr>
          <w:rFonts w:cs="Times New Roman"/>
          <w:smallCaps/>
        </w:rPr>
        <w:t xml:space="preserve">Bos. Review </w:t>
      </w:r>
      <w:r w:rsidRPr="002D5E75">
        <w:rPr>
          <w:rFonts w:cs="Times New Roman"/>
        </w:rPr>
        <w:t xml:space="preserve">(Aug. 1, 2017), </w:t>
      </w:r>
      <w:r w:rsidRPr="00F53051">
        <w:rPr>
          <w:rFonts w:cs="Times New Roman"/>
        </w:rPr>
        <w:t>http://bostonreview.net/podcast-law-justice/tracey-l-meares-vesla-m-weaver-abolish-police</w:t>
      </w:r>
      <w:r>
        <w:rPr>
          <w:rFonts w:cs="Times New Roman"/>
        </w:rPr>
        <w:t xml:space="preserve"> (discussing how communities impacted by crime and violence may still prefer less or no police presence, due to the negative effects of policing); </w:t>
      </w:r>
      <w:r>
        <w:rPr>
          <w:rFonts w:cs="Times New Roman"/>
          <w:i/>
          <w:iCs/>
        </w:rPr>
        <w:t>Defund the Police</w:t>
      </w:r>
      <w:r>
        <w:rPr>
          <w:rFonts w:cs="Times New Roman"/>
        </w:rPr>
        <w:t xml:space="preserve">, </w:t>
      </w:r>
      <w:r>
        <w:rPr>
          <w:rFonts w:cs="Times New Roman"/>
          <w:smallCaps/>
        </w:rPr>
        <w:t>Movement for Black Lives</w:t>
      </w:r>
      <w:r>
        <w:rPr>
          <w:rFonts w:cs="Times New Roman"/>
        </w:rPr>
        <w:t xml:space="preserve">, </w:t>
      </w:r>
      <w:r w:rsidRPr="00F53051">
        <w:rPr>
          <w:rFonts w:cs="Times New Roman"/>
        </w:rPr>
        <w:t>https://m4bl.org/defund-the-police/</w:t>
      </w:r>
      <w:r>
        <w:rPr>
          <w:rFonts w:cs="Times New Roman"/>
        </w:rPr>
        <w:t xml:space="preserve"> (last visited Aug. 7, 2020) (calling for a pivot from “</w:t>
      </w:r>
      <w:r w:rsidRPr="002D5E75">
        <w:rPr>
          <w:rFonts w:cs="Times New Roman"/>
        </w:rPr>
        <w:t>massive spending on police that don’t keep us safe to a massive investment in a shared vision of community safety that actually works</w:t>
      </w:r>
      <w:r>
        <w:rPr>
          <w:rFonts w:cs="Times New Roman"/>
        </w:rPr>
        <w:t>.”).</w:t>
      </w:r>
      <w:r>
        <w:rPr>
          <w:rFonts w:cs="Times New Roman"/>
          <w:i/>
          <w:iCs/>
        </w:rPr>
        <w:t xml:space="preserve"> </w:t>
      </w:r>
    </w:p>
  </w:footnote>
  <w:footnote w:id="231">
    <w:p w:rsidR="007A1944" w:rsidRPr="0030270F"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Pr>
          <w:rFonts w:cs="Times New Roman"/>
        </w:rPr>
        <w:t xml:space="preserve">Robert C. </w:t>
      </w:r>
      <w:proofErr w:type="spellStart"/>
      <w:r>
        <w:rPr>
          <w:rFonts w:cs="Times New Roman"/>
        </w:rPr>
        <w:t>Ellickson</w:t>
      </w:r>
      <w:proofErr w:type="spellEnd"/>
      <w:r>
        <w:rPr>
          <w:rFonts w:cs="Times New Roman"/>
        </w:rPr>
        <w:t xml:space="preserve">, </w:t>
      </w:r>
      <w:r>
        <w:rPr>
          <w:rFonts w:cs="Times New Roman"/>
          <w:i/>
          <w:iCs/>
        </w:rPr>
        <w:t>Controlling Chronic Misconduct in City Spaces: Of Panhandlers, Skid Rows, and Public-Space Zoning</w:t>
      </w:r>
      <w:r>
        <w:rPr>
          <w:rFonts w:cs="Times New Roman"/>
        </w:rPr>
        <w:t xml:space="preserve">, 105 </w:t>
      </w:r>
      <w:r>
        <w:rPr>
          <w:rFonts w:cs="Times New Roman"/>
          <w:smallCaps/>
        </w:rPr>
        <w:t xml:space="preserve">Yale L.J. </w:t>
      </w:r>
      <w:r>
        <w:rPr>
          <w:rFonts w:cs="Times New Roman"/>
        </w:rPr>
        <w:t xml:space="preserve">1165, 1174-84 (1996) (describing harms of “street nuisances,” including decreased public usage of public spaces, fears of communicable disease, and worsening of race relations); </w:t>
      </w:r>
      <w:r w:rsidRPr="00090FC9">
        <w:rPr>
          <w:rFonts w:cs="Times New Roman"/>
        </w:rPr>
        <w:t xml:space="preserve">Jeremy Waldron, </w:t>
      </w:r>
      <w:r w:rsidRPr="00090FC9">
        <w:rPr>
          <w:rFonts w:cs="Times New Roman"/>
          <w:i/>
          <w:iCs/>
        </w:rPr>
        <w:t>Homelessness and Community</w:t>
      </w:r>
      <w:r w:rsidRPr="00090FC9">
        <w:rPr>
          <w:rFonts w:cs="Times New Roman"/>
        </w:rPr>
        <w:t xml:space="preserve">, 50 </w:t>
      </w:r>
      <w:r w:rsidRPr="00090FC9">
        <w:rPr>
          <w:rFonts w:cs="Times New Roman"/>
          <w:smallCaps/>
        </w:rPr>
        <w:t>U. Toronto L.J.</w:t>
      </w:r>
      <w:r w:rsidRPr="00960A24">
        <w:rPr>
          <w:rFonts w:cs="Times New Roman"/>
        </w:rPr>
        <w:t xml:space="preserve"> 371, 373 (2000) (describing concerns raised by activists in favor of increasing the legal regulation of behavior in public spaces).</w:t>
      </w:r>
      <w:r>
        <w:rPr>
          <w:rFonts w:cs="Times New Roman"/>
        </w:rPr>
        <w:t xml:space="preserve">. </w:t>
      </w:r>
    </w:p>
  </w:footnote>
  <w:footnote w:id="232">
    <w:p w:rsidR="007A1944" w:rsidRPr="00090FC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Pr>
          <w:rFonts w:cs="Times New Roman"/>
          <w:i/>
          <w:iCs/>
        </w:rPr>
        <w:t xml:space="preserve">See </w:t>
      </w:r>
      <w:r>
        <w:rPr>
          <w:rFonts w:cs="Times New Roman"/>
        </w:rPr>
        <w:t xml:space="preserve">Friedman, </w:t>
      </w:r>
      <w:r>
        <w:rPr>
          <w:rFonts w:cs="Times New Roman"/>
          <w:i/>
          <w:iCs/>
        </w:rPr>
        <w:t xml:space="preserve">supra </w:t>
      </w:r>
      <w:r>
        <w:rPr>
          <w:rFonts w:cs="Times New Roman"/>
        </w:rPr>
        <w:t xml:space="preserve">note __, at 11-14 (describing how police are called upon to respond to situations stemming from unaddressed chronic social harms, including mental health, substance abuse and homelessness). </w:t>
      </w:r>
    </w:p>
  </w:footnote>
  <w:footnote w:id="233">
    <w:p w:rsidR="007A1944" w:rsidRPr="00537CF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 xml:space="preserve">See </w:t>
      </w:r>
      <w:r w:rsidRPr="00090FC9">
        <w:rPr>
          <w:rFonts w:cs="Times New Roman"/>
          <w:smallCaps/>
        </w:rPr>
        <w:t xml:space="preserve">Burton A. </w:t>
      </w:r>
      <w:proofErr w:type="spellStart"/>
      <w:r w:rsidRPr="00090FC9">
        <w:rPr>
          <w:rFonts w:cs="Times New Roman"/>
          <w:smallCaps/>
        </w:rPr>
        <w:t>Weisbrod</w:t>
      </w:r>
      <w:proofErr w:type="spellEnd"/>
      <w:r w:rsidRPr="00090FC9">
        <w:rPr>
          <w:rFonts w:cs="Times New Roman"/>
          <w:smallCaps/>
        </w:rPr>
        <w:t>, External Benefits of Public Education 80</w:t>
      </w:r>
      <w:r w:rsidRPr="00090FC9">
        <w:rPr>
          <w:rFonts w:cs="Times New Roman"/>
        </w:rPr>
        <w:t xml:space="preserve"> (1964) (“The real </w:t>
      </w:r>
      <w:r w:rsidRPr="00090FC9">
        <w:rPr>
          <w:rFonts w:cs="Times New Roman"/>
          <w:i/>
          <w:iCs/>
        </w:rPr>
        <w:t>benefits</w:t>
      </w:r>
      <w:r w:rsidRPr="00090FC9">
        <w:rPr>
          <w:rFonts w:cs="Times New Roman"/>
        </w:rPr>
        <w:t xml:space="preserve"> of education are the real </w:t>
      </w:r>
      <w:r w:rsidRPr="00960A24">
        <w:rPr>
          <w:rFonts w:cs="Times New Roman"/>
          <w:i/>
          <w:iCs/>
        </w:rPr>
        <w:t xml:space="preserve">costs </w:t>
      </w:r>
      <w:r w:rsidRPr="00960A24">
        <w:rPr>
          <w:rFonts w:cs="Times New Roman"/>
        </w:rPr>
        <w:t>of noneducation. . . . Inadequate education is associated with high unemployment. . . and low income. . . .and these are likely to encourage crime.”);</w:t>
      </w:r>
      <w:r w:rsidRPr="00960A24">
        <w:rPr>
          <w:rFonts w:cs="Times New Roman"/>
          <w:i/>
          <w:iCs/>
        </w:rPr>
        <w:t xml:space="preserve"> </w:t>
      </w:r>
      <w:r w:rsidRPr="00960A24">
        <w:rPr>
          <w:rFonts w:cs="Times New Roman"/>
        </w:rPr>
        <w:t xml:space="preserve">Fennell, </w:t>
      </w:r>
      <w:r w:rsidRPr="00960A24">
        <w:rPr>
          <w:rFonts w:cs="Times New Roman"/>
          <w:i/>
          <w:iCs/>
        </w:rPr>
        <w:t xml:space="preserve">supra </w:t>
      </w:r>
      <w:r w:rsidRPr="00960A24">
        <w:rPr>
          <w:rFonts w:cs="Times New Roman"/>
        </w:rPr>
        <w:t>note __, at 8 (“The public consumption of [public] goods throughout the relevant community generates larger public benefits – a</w:t>
      </w:r>
      <w:r w:rsidRPr="00537CF9">
        <w:rPr>
          <w:rFonts w:cs="Times New Roman"/>
        </w:rPr>
        <w:t>n educated populace or a safe populace. . . . [T]</w:t>
      </w:r>
      <w:proofErr w:type="spellStart"/>
      <w:r w:rsidRPr="00537CF9">
        <w:rPr>
          <w:rFonts w:cs="Times New Roman"/>
        </w:rPr>
        <w:t>heir</w:t>
      </w:r>
      <w:proofErr w:type="spellEnd"/>
      <w:r w:rsidRPr="00537CF9">
        <w:rPr>
          <w:rFonts w:cs="Times New Roman"/>
        </w:rPr>
        <w:t xml:space="preserve"> absence, or low quality, will be felt as a “public bad.”).</w:t>
      </w:r>
      <w:r w:rsidRPr="00537CF9">
        <w:rPr>
          <w:rFonts w:cs="Times New Roman"/>
          <w:i/>
          <w:iCs/>
        </w:rPr>
        <w:t xml:space="preserve"> </w:t>
      </w:r>
    </w:p>
  </w:footnote>
  <w:footnote w:id="234">
    <w:p w:rsidR="007A1944" w:rsidRPr="00537CF9" w:rsidRDefault="007A1944" w:rsidP="00E20540">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 e.g.</w:t>
      </w:r>
      <w:r w:rsidRPr="00537CF9">
        <w:rPr>
          <w:rFonts w:cs="Times New Roman"/>
        </w:rPr>
        <w:t xml:space="preserve">, </w:t>
      </w:r>
      <w:proofErr w:type="spellStart"/>
      <w:r w:rsidRPr="00537CF9">
        <w:rPr>
          <w:rFonts w:cs="Times New Roman"/>
        </w:rPr>
        <w:t>Heise</w:t>
      </w:r>
      <w:proofErr w:type="spellEnd"/>
      <w:r w:rsidRPr="00537CF9">
        <w:rPr>
          <w:rFonts w:cs="Times New Roman"/>
        </w:rPr>
        <w:t xml:space="preserve">, </w:t>
      </w:r>
      <w:r w:rsidRPr="00537CF9">
        <w:rPr>
          <w:rFonts w:cs="Times New Roman"/>
          <w:i/>
          <w:iCs/>
        </w:rPr>
        <w:t xml:space="preserve">supra </w:t>
      </w:r>
      <w:r w:rsidRPr="00537CF9">
        <w:rPr>
          <w:rFonts w:cs="Times New Roman"/>
        </w:rPr>
        <w:t>note __, at 93-105 (describing litigation efforts which seek to force state governments to adequately fund public schools);</w:t>
      </w:r>
      <w:r w:rsidRPr="00537CF9">
        <w:rPr>
          <w:rFonts w:cs="Times New Roman"/>
          <w:i/>
          <w:iCs/>
        </w:rPr>
        <w:t xml:space="preserve"> </w:t>
      </w:r>
      <w:r w:rsidRPr="00537CF9">
        <w:rPr>
          <w:rFonts w:cs="Times New Roman"/>
        </w:rPr>
        <w:t xml:space="preserve">Ritter and </w:t>
      </w:r>
      <w:proofErr w:type="spellStart"/>
      <w:r w:rsidRPr="00537CF9">
        <w:rPr>
          <w:rFonts w:cs="Times New Roman"/>
        </w:rPr>
        <w:t>Lauver</w:t>
      </w:r>
      <w:proofErr w:type="spellEnd"/>
      <w:r w:rsidRPr="00537CF9">
        <w:rPr>
          <w:rFonts w:cs="Times New Roman"/>
        </w:rPr>
        <w:t xml:space="preserve">, </w:t>
      </w:r>
      <w:r w:rsidRPr="00537CF9">
        <w:rPr>
          <w:rFonts w:cs="Times New Roman"/>
          <w:i/>
          <w:iCs/>
        </w:rPr>
        <w:t xml:space="preserve">supra </w:t>
      </w:r>
      <w:r w:rsidRPr="00537CF9">
        <w:rPr>
          <w:rFonts w:cs="Times New Roman"/>
        </w:rPr>
        <w:t>note</w:t>
      </w:r>
      <w:r>
        <w:rPr>
          <w:rFonts w:cs="Times New Roman"/>
        </w:rPr>
        <w:t xml:space="preserve"> __ </w:t>
      </w:r>
      <w:r w:rsidRPr="00537CF9">
        <w:rPr>
          <w:rFonts w:cs="Times New Roman"/>
        </w:rPr>
        <w:t xml:space="preserve">(same, in New Jersey); Thro, </w:t>
      </w:r>
      <w:r w:rsidRPr="00537CF9">
        <w:rPr>
          <w:rFonts w:cs="Times New Roman"/>
          <w:i/>
          <w:iCs/>
        </w:rPr>
        <w:t xml:space="preserve">supra </w:t>
      </w:r>
      <w:r w:rsidRPr="00537CF9">
        <w:rPr>
          <w:rFonts w:cs="Times New Roman"/>
        </w:rPr>
        <w:t>note __ (same, in Massachusetts).</w:t>
      </w:r>
    </w:p>
  </w:footnote>
  <w:footnote w:id="235">
    <w:p w:rsidR="007A1944" w:rsidRPr="00090FC9" w:rsidRDefault="007A1944" w:rsidP="00E20540">
      <w:pPr>
        <w:pStyle w:val="FootnoteText"/>
        <w:rPr>
          <w:rFonts w:cs="Times New Roman"/>
        </w:rPr>
      </w:pPr>
      <w:r w:rsidRPr="00537CF9">
        <w:rPr>
          <w:rStyle w:val="FootnoteReference"/>
          <w:rFonts w:cs="Times New Roman"/>
        </w:rPr>
        <w:footnoteRef/>
      </w:r>
      <w:r>
        <w:rPr>
          <w:rFonts w:cs="Times New Roman"/>
        </w:rPr>
        <w:t xml:space="preserve"> </w:t>
      </w:r>
      <w:r>
        <w:rPr>
          <w:rFonts w:cs="Times New Roman"/>
          <w:i/>
          <w:iCs/>
        </w:rPr>
        <w:t xml:space="preserve">See </w:t>
      </w:r>
      <w:r>
        <w:rPr>
          <w:rFonts w:cs="Times New Roman"/>
        </w:rPr>
        <w:t xml:space="preserve">Eli </w:t>
      </w:r>
      <w:proofErr w:type="spellStart"/>
      <w:r>
        <w:rPr>
          <w:rFonts w:cs="Times New Roman"/>
        </w:rPr>
        <w:t>Savit</w:t>
      </w:r>
      <w:proofErr w:type="spellEnd"/>
      <w:r>
        <w:rPr>
          <w:rFonts w:cs="Times New Roman"/>
        </w:rPr>
        <w:t xml:space="preserve">, </w:t>
      </w:r>
      <w:r>
        <w:rPr>
          <w:rFonts w:cs="Times New Roman"/>
          <w:i/>
          <w:iCs/>
        </w:rPr>
        <w:t>Detroit’s Schools are Unconstitutionally Unequal</w:t>
      </w:r>
      <w:r>
        <w:rPr>
          <w:rFonts w:cs="Times New Roman"/>
        </w:rPr>
        <w:t xml:space="preserve">, </w:t>
      </w:r>
      <w:r>
        <w:rPr>
          <w:rFonts w:cs="Times New Roman"/>
          <w:smallCaps/>
        </w:rPr>
        <w:t xml:space="preserve">N.Y. Times </w:t>
      </w:r>
      <w:r>
        <w:rPr>
          <w:rFonts w:cs="Times New Roman"/>
        </w:rPr>
        <w:t xml:space="preserve">(Nov. 7, 2019), </w:t>
      </w:r>
      <w:r w:rsidRPr="002D5E75">
        <w:rPr>
          <w:rFonts w:cs="Times New Roman"/>
        </w:rPr>
        <w:t>https://www.nytimes.com/2019/11/07/opinion/detroit-public-schools.html</w:t>
      </w:r>
      <w:r>
        <w:rPr>
          <w:rFonts w:cs="Times New Roman"/>
        </w:rPr>
        <w:t xml:space="preserve"> (describing conditions in Detroit public schools, including mold, vermin and extreme temperatures); see supra notes ___-___ (describing conditions in Detroit schools). </w:t>
      </w:r>
      <w:r w:rsidRPr="00537CF9">
        <w:rPr>
          <w:rFonts w:cs="Times New Roman"/>
        </w:rPr>
        <w:t xml:space="preserve"> </w:t>
      </w:r>
    </w:p>
  </w:footnote>
  <w:footnote w:id="236">
    <w:p w:rsidR="007A1944" w:rsidRDefault="007A1944">
      <w:pPr>
        <w:pStyle w:val="FootnoteText"/>
      </w:pPr>
      <w:r>
        <w:rPr>
          <w:rStyle w:val="FootnoteReference"/>
        </w:rPr>
        <w:footnoteRef/>
      </w:r>
      <w:r>
        <w:t xml:space="preserve"> Nozick, supra note ___, at 11.</w:t>
      </w:r>
    </w:p>
  </w:footnote>
  <w:footnote w:id="237">
    <w:p w:rsidR="007A1944" w:rsidRPr="00537CF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E.g.</w:t>
      </w:r>
      <w:r w:rsidRPr="00090FC9">
        <w:rPr>
          <w:rFonts w:cs="Times New Roman"/>
          <w:smallCaps/>
        </w:rPr>
        <w:t xml:space="preserve"> 1 Bentham, </w:t>
      </w:r>
      <w:r w:rsidRPr="00090FC9">
        <w:rPr>
          <w:rFonts w:cs="Times New Roman"/>
          <w:i/>
          <w:iCs/>
        </w:rPr>
        <w:t xml:space="preserve">supra </w:t>
      </w:r>
      <w:r w:rsidRPr="00090FC9">
        <w:rPr>
          <w:rFonts w:cs="Times New Roman"/>
        </w:rPr>
        <w:t xml:space="preserve">note __, at 143 (describing law and legislation as the only means through which humans have been able to create a durable form of security); </w:t>
      </w:r>
      <w:r w:rsidRPr="00090FC9">
        <w:rPr>
          <w:rFonts w:cs="Times New Roman"/>
          <w:smallCaps/>
        </w:rPr>
        <w:t>Hobbes</w:t>
      </w:r>
      <w:r w:rsidRPr="00960A24">
        <w:rPr>
          <w:rFonts w:cs="Times New Roman"/>
        </w:rPr>
        <w:t xml:space="preserve">, </w:t>
      </w:r>
      <w:r w:rsidRPr="00960A24">
        <w:rPr>
          <w:rFonts w:cs="Times New Roman"/>
          <w:i/>
          <w:iCs/>
        </w:rPr>
        <w:t xml:space="preserve">supra </w:t>
      </w:r>
      <w:r w:rsidRPr="00960A24">
        <w:rPr>
          <w:rFonts w:cs="Times New Roman"/>
        </w:rPr>
        <w:t>note __, at 108 (stating that men join in a body politic to make laws for their security);</w:t>
      </w:r>
      <w:r w:rsidRPr="00960A24">
        <w:rPr>
          <w:rFonts w:cs="Times New Roman"/>
          <w:i/>
          <w:iCs/>
        </w:rPr>
        <w:t xml:space="preserve"> </w:t>
      </w:r>
      <w:r w:rsidRPr="00960A24">
        <w:rPr>
          <w:rFonts w:cs="Times New Roman"/>
          <w:smallCaps/>
        </w:rPr>
        <w:t xml:space="preserve">Locke, </w:t>
      </w:r>
      <w:r w:rsidRPr="00960A24">
        <w:rPr>
          <w:rFonts w:cs="Times New Roman"/>
          <w:i/>
          <w:iCs/>
        </w:rPr>
        <w:t xml:space="preserve">supra </w:t>
      </w:r>
      <w:r w:rsidRPr="00960A24">
        <w:rPr>
          <w:rFonts w:cs="Times New Roman"/>
        </w:rPr>
        <w:t>note __, at § 89 (</w:t>
      </w:r>
      <w:r w:rsidRPr="00537CF9">
        <w:rPr>
          <w:rFonts w:cs="Times New Roman"/>
        </w:rPr>
        <w:t xml:space="preserve">stating that by joining in society, individuals authorize the collective to make laws applicable to them for the good and safety of all); </w:t>
      </w:r>
    </w:p>
  </w:footnote>
  <w:footnote w:id="238">
    <w:p w:rsidR="007A1944" w:rsidRPr="00537CF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 xml:space="preserve">Locke, </w:t>
      </w:r>
      <w:r w:rsidRPr="00090FC9">
        <w:rPr>
          <w:rFonts w:cs="Times New Roman"/>
          <w:i/>
          <w:iCs/>
        </w:rPr>
        <w:t xml:space="preserve">supra </w:t>
      </w:r>
      <w:r w:rsidRPr="00090FC9">
        <w:rPr>
          <w:rFonts w:cs="Times New Roman"/>
        </w:rPr>
        <w:t>note __, at § 3.</w:t>
      </w:r>
    </w:p>
  </w:footnote>
  <w:footnote w:id="239">
    <w:p w:rsidR="007A1944" w:rsidRPr="00537CF9" w:rsidRDefault="007A1944" w:rsidP="00C01143">
      <w:pPr>
        <w:pStyle w:val="FootnoteText"/>
        <w:rPr>
          <w:rFonts w:cs="Times New Roman"/>
        </w:rPr>
      </w:pPr>
      <w:r w:rsidRPr="00537CF9">
        <w:rPr>
          <w:rStyle w:val="FootnoteReference"/>
          <w:rFonts w:cs="Times New Roman"/>
        </w:rPr>
        <w:footnoteRef/>
      </w:r>
      <w:r>
        <w:rPr>
          <w:rFonts w:cs="Times New Roman"/>
        </w:rPr>
        <w:t xml:space="preserve"> </w:t>
      </w:r>
      <w:r w:rsidRPr="00537CF9">
        <w:rPr>
          <w:rFonts w:cs="Times New Roman"/>
          <w:smallCaps/>
        </w:rPr>
        <w:t xml:space="preserve">Locke, </w:t>
      </w:r>
      <w:r w:rsidRPr="00537CF9">
        <w:rPr>
          <w:rFonts w:cs="Times New Roman"/>
          <w:i/>
          <w:iCs/>
        </w:rPr>
        <w:t xml:space="preserve">supra </w:t>
      </w:r>
      <w:r w:rsidRPr="00537CF9">
        <w:rPr>
          <w:rFonts w:cs="Times New Roman"/>
        </w:rPr>
        <w:t xml:space="preserve">note __, at § 90. </w:t>
      </w:r>
    </w:p>
  </w:footnote>
  <w:footnote w:id="240">
    <w:p w:rsidR="007A1944" w:rsidRPr="00537CF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 xml:space="preserve">Hobbes, </w:t>
      </w:r>
      <w:r w:rsidRPr="00537CF9">
        <w:rPr>
          <w:rFonts w:cs="Times New Roman"/>
          <w:i/>
          <w:iCs/>
        </w:rPr>
        <w:t>supra</w:t>
      </w:r>
      <w:r w:rsidRPr="00090FC9">
        <w:rPr>
          <w:rFonts w:cs="Times New Roman"/>
          <w:i/>
          <w:iCs/>
          <w:smallCaps/>
        </w:rPr>
        <w:t xml:space="preserve"> </w:t>
      </w:r>
      <w:r w:rsidRPr="00090FC9">
        <w:rPr>
          <w:rFonts w:cs="Times New Roman"/>
        </w:rPr>
        <w:t>note __, at 112.</w:t>
      </w:r>
    </w:p>
  </w:footnote>
  <w:footnote w:id="241">
    <w:p w:rsidR="007A1944" w:rsidRPr="00960A24" w:rsidRDefault="007A1944" w:rsidP="003E4E74">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i/>
          <w:iCs/>
        </w:rPr>
        <w:t>See</w:t>
      </w:r>
      <w:r w:rsidRPr="00090FC9">
        <w:rPr>
          <w:rFonts w:cs="Times New Roman"/>
        </w:rPr>
        <w:t xml:space="preserve"> Capers, </w:t>
      </w:r>
      <w:r w:rsidRPr="00090FC9">
        <w:rPr>
          <w:rFonts w:cs="Times New Roman"/>
          <w:i/>
          <w:iCs/>
        </w:rPr>
        <w:t>supra</w:t>
      </w:r>
      <w:r w:rsidRPr="00090FC9">
        <w:rPr>
          <w:rFonts w:cs="Times New Roman"/>
        </w:rPr>
        <w:t xml:space="preserve"> note __, at 15–19 (describing how private prosecution was common from the colonial period through the Civil War); Steinberg, </w:t>
      </w:r>
      <w:r w:rsidRPr="00090FC9">
        <w:rPr>
          <w:rFonts w:cs="Times New Roman"/>
          <w:i/>
          <w:iCs/>
        </w:rPr>
        <w:t>supra</w:t>
      </w:r>
      <w:r w:rsidRPr="00090FC9">
        <w:rPr>
          <w:rFonts w:cs="Times New Roman"/>
        </w:rPr>
        <w:t xml:space="preserve"> note __, at 586 (describing the commonality of private prosecution for misdemeanors in the 1950s and the influence </w:t>
      </w:r>
      <w:r w:rsidRPr="00960A24">
        <w:rPr>
          <w:rFonts w:cs="Times New Roman"/>
        </w:rPr>
        <w:t>of victims on the charging process).</w:t>
      </w:r>
    </w:p>
  </w:footnote>
  <w:footnote w:id="242">
    <w:p w:rsidR="007A1944" w:rsidRPr="00090FC9" w:rsidRDefault="007A1944" w:rsidP="003E4E74">
      <w:pPr>
        <w:pStyle w:val="FootnoteText"/>
        <w:rPr>
          <w:rFonts w:cs="Times New Roman"/>
        </w:rPr>
      </w:pPr>
      <w:r w:rsidRPr="00537CF9">
        <w:rPr>
          <w:rStyle w:val="FootnoteReference"/>
          <w:rFonts w:cs="Times New Roman"/>
        </w:rPr>
        <w:footnoteRef/>
      </w:r>
      <w:r w:rsidRPr="00537CF9">
        <w:rPr>
          <w:rFonts w:cs="Times New Roman"/>
        </w:rPr>
        <w:t xml:space="preserve"> </w:t>
      </w:r>
      <w:r w:rsidRPr="00537CF9">
        <w:rPr>
          <w:rFonts w:cs="Times New Roman"/>
          <w:smallCaps/>
        </w:rPr>
        <w:t>Steinberg</w:t>
      </w:r>
      <w:r w:rsidRPr="00090FC9">
        <w:rPr>
          <w:rFonts w:cs="Times New Roman"/>
        </w:rPr>
        <w:t xml:space="preserve">, </w:t>
      </w:r>
      <w:r w:rsidRPr="00090FC9">
        <w:rPr>
          <w:rFonts w:cs="Times New Roman"/>
          <w:i/>
          <w:iCs/>
        </w:rPr>
        <w:t>supra</w:t>
      </w:r>
      <w:r w:rsidRPr="00090FC9">
        <w:rPr>
          <w:rFonts w:cs="Times New Roman"/>
        </w:rPr>
        <w:t xml:space="preserve"> note __, at 39.</w:t>
      </w:r>
    </w:p>
  </w:footnote>
  <w:footnote w:id="243">
    <w:p w:rsidR="007A1944" w:rsidRPr="00090FC9" w:rsidRDefault="007A1944" w:rsidP="003E4E74">
      <w:pPr>
        <w:pStyle w:val="FootnoteText"/>
        <w:rPr>
          <w:rFonts w:cs="Times New Roman"/>
        </w:rPr>
      </w:pPr>
      <w:r w:rsidRPr="00537CF9">
        <w:rPr>
          <w:rStyle w:val="FootnoteReference"/>
          <w:rFonts w:cs="Times New Roman"/>
        </w:rPr>
        <w:footnoteRef/>
      </w:r>
      <w:r w:rsidRPr="00537CF9">
        <w:rPr>
          <w:rFonts w:cs="Times New Roman"/>
        </w:rPr>
        <w:t xml:space="preserve"> Steinberg, </w:t>
      </w:r>
      <w:r w:rsidRPr="00537CF9">
        <w:rPr>
          <w:rFonts w:cs="Times New Roman"/>
          <w:i/>
          <w:iCs/>
        </w:rPr>
        <w:t>supra</w:t>
      </w:r>
      <w:r w:rsidRPr="00090FC9">
        <w:rPr>
          <w:rFonts w:cs="Times New Roman"/>
        </w:rPr>
        <w:t xml:space="preserve"> note __, at 577. </w:t>
      </w:r>
    </w:p>
  </w:footnote>
  <w:footnote w:id="244">
    <w:p w:rsidR="007A1944" w:rsidRPr="00090FC9" w:rsidRDefault="007A1944" w:rsidP="003E4E74">
      <w:pPr>
        <w:pStyle w:val="FootnoteText"/>
        <w:rPr>
          <w:rFonts w:cs="Times New Roman"/>
        </w:rPr>
      </w:pPr>
      <w:r w:rsidRPr="00537CF9">
        <w:rPr>
          <w:rStyle w:val="FootnoteReference"/>
          <w:rFonts w:cs="Times New Roman"/>
        </w:rPr>
        <w:footnoteRef/>
      </w:r>
      <w:r w:rsidRPr="00537CF9">
        <w:rPr>
          <w:rFonts w:cs="Times New Roman"/>
        </w:rPr>
        <w:t xml:space="preserve"> Steinberg, </w:t>
      </w:r>
      <w:r w:rsidRPr="00537CF9">
        <w:rPr>
          <w:rFonts w:cs="Times New Roman"/>
          <w:i/>
          <w:iCs/>
        </w:rPr>
        <w:t>supra</w:t>
      </w:r>
      <w:r w:rsidRPr="00090FC9">
        <w:rPr>
          <w:rFonts w:cs="Times New Roman"/>
        </w:rPr>
        <w:t xml:space="preserve"> note __, at 586.</w:t>
      </w:r>
    </w:p>
  </w:footnote>
  <w:footnote w:id="245">
    <w:p w:rsidR="007A1944" w:rsidRPr="00537CF9"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Michael Pollack, </w:t>
      </w:r>
      <w:r w:rsidRPr="00537CF9">
        <w:rPr>
          <w:rFonts w:cs="Times New Roman"/>
          <w:i/>
          <w:iCs/>
        </w:rPr>
        <w:t>Judicial Deference and Institutional Character: Homeowners Associations and the Puzzle of Private Governance</w:t>
      </w:r>
      <w:r w:rsidRPr="00090FC9">
        <w:rPr>
          <w:rFonts w:cs="Times New Roman"/>
        </w:rPr>
        <w:t>, 81 U</w:t>
      </w:r>
      <w:r w:rsidRPr="00090FC9">
        <w:rPr>
          <w:rFonts w:cs="Times New Roman"/>
          <w:smallCaps/>
        </w:rPr>
        <w:t>. Cincinnati L. Rev</w:t>
      </w:r>
      <w:r w:rsidRPr="00090FC9">
        <w:rPr>
          <w:rFonts w:cs="Times New Roman"/>
        </w:rPr>
        <w:t xml:space="preserve">. 839, 840-46 (2013) (describing the powers wielded </w:t>
      </w:r>
      <w:r w:rsidRPr="00960A24">
        <w:rPr>
          <w:rFonts w:cs="Times New Roman"/>
        </w:rPr>
        <w:t>by homeowners associations and the extent to which judges defer to their decisions)</w:t>
      </w:r>
      <w:r>
        <w:rPr>
          <w:rFonts w:cs="Times New Roman"/>
        </w:rPr>
        <w:t xml:space="preserve">; </w:t>
      </w:r>
      <w:r w:rsidR="006B0C5F" w:rsidRPr="00D82157">
        <w:rPr>
          <w:rFonts w:cs="Times New Roman"/>
        </w:rPr>
        <w:t xml:space="preserve">Michael C. Grossman, </w:t>
      </w:r>
      <w:r w:rsidR="006B0C5F" w:rsidRPr="00525641">
        <w:rPr>
          <w:rFonts w:cs="Times New Roman"/>
          <w:i/>
          <w:iCs/>
        </w:rPr>
        <w:t>Is This Arbitration?: Religious Tribunals, Judicial Review, and Due Process</w:t>
      </w:r>
      <w:r w:rsidR="006B0C5F" w:rsidRPr="00D82157">
        <w:rPr>
          <w:rFonts w:cs="Times New Roman"/>
        </w:rPr>
        <w:t xml:space="preserve">, 107 </w:t>
      </w:r>
      <w:r w:rsidR="006B0C5F" w:rsidRPr="00525641">
        <w:rPr>
          <w:rFonts w:cs="Times New Roman"/>
          <w:smallCaps/>
        </w:rPr>
        <w:t>Colum. L. Rev.</w:t>
      </w:r>
      <w:r w:rsidR="006B0C5F" w:rsidRPr="00D82157">
        <w:rPr>
          <w:rFonts w:cs="Times New Roman"/>
        </w:rPr>
        <w:t xml:space="preserve"> 169</w:t>
      </w:r>
      <w:r w:rsidR="006B0C5F">
        <w:rPr>
          <w:rFonts w:cs="Times New Roman"/>
        </w:rPr>
        <w:t>, 177-181</w:t>
      </w:r>
      <w:r w:rsidR="006B0C5F" w:rsidRPr="00D82157">
        <w:rPr>
          <w:rFonts w:cs="Times New Roman"/>
        </w:rPr>
        <w:t xml:space="preserve"> (2007)</w:t>
      </w:r>
      <w:r w:rsidR="006B0C5F">
        <w:rPr>
          <w:rFonts w:cs="Times New Roman"/>
        </w:rPr>
        <w:t xml:space="preserve"> (describing how courts enforce decisions made by Christian, Muslim, and Jewish tribunals on issues such as divorce, employment disputes, and contract claims). </w:t>
      </w:r>
    </w:p>
  </w:footnote>
  <w:footnote w:id="246">
    <w:p w:rsidR="007A1944" w:rsidRDefault="007A1944">
      <w:pPr>
        <w:pStyle w:val="FootnoteText"/>
      </w:pPr>
      <w:r>
        <w:rPr>
          <w:rStyle w:val="FootnoteReference"/>
        </w:rPr>
        <w:footnoteRef/>
      </w:r>
      <w:r>
        <w:t xml:space="preserve"> RA* cite for restorative justice programs in private hands.</w:t>
      </w:r>
    </w:p>
  </w:footnote>
  <w:footnote w:id="247">
    <w:p w:rsidR="007A1944" w:rsidRDefault="007A1944">
      <w:pPr>
        <w:pStyle w:val="FootnoteText"/>
      </w:pPr>
      <w:r>
        <w:rPr>
          <w:rStyle w:val="FootnoteReference"/>
        </w:rPr>
        <w:footnoteRef/>
      </w:r>
      <w:r>
        <w:t xml:space="preserve"> Nozick, supra note ___, at 14.</w:t>
      </w:r>
    </w:p>
  </w:footnote>
  <w:footnote w:id="248">
    <w:p w:rsidR="007A1944" w:rsidRPr="00090FC9" w:rsidRDefault="007A1944" w:rsidP="00C01143">
      <w:pPr>
        <w:pStyle w:val="FootnoteText"/>
        <w:rPr>
          <w:rFonts w:cs="Times New Roman"/>
        </w:rPr>
      </w:pPr>
      <w:r w:rsidRPr="00090FC9">
        <w:rPr>
          <w:rStyle w:val="FootnoteReference"/>
          <w:rFonts w:cs="Times New Roman"/>
        </w:rPr>
        <w:footnoteRef/>
      </w:r>
      <w:r w:rsidRPr="00090FC9">
        <w:rPr>
          <w:rFonts w:cs="Times New Roman"/>
        </w:rPr>
        <w:t xml:space="preserve"> </w:t>
      </w:r>
      <w:r w:rsidRPr="00090FC9">
        <w:rPr>
          <w:rFonts w:cs="Times New Roman"/>
          <w:i/>
          <w:iCs/>
        </w:rPr>
        <w:t>Inaugural Address of George Bush</w:t>
      </w:r>
      <w:r w:rsidRPr="00090FC9">
        <w:rPr>
          <w:rFonts w:cs="Times New Roman"/>
        </w:rPr>
        <w:t xml:space="preserve">, </w:t>
      </w:r>
      <w:r w:rsidRPr="00090FC9">
        <w:rPr>
          <w:rFonts w:cs="Times New Roman"/>
          <w:smallCaps/>
        </w:rPr>
        <w:t>Avalon Project</w:t>
      </w:r>
      <w:r w:rsidRPr="00090FC9">
        <w:rPr>
          <w:rFonts w:cs="Times New Roman"/>
        </w:rPr>
        <w:t xml:space="preserve">, </w:t>
      </w:r>
    </w:p>
    <w:p w:rsidR="007A1944" w:rsidRPr="00090FC9" w:rsidRDefault="007A1944" w:rsidP="00C01143">
      <w:pPr>
        <w:pStyle w:val="FootnoteText"/>
        <w:rPr>
          <w:rFonts w:cs="Times New Roman"/>
        </w:rPr>
      </w:pPr>
      <w:r w:rsidRPr="00090FC9">
        <w:rPr>
          <w:rFonts w:cs="Times New Roman"/>
        </w:rPr>
        <w:t>https://avalon.law.yale.edu/20th_century/bush.asp (last visited Aug. 5, 2020)</w:t>
      </w:r>
    </w:p>
  </w:footnote>
  <w:footnote w:id="249">
    <w:p w:rsidR="007A1944" w:rsidRPr="00960A24" w:rsidRDefault="007A1944" w:rsidP="00C01143">
      <w:pPr>
        <w:pStyle w:val="FootnoteText"/>
        <w:rPr>
          <w:rFonts w:cs="Times New Roman"/>
          <w:smallCaps/>
        </w:rPr>
      </w:pPr>
      <w:r w:rsidRPr="00090FC9">
        <w:rPr>
          <w:rStyle w:val="FootnoteReference"/>
          <w:rFonts w:cs="Times New Roman"/>
        </w:rPr>
        <w:footnoteRef/>
      </w:r>
      <w:r w:rsidRPr="00090FC9">
        <w:rPr>
          <w:rFonts w:cs="Times New Roman"/>
        </w:rPr>
        <w:t xml:space="preserve"> </w:t>
      </w:r>
      <w:r w:rsidRPr="00090FC9">
        <w:rPr>
          <w:rFonts w:cs="Times New Roman"/>
          <w:i/>
          <w:iCs/>
        </w:rPr>
        <w:t xml:space="preserve">See </w:t>
      </w:r>
      <w:r>
        <w:rPr>
          <w:rFonts w:cs="Times New Roman"/>
        </w:rPr>
        <w:t xml:space="preserve">Mike </w:t>
      </w:r>
      <w:proofErr w:type="spellStart"/>
      <w:r>
        <w:rPr>
          <w:rFonts w:cs="Times New Roman"/>
        </w:rPr>
        <w:t>Konczal</w:t>
      </w:r>
      <w:proofErr w:type="spellEnd"/>
      <w:r>
        <w:rPr>
          <w:rFonts w:cs="Times New Roman"/>
        </w:rPr>
        <w:t xml:space="preserve">, </w:t>
      </w:r>
      <w:r>
        <w:rPr>
          <w:rFonts w:cs="Times New Roman"/>
          <w:i/>
          <w:iCs/>
        </w:rPr>
        <w:t>The Voluntarism Fantasy</w:t>
      </w:r>
      <w:r>
        <w:rPr>
          <w:rFonts w:cs="Times New Roman"/>
        </w:rPr>
        <w:t xml:space="preserve">, </w:t>
      </w:r>
      <w:r>
        <w:rPr>
          <w:rFonts w:cs="Times New Roman"/>
          <w:smallCaps/>
        </w:rPr>
        <w:t>Democracy J.,</w:t>
      </w:r>
      <w:r w:rsidRPr="00960A24">
        <w:rPr>
          <w:rFonts w:cs="Times New Roman"/>
        </w:rPr>
        <w:t xml:space="preserve"> </w:t>
      </w:r>
      <w:r w:rsidRPr="002D5E75">
        <w:rPr>
          <w:rFonts w:cs="Times New Roman"/>
        </w:rPr>
        <w:t>https://democracyjournal.org/magazine/32/the-voluntarism-fantasy</w:t>
      </w:r>
      <w:r>
        <w:rPr>
          <w:rFonts w:cs="Times New Roman"/>
        </w:rPr>
        <w:t xml:space="preserve"> (last visited Aug. 5, 2020) (arguing for the necessity of public social insurance programs and documenting decreases in voluntary charity during economic crises).</w:t>
      </w:r>
    </w:p>
  </w:footnote>
  <w:footnote w:id="250">
    <w:p w:rsidR="007A1944" w:rsidRPr="001655D4" w:rsidRDefault="007A1944" w:rsidP="00C01143">
      <w:pPr>
        <w:pStyle w:val="FootnoteText"/>
        <w:rPr>
          <w:rFonts w:cs="Times New Roman"/>
        </w:rPr>
      </w:pPr>
      <w:r w:rsidRPr="00537CF9">
        <w:rPr>
          <w:rStyle w:val="FootnoteReference"/>
          <w:rFonts w:cs="Times New Roman"/>
        </w:rPr>
        <w:footnoteRef/>
      </w:r>
      <w:r w:rsidRPr="00537CF9">
        <w:rPr>
          <w:rFonts w:cs="Times New Roman"/>
        </w:rPr>
        <w:t xml:space="preserve"> </w:t>
      </w:r>
      <w:r w:rsidRPr="00960A24">
        <w:rPr>
          <w:rFonts w:cs="Times New Roman"/>
          <w:i/>
          <w:iCs/>
        </w:rPr>
        <w:t xml:space="preserve">See </w:t>
      </w:r>
      <w:proofErr w:type="spellStart"/>
      <w:r w:rsidRPr="00960A24">
        <w:rPr>
          <w:rFonts w:cs="Times New Roman"/>
          <w:i/>
          <w:iCs/>
        </w:rPr>
        <w:t>DeShaney</w:t>
      </w:r>
      <w:proofErr w:type="spellEnd"/>
      <w:r w:rsidRPr="00960A24">
        <w:rPr>
          <w:rFonts w:cs="Times New Roman"/>
        </w:rPr>
        <w:t>,</w:t>
      </w:r>
      <w:r w:rsidRPr="00537CF9">
        <w:rPr>
          <w:rFonts w:cs="Times New Roman"/>
        </w:rPr>
        <w:t xml:space="preserve"> 489 U.S. at </w:t>
      </w:r>
      <w:r>
        <w:rPr>
          <w:rFonts w:cs="Times New Roman"/>
        </w:rPr>
        <w:t xml:space="preserve">198-202 (discussing cases such as </w:t>
      </w:r>
      <w:r>
        <w:rPr>
          <w:rFonts w:cs="Times New Roman"/>
          <w:i/>
          <w:iCs/>
        </w:rPr>
        <w:t>Estelle v. Gamble</w:t>
      </w:r>
      <w:r>
        <w:rPr>
          <w:rFonts w:cs="Times New Roman"/>
        </w:rPr>
        <w:t xml:space="preserve">, </w:t>
      </w:r>
      <w:r>
        <w:rPr>
          <w:rFonts w:cs="Times New Roman"/>
          <w:i/>
          <w:iCs/>
        </w:rPr>
        <w:t>Youngberg v. Romero</w:t>
      </w:r>
      <w:r>
        <w:rPr>
          <w:rFonts w:cs="Times New Roman"/>
        </w:rPr>
        <w:t xml:space="preserve">, and </w:t>
      </w:r>
      <w:r>
        <w:rPr>
          <w:rFonts w:cs="Times New Roman"/>
          <w:i/>
          <w:iCs/>
        </w:rPr>
        <w:t>Revere v. Massachusetts General Hospital</w:t>
      </w:r>
      <w:r>
        <w:rPr>
          <w:rFonts w:cs="Times New Roman"/>
        </w:rPr>
        <w:t>).</w:t>
      </w:r>
      <w:r>
        <w:rPr>
          <w:rFonts w:cs="Times New Roman"/>
          <w:i/>
          <w:iCs/>
        </w:rPr>
        <w:t xml:space="preserve"> </w:t>
      </w:r>
      <w:r w:rsidR="006B0C5F" w:rsidRPr="00907C78">
        <w:rPr>
          <w:rFonts w:cs="Times New Roman"/>
          <w:i/>
          <w:iCs/>
        </w:rPr>
        <w:t>But see</w:t>
      </w:r>
      <w:r w:rsidR="006B0C5F">
        <w:rPr>
          <w:rFonts w:cs="Times New Roman"/>
        </w:rPr>
        <w:t xml:space="preserve"> Roni Caryn Rabin, </w:t>
      </w:r>
      <w:r w:rsidR="006B0C5F" w:rsidRPr="005A2341">
        <w:rPr>
          <w:rFonts w:cs="Times New Roman"/>
          <w:i/>
          <w:iCs/>
        </w:rPr>
        <w:t>Prisons Are Covid-19 Hotbeds. When Should Inmates Get the Vaccine?</w:t>
      </w:r>
      <w:r w:rsidR="006B0C5F">
        <w:rPr>
          <w:rFonts w:cs="Times New Roman"/>
        </w:rPr>
        <w:t xml:space="preserve">, </w:t>
      </w:r>
      <w:r w:rsidR="006B0C5F" w:rsidRPr="005A2341">
        <w:rPr>
          <w:rFonts w:cs="Times New Roman"/>
          <w:smallCaps/>
        </w:rPr>
        <w:t>N</w:t>
      </w:r>
      <w:r w:rsidR="006B0C5F">
        <w:rPr>
          <w:rFonts w:cs="Times New Roman"/>
          <w:smallCaps/>
        </w:rPr>
        <w:t>.</w:t>
      </w:r>
      <w:r w:rsidR="006B0C5F" w:rsidRPr="005A2341">
        <w:rPr>
          <w:rFonts w:cs="Times New Roman"/>
          <w:smallCaps/>
        </w:rPr>
        <w:t>Y</w:t>
      </w:r>
      <w:r w:rsidR="006B0C5F">
        <w:rPr>
          <w:rFonts w:cs="Times New Roman"/>
          <w:smallCaps/>
        </w:rPr>
        <w:t>.</w:t>
      </w:r>
      <w:r w:rsidR="006B0C5F" w:rsidRPr="005A2341">
        <w:rPr>
          <w:rFonts w:cs="Times New Roman"/>
          <w:smallCaps/>
        </w:rPr>
        <w:t xml:space="preserve"> Times</w:t>
      </w:r>
      <w:r w:rsidR="006B0C5F">
        <w:rPr>
          <w:rFonts w:cs="Times New Roman"/>
        </w:rPr>
        <w:t xml:space="preserve"> (Nov. 30, 2020) </w:t>
      </w:r>
      <w:r w:rsidR="006B0C5F" w:rsidRPr="005A2341">
        <w:rPr>
          <w:rFonts w:cs="Times New Roman"/>
        </w:rPr>
        <w:t>https://www.nytimes.com/2020/11/30/health/coronavirus-vaccine-prisons.html</w:t>
      </w:r>
      <w:r w:rsidR="006B0C5F">
        <w:rPr>
          <w:rFonts w:cs="Times New Roman"/>
        </w:rPr>
        <w:t xml:space="preserve"> (explaining that federal guidelines do not list inmates as a high-priority group for receiving COVID-19 immunizations, even though some of the largest outbreaks have occurred in prisons); </w:t>
      </w:r>
      <w:r w:rsidR="006B0C5F" w:rsidRPr="00CE12B8">
        <w:rPr>
          <w:rFonts w:cs="Times New Roman"/>
        </w:rPr>
        <w:t xml:space="preserve">Barnes v. </w:t>
      </w:r>
      <w:proofErr w:type="spellStart"/>
      <w:r w:rsidR="006B0C5F" w:rsidRPr="00CE12B8">
        <w:rPr>
          <w:rFonts w:cs="Times New Roman"/>
        </w:rPr>
        <w:t>Ahlman</w:t>
      </w:r>
      <w:proofErr w:type="spellEnd"/>
      <w:r w:rsidR="006B0C5F" w:rsidRPr="00CE12B8">
        <w:rPr>
          <w:rFonts w:cs="Times New Roman"/>
        </w:rPr>
        <w:t>, 140 S. Ct. 2620</w:t>
      </w:r>
      <w:r w:rsidR="006B0C5F">
        <w:rPr>
          <w:rFonts w:cs="Times New Roman"/>
        </w:rPr>
        <w:t>, 2621-22</w:t>
      </w:r>
      <w:r w:rsidR="006B0C5F" w:rsidRPr="00CE12B8">
        <w:rPr>
          <w:rFonts w:cs="Times New Roman"/>
        </w:rPr>
        <w:t xml:space="preserve"> (2020)</w:t>
      </w:r>
      <w:r w:rsidR="006B0C5F">
        <w:rPr>
          <w:rFonts w:cs="Times New Roman"/>
        </w:rPr>
        <w:t xml:space="preserve"> (Sotomayor, J., dissenting) (detailing conditions at a jail during a COVID-19 outbreak, including inmates’ reports that they were forced to sleep two feet away from each other, given only one “small, hotel-sized bar of soap per week” each, and denied COVID-19 tests despite being symptomatic).  </w:t>
      </w:r>
    </w:p>
  </w:footnote>
  <w:footnote w:id="251">
    <w:p w:rsidR="007A1944" w:rsidRPr="003650B8" w:rsidRDefault="007A1944" w:rsidP="00C01143">
      <w:pPr>
        <w:pStyle w:val="FootnoteText"/>
        <w:rPr>
          <w:rFonts w:cs="Times New Roman"/>
        </w:rPr>
      </w:pPr>
      <w:r w:rsidRPr="00960A24">
        <w:rPr>
          <w:rStyle w:val="FootnoteReference"/>
          <w:rFonts w:cs="Times New Roman"/>
        </w:rPr>
        <w:footnoteRef/>
      </w:r>
      <w:r w:rsidRPr="00960A24">
        <w:rPr>
          <w:rFonts w:cs="Times New Roman"/>
        </w:rPr>
        <w:t xml:space="preserve"> </w:t>
      </w:r>
      <w:proofErr w:type="spellStart"/>
      <w:r>
        <w:rPr>
          <w:rFonts w:cs="Times New Roman"/>
          <w:i/>
          <w:iCs/>
        </w:rPr>
        <w:t>DeShaney</w:t>
      </w:r>
      <w:proofErr w:type="spellEnd"/>
      <w:r>
        <w:rPr>
          <w:rFonts w:cs="Times New Roman"/>
        </w:rPr>
        <w:t>, 489 U.S. at 199-200.</w:t>
      </w:r>
    </w:p>
  </w:footnote>
  <w:footnote w:id="252">
    <w:p w:rsidR="007A1944" w:rsidRPr="00F259BB" w:rsidRDefault="007A1944" w:rsidP="00757A10">
      <w:pPr>
        <w:pStyle w:val="FootnoteText"/>
        <w:rPr>
          <w:rFonts w:cs="Times New Roman"/>
        </w:rPr>
      </w:pPr>
      <w:r w:rsidRPr="00F259BB">
        <w:rPr>
          <w:rStyle w:val="FootnoteReference"/>
          <w:rFonts w:cs="Times New Roman"/>
          <w:strike/>
        </w:rPr>
        <w:footnoteRef/>
      </w:r>
      <w:r w:rsidRPr="00F259BB">
        <w:rPr>
          <w:rFonts w:cs="Times New Roman"/>
          <w:strike/>
        </w:rPr>
        <w:t xml:space="preserve"> </w:t>
      </w:r>
      <w:r w:rsidRPr="00F259BB">
        <w:rPr>
          <w:rFonts w:cs="Times New Roman"/>
          <w:i/>
          <w:iCs/>
        </w:rPr>
        <w:t>See</w:t>
      </w:r>
      <w:r w:rsidRPr="00F259BB">
        <w:rPr>
          <w:rFonts w:cs="Times New Roman"/>
        </w:rPr>
        <w:t xml:space="preserve"> </w:t>
      </w:r>
      <w:proofErr w:type="spellStart"/>
      <w:r w:rsidRPr="00F259BB">
        <w:rPr>
          <w:rFonts w:cs="Times New Roman"/>
        </w:rPr>
        <w:t>Versteed</w:t>
      </w:r>
      <w:proofErr w:type="spellEnd"/>
      <w:r w:rsidRPr="00F259BB">
        <w:rPr>
          <w:rFonts w:cs="Times New Roman"/>
        </w:rPr>
        <w:t xml:space="preserve"> &amp; </w:t>
      </w:r>
      <w:proofErr w:type="spellStart"/>
      <w:r w:rsidRPr="00F259BB">
        <w:rPr>
          <w:rFonts w:cs="Times New Roman"/>
        </w:rPr>
        <w:t>Zackin</w:t>
      </w:r>
      <w:proofErr w:type="spellEnd"/>
      <w:r w:rsidRPr="00F259BB">
        <w:rPr>
          <w:rFonts w:cs="Times New Roman"/>
        </w:rPr>
        <w:t xml:space="preserve">, </w:t>
      </w:r>
      <w:r w:rsidRPr="00F259BB">
        <w:rPr>
          <w:rFonts w:cs="Times New Roman"/>
          <w:i/>
          <w:iCs/>
        </w:rPr>
        <w:t>supra</w:t>
      </w:r>
      <w:r w:rsidRPr="00F259BB">
        <w:rPr>
          <w:rFonts w:cs="Times New Roman"/>
        </w:rPr>
        <w:t xml:space="preserve"> note X, at </w:t>
      </w:r>
      <w:r w:rsidRPr="00F259BB">
        <w:rPr>
          <w:rFonts w:cs="Times New Roman"/>
          <w:smallCaps/>
        </w:rPr>
        <w:t>1681-1682</w:t>
      </w:r>
      <w:r w:rsidRPr="00F259BB">
        <w:rPr>
          <w:rFonts w:cs="Times New Roman"/>
        </w:rPr>
        <w:t xml:space="preserve"> (“No less than 87 percent of all current national constitutions contain at least one explicit socioeconomic right, and over half contain at least three such provisions.”).</w:t>
      </w:r>
    </w:p>
  </w:footnote>
  <w:footnote w:id="253">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proofErr w:type="spellStart"/>
      <w:r w:rsidRPr="00F259BB">
        <w:rPr>
          <w:rFonts w:cs="Times New Roman"/>
        </w:rPr>
        <w:t>Versteed</w:t>
      </w:r>
      <w:proofErr w:type="spellEnd"/>
      <w:r w:rsidRPr="00F259BB">
        <w:rPr>
          <w:rFonts w:cs="Times New Roman"/>
        </w:rPr>
        <w:t xml:space="preserve"> &amp; </w:t>
      </w:r>
      <w:proofErr w:type="spellStart"/>
      <w:r w:rsidRPr="00F259BB">
        <w:rPr>
          <w:rFonts w:cs="Times New Roman"/>
        </w:rPr>
        <w:t>Zackin</w:t>
      </w:r>
      <w:proofErr w:type="spellEnd"/>
      <w:r w:rsidRPr="00F259BB">
        <w:rPr>
          <w:rFonts w:cs="Times New Roman"/>
        </w:rPr>
        <w:t xml:space="preserve">, </w:t>
      </w:r>
      <w:r w:rsidRPr="00F259BB">
        <w:rPr>
          <w:rFonts w:cs="Times New Roman"/>
          <w:i/>
          <w:iCs/>
        </w:rPr>
        <w:t xml:space="preserve">supra </w:t>
      </w:r>
      <w:r w:rsidRPr="00F259BB">
        <w:rPr>
          <w:rFonts w:cs="Times New Roman"/>
        </w:rPr>
        <w:t>note X, at 1681 (</w:t>
      </w:r>
      <w:r w:rsidR="00DA6221">
        <w:rPr>
          <w:rFonts w:cs="Times New Roman"/>
        </w:rPr>
        <w:t xml:space="preserve">noting that most national constitutions </w:t>
      </w:r>
      <w:r w:rsidRPr="00F259BB">
        <w:rPr>
          <w:rFonts w:cs="Times New Roman"/>
        </w:rPr>
        <w:t xml:space="preserve">“do contain explicit socioeconomic rights, such as the right to education, health care, housing, social security, work, workplace safety, water, and food.”); </w:t>
      </w:r>
      <w:proofErr w:type="spellStart"/>
      <w:r w:rsidRPr="00F259BB">
        <w:rPr>
          <w:rFonts w:cs="Times New Roman"/>
        </w:rPr>
        <w:t>Versteed</w:t>
      </w:r>
      <w:proofErr w:type="spellEnd"/>
      <w:r w:rsidRPr="00F259BB">
        <w:rPr>
          <w:rFonts w:cs="Times New Roman"/>
        </w:rPr>
        <w:t xml:space="preserve"> &amp; </w:t>
      </w:r>
      <w:proofErr w:type="spellStart"/>
      <w:r w:rsidRPr="00F259BB">
        <w:rPr>
          <w:rFonts w:cs="Times New Roman"/>
        </w:rPr>
        <w:t>Zackin</w:t>
      </w:r>
      <w:proofErr w:type="spellEnd"/>
      <w:r w:rsidRPr="00F259BB">
        <w:rPr>
          <w:rFonts w:cs="Times New Roman"/>
        </w:rPr>
        <w:t xml:space="preserve">, </w:t>
      </w:r>
      <w:r w:rsidRPr="00F259BB">
        <w:rPr>
          <w:rFonts w:cs="Times New Roman"/>
          <w:i/>
          <w:iCs/>
        </w:rPr>
        <w:t xml:space="preserve">supra </w:t>
      </w:r>
      <w:r w:rsidRPr="00F259BB">
        <w:rPr>
          <w:rFonts w:cs="Times New Roman"/>
        </w:rPr>
        <w:t>note X, at 1695 (noting that 17% of state constitutions create a right to food, 39% create a right to housing, and 72% create a right to health care).</w:t>
      </w:r>
    </w:p>
  </w:footnote>
  <w:footnote w:id="254">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proofErr w:type="spellStart"/>
      <w:r w:rsidRPr="00F259BB">
        <w:rPr>
          <w:rFonts w:cs="Times New Roman"/>
        </w:rPr>
        <w:t>Versteed</w:t>
      </w:r>
      <w:proofErr w:type="spellEnd"/>
      <w:r w:rsidRPr="00F259BB">
        <w:rPr>
          <w:rFonts w:cs="Times New Roman"/>
        </w:rPr>
        <w:t xml:space="preserve"> &amp; </w:t>
      </w:r>
      <w:proofErr w:type="spellStart"/>
      <w:r w:rsidRPr="00F259BB">
        <w:rPr>
          <w:rFonts w:cs="Times New Roman"/>
        </w:rPr>
        <w:t>Zackin</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(stating that the US constitution’s absence of positive rights distinguishes it from the constitutions of India, South Africa, and most US states). </w:t>
      </w:r>
    </w:p>
  </w:footnote>
  <w:footnote w:id="255">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For example, despite South Africa’s justiciable right to education, the World Bank reports poor educational quality and unequal educational opportunities in the country and identifies these shortcomings as contributors to wealth inequality.  </w:t>
      </w:r>
      <w:r w:rsidRPr="00F259BB">
        <w:rPr>
          <w:rFonts w:cs="Times New Roman"/>
          <w:i/>
          <w:iCs/>
        </w:rPr>
        <w:t xml:space="preserve">See </w:t>
      </w:r>
      <w:r w:rsidRPr="00F259BB">
        <w:rPr>
          <w:rFonts w:cs="Times New Roman"/>
          <w:smallCaps/>
        </w:rPr>
        <w:t>S. Afr. Const</w:t>
      </w:r>
      <w:r w:rsidRPr="00F259BB">
        <w:rPr>
          <w:rFonts w:cs="Times New Roman"/>
        </w:rPr>
        <w:t xml:space="preserve">., </w:t>
      </w:r>
      <w:proofErr w:type="spellStart"/>
      <w:r w:rsidRPr="00F259BB">
        <w:rPr>
          <w:rFonts w:cs="Times New Roman"/>
        </w:rPr>
        <w:t>ch.</w:t>
      </w:r>
      <w:proofErr w:type="spellEnd"/>
      <w:r w:rsidRPr="00F259BB">
        <w:rPr>
          <w:rFonts w:cs="Times New Roman"/>
        </w:rPr>
        <w:t xml:space="preserve"> 2, §29, 1996;</w:t>
      </w:r>
      <w:r w:rsidRPr="00F259BB">
        <w:rPr>
          <w:rFonts w:cs="Times New Roman"/>
          <w:i/>
          <w:iCs/>
        </w:rPr>
        <w:t xml:space="preserve"> </w:t>
      </w:r>
      <w:r w:rsidRPr="00F259BB">
        <w:rPr>
          <w:rFonts w:cs="Times New Roman"/>
          <w:smallCaps/>
        </w:rPr>
        <w:t>The World Bank, Overcoming Poverty and Inequality in South Africa: An Assessment of Drivers, Constraints, and Opportunities</w:t>
      </w:r>
      <w:r w:rsidRPr="00F259BB">
        <w:rPr>
          <w:rFonts w:cs="Times New Roman"/>
        </w:rPr>
        <w:t xml:space="preserve"> (2018). Limited resources are often an obstacle to achieving constitutional ideals. </w:t>
      </w:r>
      <w:r w:rsidRPr="00F259BB">
        <w:rPr>
          <w:rFonts w:cs="Times New Roman"/>
          <w:i/>
          <w:iCs/>
        </w:rPr>
        <w:t>See, e.g.</w:t>
      </w:r>
      <w:r w:rsidRPr="00F259BB">
        <w:rPr>
          <w:rFonts w:cs="Times New Roman"/>
        </w:rPr>
        <w:t xml:space="preserve">, </w:t>
      </w:r>
      <w:proofErr w:type="spellStart"/>
      <w:r w:rsidRPr="00F259BB">
        <w:rPr>
          <w:rFonts w:cs="Times New Roman"/>
        </w:rPr>
        <w:t>Soobramoney</w:t>
      </w:r>
      <w:proofErr w:type="spellEnd"/>
      <w:r w:rsidRPr="00F259BB">
        <w:rPr>
          <w:rFonts w:cs="Times New Roman"/>
        </w:rPr>
        <w:t xml:space="preserve"> v. Minister of Health, </w:t>
      </w:r>
      <w:proofErr w:type="spellStart"/>
      <w:r w:rsidRPr="00F259BB">
        <w:rPr>
          <w:rFonts w:cs="Times New Roman"/>
        </w:rPr>
        <w:t>Kwazula</w:t>
      </w:r>
      <w:proofErr w:type="spellEnd"/>
      <w:r w:rsidRPr="00F259BB">
        <w:rPr>
          <w:rFonts w:cs="Times New Roman"/>
        </w:rPr>
        <w:t xml:space="preserve">-Natal, 1998 (1) SALR 765 (CC) at 776 (S. Afr.) (holding that judicial enforcement of South Africa’s constitutional right to health care is constrained by resource availability); All India Reserve Bank Employees' </w:t>
      </w:r>
      <w:proofErr w:type="spellStart"/>
      <w:r w:rsidRPr="00F259BB">
        <w:rPr>
          <w:rFonts w:cs="Times New Roman"/>
        </w:rPr>
        <w:t>Ass'n</w:t>
      </w:r>
      <w:proofErr w:type="spellEnd"/>
      <w:r w:rsidRPr="00F259BB">
        <w:rPr>
          <w:rFonts w:cs="Times New Roman"/>
        </w:rPr>
        <w:t xml:space="preserve"> v. Reserve Bank India, AIR 1966 SC 305 (India) (observing a disconnect between India’s constitutionally guaranteed living wage and the reality of meager and insufficient wages in the country).</w:t>
      </w:r>
    </w:p>
  </w:footnote>
  <w:footnote w:id="256">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Usman, </w:t>
      </w:r>
      <w:r w:rsidRPr="00F259BB">
        <w:rPr>
          <w:rFonts w:cs="Times New Roman"/>
          <w:i/>
          <w:iCs/>
        </w:rPr>
        <w:t xml:space="preserve">supra </w:t>
      </w:r>
      <w:r w:rsidRPr="00F259BB">
        <w:rPr>
          <w:rFonts w:cs="Times New Roman"/>
        </w:rPr>
        <w:t xml:space="preserve">note X, at 1529 (observing that judicial interaction with positive rights manifests as increased constitutional dialogue with the legislature); </w:t>
      </w:r>
      <w:r w:rsidRPr="00F259BB">
        <w:rPr>
          <w:rFonts w:cs="Times New Roman"/>
          <w:i/>
          <w:iCs/>
        </w:rPr>
        <w:t>see, e.g.</w:t>
      </w:r>
      <w:r w:rsidRPr="00F259BB">
        <w:rPr>
          <w:rFonts w:cs="Times New Roman"/>
        </w:rPr>
        <w:t xml:space="preserve">, </w:t>
      </w:r>
      <w:proofErr w:type="spellStart"/>
      <w:r w:rsidRPr="00F259BB">
        <w:rPr>
          <w:rFonts w:cs="Times New Roman"/>
        </w:rPr>
        <w:t>Bateup</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at 3 (stating that “aggressive” actions of Canada’s courts resulted in the federal government redefining marriage to include LGBT partnerships, just one example of Canada’s robust constitutional dialogue). </w:t>
      </w:r>
    </w:p>
  </w:footnote>
  <w:footnote w:id="257">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proofErr w:type="spellStart"/>
      <w:r w:rsidRPr="00F259BB">
        <w:rPr>
          <w:rFonts w:cs="Times New Roman"/>
        </w:rPr>
        <w:t>Heise</w:t>
      </w:r>
      <w:proofErr w:type="spellEnd"/>
      <w:r w:rsidRPr="00F259BB">
        <w:rPr>
          <w:rFonts w:cs="Times New Roman"/>
        </w:rPr>
        <w:t xml:space="preserve">, </w:t>
      </w:r>
      <w:r w:rsidRPr="00F259BB">
        <w:rPr>
          <w:rFonts w:cs="Times New Roman"/>
          <w:i/>
          <w:iCs/>
        </w:rPr>
        <w:t>supra</w:t>
      </w:r>
      <w:r w:rsidRPr="00F259BB">
        <w:rPr>
          <w:rFonts w:cs="Times New Roman"/>
        </w:rPr>
        <w:t xml:space="preserve"> note X</w:t>
      </w:r>
      <w:r w:rsidR="00DA6221">
        <w:rPr>
          <w:rFonts w:cs="Times New Roman"/>
        </w:rPr>
        <w:t xml:space="preserve"> (discussing school funding in states like Texas and Massachusetts)</w:t>
      </w:r>
      <w:r w:rsidRPr="00F259BB">
        <w:rPr>
          <w:rFonts w:cs="Times New Roman"/>
        </w:rPr>
        <w:t xml:space="preserve">. </w:t>
      </w:r>
    </w:p>
  </w:footnote>
  <w:footnote w:id="258">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w:t>
      </w:r>
      <w:proofErr w:type="spellStart"/>
      <w:r w:rsidRPr="00F259BB">
        <w:rPr>
          <w:rFonts w:cs="Times New Roman"/>
        </w:rPr>
        <w:t>Heise</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at 101 (explaining that New Jersey’s court battle for school finance litigation “reflects the court's simultaneous contraction and expansion of its role in the dialogue that had consumed many New Jersey lawmakers and citizens.”); Usman, </w:t>
      </w:r>
      <w:r w:rsidRPr="00F259BB">
        <w:rPr>
          <w:rFonts w:cs="Times New Roman"/>
          <w:i/>
          <w:iCs/>
        </w:rPr>
        <w:t xml:space="preserve">supra </w:t>
      </w:r>
      <w:r w:rsidRPr="00F259BB">
        <w:rPr>
          <w:rFonts w:cs="Times New Roman"/>
        </w:rPr>
        <w:t xml:space="preserve">note X, at 1510-1511 (listing the many ways that the New Jersey Supreme Court has involved itself in administration of public education through the </w:t>
      </w:r>
      <w:r w:rsidRPr="00F259BB">
        <w:rPr>
          <w:rFonts w:cs="Times New Roman"/>
          <w:i/>
          <w:iCs/>
        </w:rPr>
        <w:t xml:space="preserve">Abbott </w:t>
      </w:r>
      <w:r w:rsidRPr="00F259BB">
        <w:rPr>
          <w:rFonts w:cs="Times New Roman"/>
        </w:rPr>
        <w:t>litigation, including mandating the availability of public kindergarten and part-time preschool).</w:t>
      </w:r>
    </w:p>
  </w:footnote>
  <w:footnote w:id="259">
    <w:p w:rsidR="00DA6221" w:rsidRDefault="00DA6221">
      <w:pPr>
        <w:pStyle w:val="FootnoteText"/>
      </w:pPr>
      <w:r>
        <w:rPr>
          <w:rStyle w:val="FootnoteReference"/>
        </w:rPr>
        <w:footnoteRef/>
      </w:r>
      <w:r>
        <w:t xml:space="preserve"> </w:t>
      </w:r>
      <w:r w:rsidRPr="00F259BB">
        <w:rPr>
          <w:rFonts w:cs="Times New Roman"/>
        </w:rPr>
        <w:t xml:space="preserve">By choosing to focus on the plaintiff school districts instead of the entire public education system, the New Jersey Supreme Court failed to address the root problems inequitable education funding. </w:t>
      </w:r>
      <w:r w:rsidRPr="00F259BB">
        <w:rPr>
          <w:rFonts w:cs="Times New Roman"/>
          <w:i/>
          <w:iCs/>
        </w:rPr>
        <w:t xml:space="preserve">See </w:t>
      </w:r>
      <w:r w:rsidRPr="00F259BB">
        <w:rPr>
          <w:rFonts w:cs="Times New Roman"/>
        </w:rPr>
        <w:t xml:space="preserve">Ritter &amp; </w:t>
      </w:r>
      <w:proofErr w:type="spellStart"/>
      <w:r w:rsidRPr="00F259BB">
        <w:rPr>
          <w:rFonts w:cs="Times New Roman"/>
        </w:rPr>
        <w:t>Lauver</w:t>
      </w:r>
      <w:proofErr w:type="spellEnd"/>
      <w:r w:rsidRPr="00F259BB">
        <w:rPr>
          <w:rFonts w:cs="Times New Roman"/>
        </w:rPr>
        <w:t xml:space="preserve">, </w:t>
      </w:r>
      <w:r w:rsidRPr="00F259BB">
        <w:rPr>
          <w:rFonts w:cs="Times New Roman"/>
          <w:i/>
          <w:iCs/>
        </w:rPr>
        <w:t xml:space="preserve">supra </w:t>
      </w:r>
      <w:r w:rsidRPr="00F259BB">
        <w:rPr>
          <w:rFonts w:cs="Times New Roman"/>
        </w:rPr>
        <w:t>note X, at 577 (observing that because the New Jersey Supreme Court</w:t>
      </w:r>
      <w:r w:rsidRPr="00F259BB">
        <w:rPr>
          <w:rFonts w:cs="Times New Roman"/>
          <w:i/>
          <w:iCs/>
        </w:rPr>
        <w:t xml:space="preserve"> </w:t>
      </w:r>
      <w:r w:rsidRPr="00F259BB">
        <w:rPr>
          <w:rFonts w:cs="Times New Roman"/>
        </w:rPr>
        <w:t xml:space="preserve">addressed only 30 of the state’s 551 districts, after decades of litigation middle-wealth non-plaintiff school districts in New Jersey had access to 50 percent less funding than wealthy districts, and 40 percent less than plaintiff districts). </w:t>
      </w:r>
    </w:p>
  </w:footnote>
  <w:footnote w:id="260">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00DA6221" w:rsidRPr="00F259BB">
        <w:rPr>
          <w:rFonts w:cs="Times New Roman"/>
          <w:i/>
          <w:iCs/>
        </w:rPr>
        <w:t xml:space="preserve">See </w:t>
      </w:r>
      <w:r w:rsidR="00DA6221" w:rsidRPr="00F259BB">
        <w:rPr>
          <w:rFonts w:cs="Times New Roman"/>
        </w:rPr>
        <w:t xml:space="preserve">C. Edwin Baker, </w:t>
      </w:r>
      <w:r w:rsidR="00DA6221" w:rsidRPr="00F259BB">
        <w:rPr>
          <w:rFonts w:cs="Times New Roman"/>
          <w:i/>
          <w:iCs/>
        </w:rPr>
        <w:t>Limitations on Basic Human Rights--A View from the United States</w:t>
      </w:r>
      <w:r w:rsidR="00DA6221" w:rsidRPr="00F259BB">
        <w:rPr>
          <w:rFonts w:cs="Times New Roman"/>
        </w:rPr>
        <w:t xml:space="preserve">, in The Limitation of Human Rights in Comparative Constitutional Law, 75, 87 (A. de </w:t>
      </w:r>
      <w:proofErr w:type="spellStart"/>
      <w:r w:rsidR="00DA6221" w:rsidRPr="00F259BB">
        <w:rPr>
          <w:rFonts w:cs="Times New Roman"/>
        </w:rPr>
        <w:t>Mestral</w:t>
      </w:r>
      <w:proofErr w:type="spellEnd"/>
      <w:r w:rsidR="00DA6221" w:rsidRPr="00F259BB">
        <w:rPr>
          <w:rFonts w:cs="Times New Roman"/>
        </w:rPr>
        <w:t xml:space="preserve"> et al. eds., 1986). (“Once rights are recognized as firmly established, officials, legislators, or planners will have an incentive to find solutions consistent with respect for the rights.”); </w:t>
      </w:r>
      <w:proofErr w:type="spellStart"/>
      <w:r w:rsidR="00DA6221" w:rsidRPr="00F259BB">
        <w:rPr>
          <w:rFonts w:cs="Times New Roman"/>
        </w:rPr>
        <w:t>Hershkoff</w:t>
      </w:r>
      <w:proofErr w:type="spellEnd"/>
      <w:r w:rsidR="00DA6221" w:rsidRPr="00F259BB">
        <w:rPr>
          <w:rFonts w:cs="Times New Roman"/>
        </w:rPr>
        <w:t xml:space="preserve">, </w:t>
      </w:r>
      <w:r w:rsidR="00DA6221" w:rsidRPr="00F259BB">
        <w:rPr>
          <w:rFonts w:cs="Times New Roman"/>
          <w:i/>
          <w:iCs/>
        </w:rPr>
        <w:t xml:space="preserve">supra </w:t>
      </w:r>
      <w:r w:rsidR="00DA6221" w:rsidRPr="00F259BB">
        <w:rPr>
          <w:rFonts w:cs="Times New Roman"/>
        </w:rPr>
        <w:t>note X (stating that positive rights create incentives for governments to respond to concerns).</w:t>
      </w:r>
    </w:p>
  </w:footnote>
  <w:footnote w:id="261">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 e.g.</w:t>
      </w:r>
      <w:r w:rsidRPr="00F259BB">
        <w:rPr>
          <w:rFonts w:cs="Times New Roman"/>
        </w:rPr>
        <w:t xml:space="preserve"> McGraw, </w:t>
      </w:r>
      <w:r w:rsidRPr="00F259BB">
        <w:rPr>
          <w:rFonts w:cs="Times New Roman"/>
          <w:i/>
          <w:iCs/>
        </w:rPr>
        <w:t xml:space="preserve">supra </w:t>
      </w:r>
      <w:r w:rsidRPr="00F259BB">
        <w:rPr>
          <w:rFonts w:cs="Times New Roman"/>
        </w:rPr>
        <w:t>note X, at 183-184 (</w:t>
      </w:r>
      <w:r w:rsidR="00581459">
        <w:rPr>
          <w:rFonts w:cs="Times New Roman"/>
        </w:rPr>
        <w:t>describing</w:t>
      </w:r>
      <w:r w:rsidRPr="00F259BB">
        <w:rPr>
          <w:rFonts w:cs="Times New Roman"/>
        </w:rPr>
        <w:t xml:space="preserve"> Argentinian Court of Appeals </w:t>
      </w:r>
      <w:r w:rsidR="00581459">
        <w:rPr>
          <w:rFonts w:cs="Times New Roman"/>
        </w:rPr>
        <w:t xml:space="preserve">decision requiring provision of clean water); </w:t>
      </w:r>
      <w:proofErr w:type="spellStart"/>
      <w:r w:rsidRPr="00F259BB">
        <w:rPr>
          <w:rFonts w:cs="Times New Roman"/>
        </w:rPr>
        <w:t>Sripati</w:t>
      </w:r>
      <w:proofErr w:type="spellEnd"/>
      <w:r w:rsidRPr="00F259BB">
        <w:rPr>
          <w:rFonts w:cs="Times New Roman"/>
        </w:rPr>
        <w:t xml:space="preserve">, </w:t>
      </w:r>
      <w:r w:rsidRPr="00F259BB">
        <w:rPr>
          <w:rFonts w:cs="Times New Roman"/>
          <w:i/>
          <w:iCs/>
        </w:rPr>
        <w:t xml:space="preserve">supra </w:t>
      </w:r>
      <w:r w:rsidRPr="00F259BB">
        <w:rPr>
          <w:rFonts w:cs="Times New Roman"/>
        </w:rPr>
        <w:t>note X, at 110 (</w:t>
      </w:r>
      <w:r w:rsidR="00581459">
        <w:rPr>
          <w:rFonts w:cs="Times New Roman"/>
        </w:rPr>
        <w:t xml:space="preserve">describing how </w:t>
      </w:r>
      <w:r w:rsidRPr="00F259BB">
        <w:rPr>
          <w:rFonts w:cs="Times New Roman"/>
        </w:rPr>
        <w:t xml:space="preserve">Indian Supreme Court </w:t>
      </w:r>
      <w:r w:rsidR="00581459">
        <w:rPr>
          <w:rFonts w:cs="Times New Roman"/>
        </w:rPr>
        <w:t xml:space="preserve">imposed </w:t>
      </w:r>
      <w:r w:rsidRPr="00F259BB">
        <w:rPr>
          <w:rFonts w:cs="Times New Roman"/>
        </w:rPr>
        <w:t>judicially enforceable</w:t>
      </w:r>
      <w:r w:rsidR="00581459">
        <w:rPr>
          <w:rFonts w:cs="Times New Roman"/>
        </w:rPr>
        <w:t xml:space="preserve"> obligation</w:t>
      </w:r>
      <w:r w:rsidRPr="00F259BB">
        <w:rPr>
          <w:rFonts w:cs="Times New Roman"/>
        </w:rPr>
        <w:t xml:space="preserve"> to provide emergency medical treatment) </w:t>
      </w:r>
    </w:p>
  </w:footnote>
  <w:footnote w:id="262">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proofErr w:type="spellStart"/>
      <w:r w:rsidRPr="00F259BB">
        <w:rPr>
          <w:rFonts w:cs="Times New Roman"/>
        </w:rPr>
        <w:t>MacNaughton</w:t>
      </w:r>
      <w:proofErr w:type="spellEnd"/>
      <w:r w:rsidRPr="00F259BB">
        <w:rPr>
          <w:rFonts w:cs="Times New Roman"/>
        </w:rPr>
        <w:t xml:space="preserve">, supra note X, at 752 (arguing that our constitution of negative rights has “deformed the development of the law and has led judges to rely on formalistic logic games rather than real principles of justice”). </w:t>
      </w:r>
    </w:p>
  </w:footnote>
  <w:footnote w:id="263">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proofErr w:type="spellStart"/>
      <w:r w:rsidRPr="00F259BB">
        <w:rPr>
          <w:rFonts w:cs="Times New Roman"/>
        </w:rPr>
        <w:t>Orlich</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at 631 (explaining that the impacts of </w:t>
      </w:r>
      <w:r w:rsidRPr="00F259BB">
        <w:rPr>
          <w:rFonts w:cs="Times New Roman"/>
          <w:i/>
          <w:iCs/>
        </w:rPr>
        <w:t xml:space="preserve">Brown </w:t>
      </w:r>
      <w:r w:rsidRPr="00F259BB">
        <w:rPr>
          <w:rFonts w:cs="Times New Roman"/>
        </w:rPr>
        <w:t>included white flight from cities and busing policies); Ryan</w:t>
      </w:r>
      <w:r w:rsidRPr="00F259BB">
        <w:rPr>
          <w:rFonts w:cs="Times New Roman"/>
          <w:i/>
          <w:iCs/>
        </w:rPr>
        <w:t xml:space="preserve">, supra </w:t>
      </w:r>
      <w:r w:rsidRPr="00F259BB">
        <w:rPr>
          <w:rFonts w:cs="Times New Roman"/>
        </w:rPr>
        <w:t>note X, at 282 (</w:t>
      </w:r>
      <w:r w:rsidR="00581459">
        <w:rPr>
          <w:rFonts w:cs="Times New Roman"/>
        </w:rPr>
        <w:t xml:space="preserve">arguing </w:t>
      </w:r>
      <w:r w:rsidRPr="00F259BB">
        <w:rPr>
          <w:rFonts w:cs="Times New Roman"/>
        </w:rPr>
        <w:t xml:space="preserve">“desegregation plans themselves often added to existing patterns of white flight.”) (citing David J. Armor, Forced Justice: School Desegregation and the Law 199-201 (1995)).  </w:t>
      </w:r>
    </w:p>
  </w:footnote>
  <w:footnote w:id="264">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proofErr w:type="spellStart"/>
      <w:r w:rsidRPr="00F259BB">
        <w:rPr>
          <w:rFonts w:cs="Times New Roman"/>
        </w:rPr>
        <w:t>Beiser</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at 68. </w:t>
      </w:r>
    </w:p>
  </w:footnote>
  <w:footnote w:id="265">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Ryan, </w:t>
      </w:r>
      <w:r w:rsidRPr="00F259BB">
        <w:rPr>
          <w:rFonts w:cs="Times New Roman"/>
          <w:i/>
          <w:iCs/>
        </w:rPr>
        <w:t>supra</w:t>
      </w:r>
      <w:r w:rsidRPr="00F259BB">
        <w:rPr>
          <w:rFonts w:cs="Times New Roman"/>
        </w:rPr>
        <w:t xml:space="preserve"> note X, at 272-275 (providing data demonstrating that suburban students have substantially better educational outcomes than urban students). </w:t>
      </w:r>
    </w:p>
  </w:footnote>
  <w:footnote w:id="266">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Owens, </w:t>
      </w:r>
      <w:r w:rsidRPr="00F259BB">
        <w:rPr>
          <w:rFonts w:cs="Times New Roman"/>
          <w:i/>
          <w:iCs/>
        </w:rPr>
        <w:t xml:space="preserve">supra </w:t>
      </w:r>
      <w:r w:rsidRPr="00F259BB">
        <w:rPr>
          <w:rFonts w:cs="Times New Roman"/>
        </w:rPr>
        <w:t>note X, at 1129 (explaining that many gated communities privatize “police protection and communal services such as schools, recreation, and entertainment”).</w:t>
      </w:r>
      <w:r w:rsidRPr="00F259BB" w:rsidDel="00A3616D">
        <w:rPr>
          <w:rFonts w:cs="Times New Roman"/>
        </w:rPr>
        <w:t xml:space="preserve"> </w:t>
      </w:r>
    </w:p>
  </w:footnote>
  <w:footnote w:id="267">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 generally</w:t>
      </w:r>
      <w:r w:rsidRPr="00F259BB">
        <w:rPr>
          <w:rFonts w:cs="Times New Roman"/>
        </w:rPr>
        <w:t xml:space="preserve">, Dickman, </w:t>
      </w:r>
      <w:r w:rsidRPr="00F259BB">
        <w:rPr>
          <w:rFonts w:cs="Times New Roman"/>
          <w:i/>
          <w:iCs/>
        </w:rPr>
        <w:t xml:space="preserve">supra </w:t>
      </w:r>
      <w:r w:rsidRPr="00F259BB">
        <w:rPr>
          <w:rFonts w:cs="Times New Roman"/>
        </w:rPr>
        <w:t xml:space="preserve">note X, at 1431 (stating that the wealthiest Americans have access to substantially better healthcare, living on average ten to fifteen years longer than the poorest Americans).  </w:t>
      </w:r>
    </w:p>
  </w:footnote>
  <w:footnote w:id="268">
    <w:p w:rsidR="00581459" w:rsidRPr="00F259BB" w:rsidRDefault="00581459" w:rsidP="00581459">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 e.g.</w:t>
      </w:r>
      <w:r w:rsidRPr="00F259BB">
        <w:rPr>
          <w:rFonts w:cs="Times New Roman"/>
        </w:rPr>
        <w:t xml:space="preserve">, </w:t>
      </w:r>
      <w:r w:rsidRPr="00F259BB">
        <w:rPr>
          <w:rFonts w:cs="Times New Roman"/>
          <w:i/>
          <w:iCs/>
        </w:rPr>
        <w:t>Pierce</w:t>
      </w:r>
      <w:r w:rsidRPr="00F259BB">
        <w:rPr>
          <w:rFonts w:cs="Times New Roman"/>
        </w:rPr>
        <w:t xml:space="preserve">, 268 U.S. at 534-535 (holding that it’s unconstitutional for the state to prevent children from attending private religious schools); </w:t>
      </w:r>
      <w:r w:rsidRPr="00F259BB">
        <w:rPr>
          <w:rFonts w:cs="Times New Roman"/>
          <w:i/>
          <w:iCs/>
        </w:rPr>
        <w:t>Meyer</w:t>
      </w:r>
      <w:r w:rsidRPr="00F259BB">
        <w:rPr>
          <w:rFonts w:cs="Times New Roman"/>
        </w:rPr>
        <w:t>, 262 U.S. at 400 (holding that is unconstitutional for the state to criminalize foreign language instruction at parochial schools).</w:t>
      </w:r>
    </w:p>
  </w:footnote>
  <w:footnote w:id="269">
    <w:p w:rsidR="00581459" w:rsidRDefault="00581459">
      <w:pPr>
        <w:pStyle w:val="FootnoteText"/>
      </w:pPr>
      <w:r>
        <w:rPr>
          <w:rStyle w:val="FootnoteReference"/>
        </w:rPr>
        <w:footnoteRef/>
      </w:r>
      <w:r>
        <w:t xml:space="preserve"> RA* look in walker and loader (or vice versa) they talk about collective security about 2/3 way through. If you are having trouble finding </w:t>
      </w:r>
      <w:proofErr w:type="spellStart"/>
      <w:r>
        <w:t>lmk</w:t>
      </w:r>
      <w:proofErr w:type="spellEnd"/>
      <w:r>
        <w:t>.</w:t>
      </w:r>
    </w:p>
  </w:footnote>
  <w:footnote w:id="270">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w:t>
      </w:r>
      <w:r w:rsidRPr="00F259BB">
        <w:rPr>
          <w:rFonts w:cs="Times New Roman"/>
          <w:smallCaps/>
        </w:rPr>
        <w:t>Adam Smith, An Inquiry into the Nature and Causes of the Wealth of Nations</w:t>
      </w:r>
      <w:r w:rsidRPr="00F259BB">
        <w:rPr>
          <w:rFonts w:cs="Times New Roman"/>
        </w:rPr>
        <w:t xml:space="preserve"> (1776), (“It is not from the benevolence of the butcher, the brewer, or the baker, that we expect our dinner, but from their regard to their own interest . . . .”); Grant, </w:t>
      </w:r>
      <w:r w:rsidRPr="00F259BB">
        <w:rPr>
          <w:rFonts w:cs="Times New Roman"/>
          <w:i/>
          <w:iCs/>
        </w:rPr>
        <w:t xml:space="preserve">supra </w:t>
      </w:r>
      <w:r w:rsidRPr="00F259BB">
        <w:rPr>
          <w:rFonts w:cs="Times New Roman"/>
        </w:rPr>
        <w:t>note X, at 2</w:t>
      </w:r>
      <w:r w:rsidRPr="00F259BB">
        <w:rPr>
          <w:rFonts w:cs="Times New Roman"/>
          <w:i/>
          <w:iCs/>
        </w:rPr>
        <w:t xml:space="preserve"> </w:t>
      </w:r>
      <w:r w:rsidRPr="00F259BB">
        <w:rPr>
          <w:rFonts w:cs="Times New Roman"/>
        </w:rPr>
        <w:t xml:space="preserve">(“Increasingly in the modern world, incentives are becoming the tool we reach for when we wish to bring about change.”). </w:t>
      </w:r>
    </w:p>
  </w:footnote>
  <w:footnote w:id="271">
    <w:p w:rsidR="007A1944" w:rsidRDefault="007A1944">
      <w:pPr>
        <w:pStyle w:val="FootnoteText"/>
      </w:pPr>
      <w:r>
        <w:rPr>
          <w:rStyle w:val="FootnoteReference"/>
        </w:rPr>
        <w:footnoteRef/>
      </w:r>
      <w:r>
        <w:t xml:space="preserve"> McDonald v. Chicago, 561 U.W. 742, </w:t>
      </w:r>
      <w:r w:rsidR="002C4256">
        <w:t>891</w:t>
      </w:r>
      <w:r>
        <w:t xml:space="preserve"> (2010) (Stevens, J., dissenting).</w:t>
      </w:r>
    </w:p>
  </w:footnote>
  <w:footnote w:id="272">
    <w:p w:rsidR="00581459" w:rsidRPr="00F259BB" w:rsidRDefault="00581459" w:rsidP="00581459">
      <w:pPr>
        <w:pStyle w:val="FootnoteText"/>
        <w:rPr>
          <w:rFonts w:cs="Times New Roman"/>
        </w:rPr>
      </w:pPr>
      <w:r w:rsidRPr="00F259BB">
        <w:rPr>
          <w:rStyle w:val="FootnoteReference"/>
          <w:rFonts w:cs="Times New Roman"/>
        </w:rPr>
        <w:footnoteRef/>
      </w:r>
      <w:r w:rsidRPr="00F259BB">
        <w:rPr>
          <w:rFonts w:cs="Times New Roman"/>
        </w:rPr>
        <w:t xml:space="preserve"> </w:t>
      </w:r>
      <w:r w:rsidRPr="00581459">
        <w:rPr>
          <w:rFonts w:cs="Times New Roman"/>
          <w:i/>
        </w:rPr>
        <w:t>Cf.</w:t>
      </w:r>
      <w:r>
        <w:rPr>
          <w:rFonts w:cs="Times New Roman"/>
        </w:rPr>
        <w:t xml:space="preserve"> </w:t>
      </w:r>
      <w:r w:rsidRPr="00F259BB">
        <w:rPr>
          <w:rFonts w:cs="Times New Roman"/>
        </w:rPr>
        <w:t xml:space="preserve">Gwynne Hogan, </w:t>
      </w:r>
      <w:r w:rsidRPr="00F259BB">
        <w:rPr>
          <w:rFonts w:cs="Times New Roman"/>
          <w:i/>
          <w:iCs/>
        </w:rPr>
        <w:t>“Please Get These Men Out”: Upper West Siders Campaign to Eject Homeless Residents</w:t>
      </w:r>
      <w:r w:rsidRPr="00F259BB">
        <w:rPr>
          <w:rFonts w:cs="Times New Roman"/>
        </w:rPr>
        <w:t xml:space="preserve">, Gothamist (Aug. 7, 2020), </w:t>
      </w:r>
      <w:hyperlink r:id="rId28" w:history="1">
        <w:r w:rsidRPr="00F259BB">
          <w:rPr>
            <w:rStyle w:val="Hyperlink"/>
            <w:rFonts w:cs="Times New Roman"/>
            <w:color w:val="auto"/>
            <w:u w:val="none"/>
          </w:rPr>
          <w:t>https://gothamist.com/news/please-get-these-men-out-upper-west-siders-campaign-to-eject-homeless-residents?fbclid=IwAR3xbxr4v5MU4UZK-ULG6U2Wi4Telz8AuU5_qaZ03fhNbUkV-dwld7Qc3DM</w:t>
        </w:r>
      </w:hyperlink>
      <w:r w:rsidRPr="00F259BB">
        <w:rPr>
          <w:rFonts w:cs="Times New Roman"/>
        </w:rPr>
        <w:t xml:space="preserve"> (reporting that the Facebook group “Upper West Siders for Safer Streets” is attempting to rid its neighborhood of temporary homeless shelters).</w:t>
      </w:r>
    </w:p>
  </w:footnote>
  <w:footnote w:id="273">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Gallup Polls, Immigration, </w:t>
      </w:r>
      <w:hyperlink r:id="rId29" w:history="1">
        <w:r w:rsidRPr="00F259BB">
          <w:rPr>
            <w:rStyle w:val="Hyperlink"/>
            <w:rFonts w:cs="Times New Roman"/>
            <w:color w:val="auto"/>
            <w:u w:val="none"/>
          </w:rPr>
          <w:t>https://news.gallup.com/poll/1660/immigration.aspx</w:t>
        </w:r>
      </w:hyperlink>
      <w:r w:rsidRPr="00F259BB">
        <w:rPr>
          <w:rFonts w:cs="Times New Roman"/>
          <w:i/>
          <w:iCs/>
        </w:rPr>
        <w:t xml:space="preserve"> </w:t>
      </w:r>
      <w:r w:rsidRPr="00F259BB">
        <w:rPr>
          <w:rFonts w:cs="Times New Roman"/>
        </w:rPr>
        <w:t xml:space="preserve">(reporting that as of 2019, 42% of Americans believe that immigrants have a negative impact on crime rates); Aaron Rupar, </w:t>
      </w:r>
      <w:r w:rsidRPr="00F259BB">
        <w:rPr>
          <w:rFonts w:cs="Times New Roman"/>
          <w:i/>
          <w:iCs/>
        </w:rPr>
        <w:t>Trump’s Fear-Stoking Immigration Policy, in Two White House Retweets</w:t>
      </w:r>
      <w:r w:rsidRPr="00F259BB">
        <w:rPr>
          <w:rFonts w:cs="Times New Roman"/>
        </w:rPr>
        <w:t xml:space="preserve">, Vox (Apr. 3, 2019), https://www.vox.com/2019/4/3/18294290/white-house-retweets-immigrant-crime-stories (reporting that President Trump retweeted news articles about immigrants committing child sexual abuse and burglaries). </w:t>
      </w:r>
    </w:p>
  </w:footnote>
  <w:footnote w:id="274">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Anti-Defamation League, Myths and Facts About Immigrants and Immigration (2019), </w:t>
      </w:r>
      <w:hyperlink r:id="rId30" w:history="1">
        <w:r w:rsidRPr="00F259BB">
          <w:rPr>
            <w:rStyle w:val="Hyperlink"/>
            <w:rFonts w:cs="Times New Roman"/>
            <w:color w:val="auto"/>
            <w:u w:val="none"/>
          </w:rPr>
          <w:t>https://www.adl.org/media/6950/download</w:t>
        </w:r>
      </w:hyperlink>
      <w:r w:rsidRPr="00F259BB">
        <w:rPr>
          <w:rFonts w:cs="Times New Roman"/>
          <w:i/>
          <w:iCs/>
        </w:rPr>
        <w:t xml:space="preserve"> </w:t>
      </w:r>
      <w:r w:rsidRPr="00F259BB">
        <w:rPr>
          <w:rFonts w:cs="Times New Roman"/>
        </w:rPr>
        <w:t>(“. . . [I]</w:t>
      </w:r>
      <w:proofErr w:type="spellStart"/>
      <w:r w:rsidRPr="00F259BB">
        <w:rPr>
          <w:rFonts w:cs="Times New Roman"/>
        </w:rPr>
        <w:t>mmigrants</w:t>
      </w:r>
      <w:proofErr w:type="spellEnd"/>
      <w:r w:rsidRPr="00F259BB">
        <w:rPr>
          <w:rFonts w:cs="Times New Roman"/>
        </w:rPr>
        <w:t xml:space="preserve"> . . . are less likely than native-born citizens to commit crimes.”). </w:t>
      </w:r>
    </w:p>
  </w:footnote>
  <w:footnote w:id="275">
    <w:p w:rsidR="007A1944" w:rsidRDefault="007A1944">
      <w:pPr>
        <w:pStyle w:val="FootnoteText"/>
      </w:pPr>
      <w:r>
        <w:rPr>
          <w:rStyle w:val="FootnoteReference"/>
        </w:rPr>
        <w:footnoteRef/>
      </w:r>
      <w:r>
        <w:t xml:space="preserve"> RA* including in my disaggregating </w:t>
      </w:r>
      <w:proofErr w:type="spellStart"/>
      <w:r>
        <w:t>ms</w:t>
      </w:r>
      <w:proofErr w:type="spellEnd"/>
      <w:r>
        <w:t xml:space="preserve"> if you don't easily find one story that captures the phenom, </w:t>
      </w:r>
    </w:p>
  </w:footnote>
  <w:footnote w:id="276">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 Gary B.</w:t>
      </w:r>
      <w:r w:rsidRPr="00F259BB">
        <w:rPr>
          <w:rFonts w:cs="Times New Roman"/>
        </w:rPr>
        <w:t xml:space="preserve">, 957 F.3d at 616 (describing abysmal conditions in some of Detroit’s public schools); </w:t>
      </w:r>
      <w:r w:rsidRPr="00F259BB">
        <w:rPr>
          <w:rFonts w:cs="Times New Roman"/>
          <w:i/>
          <w:iCs/>
        </w:rPr>
        <w:t>supra</w:t>
      </w:r>
      <w:r w:rsidRPr="00F259BB">
        <w:rPr>
          <w:rFonts w:cs="Times New Roman"/>
        </w:rPr>
        <w:t xml:space="preserve"> notes X–X (discussing Gary B case). </w:t>
      </w:r>
    </w:p>
  </w:footnote>
  <w:footnote w:id="277">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Kristen Renwick Monroe, The Heart of Altruism</w:t>
      </w:r>
      <w:r w:rsidRPr="00F259BB">
        <w:rPr>
          <w:rFonts w:cs="Times New Roman"/>
        </w:rPr>
        <w:t xml:space="preserve"> 7 (Princeton Univ. Press, 1996) (defining normal human behavior as existing on the middle of a self-interest to altruism continuum); Kristen Renwick Monroe, </w:t>
      </w:r>
      <w:r w:rsidRPr="00F259BB">
        <w:rPr>
          <w:rFonts w:cs="Times New Roman"/>
          <w:i/>
          <w:iCs/>
        </w:rPr>
        <w:t>A Fat Lady in a Corset: Altruism and Social Theory</w:t>
      </w:r>
      <w:r w:rsidRPr="00F259BB">
        <w:rPr>
          <w:rFonts w:cs="Times New Roman"/>
        </w:rPr>
        <w:t xml:space="preserve">, 38 </w:t>
      </w:r>
      <w:r w:rsidRPr="00F259BB">
        <w:rPr>
          <w:rFonts w:cs="Times New Roman"/>
          <w:smallCaps/>
        </w:rPr>
        <w:t>Am. J. Pol. Sci.</w:t>
      </w:r>
      <w:r w:rsidRPr="00F259BB">
        <w:rPr>
          <w:rFonts w:cs="Times New Roman"/>
        </w:rPr>
        <w:t xml:space="preserve"> 861, 875 (1994) (human psyche is a “mixture between altruism and self-interest,” with the relative proportions varying across cultures). </w:t>
      </w:r>
    </w:p>
  </w:footnote>
  <w:footnote w:id="278">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Alberto </w:t>
      </w:r>
      <w:proofErr w:type="spellStart"/>
      <w:r w:rsidRPr="00F259BB">
        <w:rPr>
          <w:rFonts w:cs="Times New Roman"/>
        </w:rPr>
        <w:t>Alesina</w:t>
      </w:r>
      <w:proofErr w:type="spellEnd"/>
      <w:r w:rsidRPr="00F259BB">
        <w:rPr>
          <w:rFonts w:cs="Times New Roman"/>
        </w:rPr>
        <w:t xml:space="preserve">, Edward </w:t>
      </w:r>
      <w:proofErr w:type="spellStart"/>
      <w:r w:rsidRPr="00F259BB">
        <w:rPr>
          <w:rFonts w:cs="Times New Roman"/>
        </w:rPr>
        <w:t>Glaeser</w:t>
      </w:r>
      <w:proofErr w:type="spellEnd"/>
      <w:r w:rsidRPr="00F259BB">
        <w:rPr>
          <w:rFonts w:cs="Times New Roman"/>
        </w:rPr>
        <w:t xml:space="preserve"> &amp; Bruce </w:t>
      </w:r>
      <w:proofErr w:type="spellStart"/>
      <w:r w:rsidRPr="00F259BB">
        <w:rPr>
          <w:rFonts w:cs="Times New Roman"/>
        </w:rPr>
        <w:t>Sacerdote</w:t>
      </w:r>
      <w:proofErr w:type="spellEnd"/>
      <w:r w:rsidRPr="00F259BB">
        <w:rPr>
          <w:rFonts w:cs="Times New Roman"/>
        </w:rPr>
        <w:t xml:space="preserve">, </w:t>
      </w:r>
      <w:r w:rsidRPr="00F259BB">
        <w:rPr>
          <w:rFonts w:cs="Times New Roman"/>
          <w:i/>
          <w:iCs/>
        </w:rPr>
        <w:t>Why Doesn’t the US Have a European-Style Welfare State?</w:t>
      </w:r>
      <w:r w:rsidRPr="00F259BB">
        <w:rPr>
          <w:rFonts w:cs="Times New Roman"/>
        </w:rPr>
        <w:t xml:space="preserve"> 30 (</w:t>
      </w:r>
      <w:proofErr w:type="spellStart"/>
      <w:r w:rsidRPr="00F259BB">
        <w:rPr>
          <w:rFonts w:cs="Times New Roman"/>
        </w:rPr>
        <w:t>Harv</w:t>
      </w:r>
      <w:proofErr w:type="spellEnd"/>
      <w:r w:rsidRPr="00F259BB">
        <w:rPr>
          <w:rFonts w:cs="Times New Roman"/>
        </w:rPr>
        <w:t>. Inst. of Econ. Research, Discussion Paper No. 1933, 2001) (observing that people react negatively to those of another race receiving welfare, but positively when those of their own race receive welfare).</w:t>
      </w:r>
    </w:p>
  </w:footnote>
  <w:footnote w:id="279">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Allison </w:t>
      </w:r>
      <w:proofErr w:type="spellStart"/>
      <w:r w:rsidRPr="00F259BB">
        <w:rPr>
          <w:rFonts w:cs="Times New Roman"/>
        </w:rPr>
        <w:t>Harell</w:t>
      </w:r>
      <w:proofErr w:type="spellEnd"/>
      <w:r w:rsidRPr="00F259BB">
        <w:rPr>
          <w:rFonts w:cs="Times New Roman"/>
        </w:rPr>
        <w:t xml:space="preserve">, Stuart </w:t>
      </w:r>
      <w:proofErr w:type="spellStart"/>
      <w:r w:rsidRPr="00F259BB">
        <w:rPr>
          <w:rFonts w:cs="Times New Roman"/>
        </w:rPr>
        <w:t>Soroka</w:t>
      </w:r>
      <w:proofErr w:type="spellEnd"/>
      <w:r w:rsidRPr="00F259BB">
        <w:rPr>
          <w:rFonts w:cs="Times New Roman"/>
        </w:rPr>
        <w:t xml:space="preserve"> &amp; </w:t>
      </w:r>
      <w:proofErr w:type="spellStart"/>
      <w:r w:rsidRPr="00F259BB">
        <w:rPr>
          <w:rFonts w:cs="Times New Roman"/>
        </w:rPr>
        <w:t>Shanto</w:t>
      </w:r>
      <w:proofErr w:type="spellEnd"/>
      <w:r w:rsidRPr="00F259BB">
        <w:rPr>
          <w:rFonts w:cs="Times New Roman"/>
        </w:rPr>
        <w:t xml:space="preserve"> </w:t>
      </w:r>
      <w:proofErr w:type="spellStart"/>
      <w:r w:rsidRPr="00F259BB">
        <w:rPr>
          <w:rFonts w:cs="Times New Roman"/>
        </w:rPr>
        <w:t>Iyengar</w:t>
      </w:r>
      <w:proofErr w:type="spellEnd"/>
      <w:r w:rsidRPr="00F259BB">
        <w:rPr>
          <w:rFonts w:cs="Times New Roman"/>
        </w:rPr>
        <w:t xml:space="preserve">, </w:t>
      </w:r>
      <w:r w:rsidRPr="00F259BB">
        <w:rPr>
          <w:rFonts w:cs="Times New Roman"/>
          <w:i/>
          <w:iCs/>
        </w:rPr>
        <w:t xml:space="preserve">Race, Prejudice, and Attitudes Toward Redistribution: A Comparative Experimental Approach </w:t>
      </w:r>
      <w:r w:rsidRPr="00F259BB">
        <w:rPr>
          <w:rFonts w:cs="Times New Roman"/>
        </w:rPr>
        <w:t>(“When whites associate welfare benefits with race (by identifying beneficiaries as black), they tend to be less generous toward welfare recipients and to view them as less deserving.”).</w:t>
      </w:r>
    </w:p>
  </w:footnote>
  <w:footnote w:id="280">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w:t>
      </w:r>
      <w:r w:rsidRPr="00F259BB">
        <w:rPr>
          <w:rFonts w:cs="Times New Roman"/>
          <w:smallCaps/>
        </w:rPr>
        <w:t>Michelle Alexander &amp; Cornel West, The New Jim Crow: Mass Incarceration in the Age of Colorblindness</w:t>
      </w:r>
      <w:r w:rsidRPr="00F259BB">
        <w:rPr>
          <w:rFonts w:cs="Times New Roman"/>
        </w:rPr>
        <w:t xml:space="preserve"> (New Press 2012) (oppression of Black people in America has manifested as slavery, Jim Crow laws, and now mass incarceration); </w:t>
      </w:r>
      <w:proofErr w:type="spellStart"/>
      <w:r w:rsidRPr="00F259BB">
        <w:rPr>
          <w:rFonts w:cs="Times New Roman"/>
          <w:smallCaps/>
        </w:rPr>
        <w:t>Ibram</w:t>
      </w:r>
      <w:proofErr w:type="spellEnd"/>
      <w:r w:rsidRPr="00F259BB">
        <w:rPr>
          <w:rFonts w:cs="Times New Roman"/>
          <w:smallCaps/>
        </w:rPr>
        <w:t xml:space="preserve"> X. </w:t>
      </w:r>
      <w:proofErr w:type="spellStart"/>
      <w:r w:rsidRPr="00F259BB">
        <w:rPr>
          <w:rFonts w:cs="Times New Roman"/>
          <w:smallCaps/>
        </w:rPr>
        <w:t>Kendi</w:t>
      </w:r>
      <w:proofErr w:type="spellEnd"/>
      <w:r w:rsidRPr="00F259BB">
        <w:rPr>
          <w:rFonts w:cs="Times New Roman"/>
          <w:smallCaps/>
        </w:rPr>
        <w:t>, Stamped from the Beginning: The Definitive History of Racist Ideas in America</w:t>
      </w:r>
      <w:r w:rsidRPr="00F259BB">
        <w:rPr>
          <w:rFonts w:cs="Times New Roman"/>
        </w:rPr>
        <w:t xml:space="preserve"> (Bold Type Books 2017) (tracking racist ideology from the colonial era to slavery, Jim Crow and the present day)</w:t>
      </w:r>
    </w:p>
  </w:footnote>
  <w:footnote w:id="281">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w:t>
      </w:r>
      <w:r w:rsidRPr="00F259BB">
        <w:rPr>
          <w:rFonts w:cs="Times New Roman"/>
          <w:smallCaps/>
        </w:rPr>
        <w:t xml:space="preserve">Doug </w:t>
      </w:r>
      <w:proofErr w:type="spellStart"/>
      <w:r w:rsidRPr="00F259BB">
        <w:rPr>
          <w:rFonts w:cs="Times New Roman"/>
          <w:smallCaps/>
        </w:rPr>
        <w:t>Rossinow</w:t>
      </w:r>
      <w:proofErr w:type="spellEnd"/>
      <w:r w:rsidRPr="00F259BB">
        <w:rPr>
          <w:rFonts w:cs="Times New Roman"/>
          <w:smallCaps/>
        </w:rPr>
        <w:t>, The Reagan Era: A History of the 1980s</w:t>
      </w:r>
      <w:r w:rsidRPr="00F259BB">
        <w:rPr>
          <w:rFonts w:cs="Times New Roman"/>
        </w:rPr>
        <w:t xml:space="preserve">, 245 (2015) (describing the Willie Horton controversy as “the burning core” of George H.W. Bush’s 1988 presidential campaign). </w:t>
      </w:r>
    </w:p>
  </w:footnote>
  <w:footnote w:id="282">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Carly Hayden Foster, </w:t>
      </w:r>
      <w:r w:rsidRPr="00F259BB">
        <w:rPr>
          <w:rFonts w:cs="Times New Roman"/>
          <w:i/>
          <w:iCs/>
        </w:rPr>
        <w:t>The Welfare Queen: Race, Gender, Class, and Public Opinion</w:t>
      </w:r>
      <w:r w:rsidRPr="00F259BB">
        <w:rPr>
          <w:rFonts w:cs="Times New Roman"/>
        </w:rPr>
        <w:t xml:space="preserve">, 15 Race, Gender &amp; Class 162 (2008) (“Invocation of the Welfare Queen by politicians, policymakers, and journalists cues common stories and media images of a sexually promiscuous poor single African American woman who scams taxpayers by having babies then demanding public support.”). </w:t>
      </w:r>
    </w:p>
  </w:footnote>
  <w:footnote w:id="283">
    <w:p w:rsidR="003F7D4B" w:rsidRDefault="003F7D4B">
      <w:pPr>
        <w:pStyle w:val="FootnoteText"/>
      </w:pPr>
      <w:r>
        <w:rPr>
          <w:rStyle w:val="FootnoteReference"/>
        </w:rPr>
        <w:footnoteRef/>
      </w:r>
      <w:r>
        <w:t xml:space="preserve"> </w:t>
      </w:r>
      <w:r w:rsidRPr="00F259BB">
        <w:rPr>
          <w:rFonts w:cs="Times New Roman"/>
        </w:rPr>
        <w:t xml:space="preserve">Anti-Defamation League, Mainstreaming Hate: The Anti-Immigrant Movement in the U.S. (2018), </w:t>
      </w:r>
      <w:hyperlink r:id="rId31" w:history="1">
        <w:r w:rsidRPr="00F259BB">
          <w:rPr>
            <w:rStyle w:val="Hyperlink"/>
            <w:rFonts w:cs="Times New Roman"/>
            <w:color w:val="auto"/>
            <w:u w:val="none"/>
          </w:rPr>
          <w:t>https://www.adl.org/media/12249/download</w:t>
        </w:r>
      </w:hyperlink>
      <w:r w:rsidRPr="00F259BB">
        <w:rPr>
          <w:rFonts w:cs="Times New Roman"/>
        </w:rPr>
        <w:t xml:space="preserve"> (noting that President’s Trump’s policy decision to build a wall at the US-Mexico border, and references to Mexican immigrants as rapists and criminals, reflect rising anti-immigrant sentiment in the US); Reverend Al Sharpton, Eulogy for George Floyd (2020), </w:t>
      </w:r>
      <w:hyperlink r:id="rId32" w:history="1">
        <w:r w:rsidRPr="00F259BB">
          <w:rPr>
            <w:rStyle w:val="Hyperlink"/>
            <w:rFonts w:cs="Times New Roman"/>
            <w:color w:val="auto"/>
            <w:u w:val="none"/>
          </w:rPr>
          <w:t>https://www.rev.com/blog/transcripts/reverend-al-sharpton-george-floyd-funeral-eulogy-transcript-june-9</w:t>
        </w:r>
      </w:hyperlink>
      <w:r w:rsidRPr="00F259BB">
        <w:rPr>
          <w:rFonts w:cs="Times New Roman"/>
        </w:rPr>
        <w:t xml:space="preserve"> (contextualizing the murder of George Floyd with other violent attacks on Black Americans by police).</w:t>
      </w:r>
    </w:p>
  </w:footnote>
  <w:footnote w:id="284">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Rebecca E. Klatch, Women of the New Right</w:t>
      </w:r>
      <w:r w:rsidRPr="00F259BB">
        <w:rPr>
          <w:rFonts w:cs="Times New Roman"/>
        </w:rPr>
        <w:t xml:space="preserve"> 104 (Temple Univ. Press, 1987) (noting that some conservatives oppose welfare due to a belief that “the government has expanded dangerously beyond the limited role set forth in the constitution”); </w:t>
      </w:r>
      <w:r w:rsidRPr="00F259BB">
        <w:rPr>
          <w:rFonts w:cs="Times New Roman"/>
          <w:smallCaps/>
        </w:rPr>
        <w:t>Ballard C. Campbell, The Growth of American Government</w:t>
      </w:r>
      <w:r w:rsidRPr="00F259BB">
        <w:rPr>
          <w:rFonts w:cs="Times New Roman"/>
        </w:rPr>
        <w:t xml:space="preserve"> 286 (Ind. Univ. Press, 2015) (stating that concerns about the government’s proper role and size have been obstacles to expansions to social services throughout American history). </w:t>
      </w:r>
    </w:p>
  </w:footnote>
  <w:footnote w:id="285">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w:t>
      </w:r>
      <w:proofErr w:type="spellStart"/>
      <w:r w:rsidRPr="00F259BB">
        <w:rPr>
          <w:rFonts w:cs="Times New Roman"/>
        </w:rPr>
        <w:t>Noliwe</w:t>
      </w:r>
      <w:proofErr w:type="spellEnd"/>
      <w:r w:rsidRPr="00F259BB">
        <w:rPr>
          <w:rFonts w:cs="Times New Roman"/>
        </w:rPr>
        <w:t xml:space="preserve"> M. Rooks, </w:t>
      </w:r>
      <w:r w:rsidRPr="00F259BB">
        <w:rPr>
          <w:rFonts w:cs="Times New Roman"/>
          <w:i/>
          <w:iCs/>
        </w:rPr>
        <w:t>The Myth of Bootstrapping</w:t>
      </w:r>
      <w:r w:rsidRPr="00F259BB">
        <w:rPr>
          <w:rFonts w:cs="Times New Roman"/>
        </w:rPr>
        <w:t xml:space="preserve">, </w:t>
      </w:r>
      <w:r w:rsidRPr="00F259BB">
        <w:rPr>
          <w:rFonts w:cs="Times New Roman"/>
          <w:smallCaps/>
        </w:rPr>
        <w:t>Time</w:t>
      </w:r>
      <w:r w:rsidRPr="00F259BB">
        <w:rPr>
          <w:rFonts w:cs="Times New Roman"/>
        </w:rPr>
        <w:t xml:space="preserve"> (Sept. 7, 2012), </w:t>
      </w:r>
      <w:hyperlink r:id="rId33" w:history="1">
        <w:r w:rsidRPr="00F259BB">
          <w:rPr>
            <w:rStyle w:val="Hyperlink"/>
            <w:rFonts w:cs="Times New Roman"/>
            <w:color w:val="auto"/>
            <w:u w:val="none"/>
          </w:rPr>
          <w:t>https://ideas.time.com/2012/09/07/the-myth-of-bootstrapping/</w:t>
        </w:r>
      </w:hyperlink>
      <w:r w:rsidRPr="00F259BB">
        <w:rPr>
          <w:rFonts w:cs="Times New Roman"/>
        </w:rPr>
        <w:t xml:space="preserve"> (“The concept of bootstrapping dates back to at least the 1890s, when Horatio Alger wrote novels about boys who worked hard and rose up the social ladder from poverty.”); </w:t>
      </w:r>
      <w:r w:rsidRPr="00F259BB">
        <w:rPr>
          <w:rFonts w:cs="Times New Roman"/>
          <w:i/>
          <w:iCs/>
        </w:rPr>
        <w:t>see, e.g.</w:t>
      </w:r>
      <w:r w:rsidRPr="00F259BB">
        <w:rPr>
          <w:rFonts w:cs="Times New Roman"/>
        </w:rPr>
        <w:t xml:space="preserve">, </w:t>
      </w:r>
      <w:r w:rsidRPr="00F259BB">
        <w:rPr>
          <w:rFonts w:cs="Times New Roman"/>
          <w:smallCaps/>
        </w:rPr>
        <w:t>Horatio Alger, Ragged Dick</w:t>
      </w:r>
      <w:r w:rsidRPr="00F259BB">
        <w:rPr>
          <w:rFonts w:cs="Times New Roman"/>
        </w:rPr>
        <w:t xml:space="preserve"> (1868) (“In this free country poverty in early life is no bar to a man’s advancement . . . . Save your money, my lad, buy books, and determine to be somebody.”); Juan Williams, </w:t>
      </w:r>
      <w:r w:rsidRPr="00F259BB">
        <w:rPr>
          <w:rFonts w:cs="Times New Roman"/>
          <w:i/>
          <w:iCs/>
        </w:rPr>
        <w:t>Reagan, the South and Civil Rights</w:t>
      </w:r>
      <w:r w:rsidRPr="00F259BB">
        <w:rPr>
          <w:rFonts w:cs="Times New Roman"/>
        </w:rPr>
        <w:t xml:space="preserve">, </w:t>
      </w:r>
      <w:r w:rsidRPr="00F259BB">
        <w:rPr>
          <w:rFonts w:cs="Times New Roman"/>
          <w:smallCaps/>
        </w:rPr>
        <w:t>NPR</w:t>
      </w:r>
      <w:r w:rsidRPr="00F259BB">
        <w:rPr>
          <w:rFonts w:cs="Times New Roman"/>
        </w:rPr>
        <w:t xml:space="preserve"> (June 10, 2004), </w:t>
      </w:r>
      <w:hyperlink r:id="rId34" w:history="1">
        <w:r w:rsidRPr="00F259BB">
          <w:rPr>
            <w:rStyle w:val="Hyperlink"/>
            <w:rFonts w:cs="Times New Roman"/>
            <w:color w:val="auto"/>
            <w:u w:val="none"/>
          </w:rPr>
          <w:t>https://www.npr.org/templates/story/story.php?storyId=1953700</w:t>
        </w:r>
      </w:hyperlink>
      <w:r w:rsidRPr="00F259BB">
        <w:rPr>
          <w:rFonts w:cs="Times New Roman"/>
        </w:rPr>
        <w:t xml:space="preserve"> (“Even when [Reagan] was characterizing poor women as welfare queens driving around in pink Cadillacs, he said it was a merely matter of encouraging people to pull themselves up by the bootstraps.”); Bill Clinton, </w:t>
      </w:r>
      <w:r w:rsidRPr="00F259BB">
        <w:rPr>
          <w:rFonts w:cs="Times New Roman"/>
          <w:i/>
          <w:iCs/>
        </w:rPr>
        <w:t>Clinton’s Speech Accepting the Democratic Nomination for President</w:t>
      </w:r>
      <w:r w:rsidRPr="00F259BB">
        <w:rPr>
          <w:rFonts w:cs="Times New Roman"/>
        </w:rPr>
        <w:t xml:space="preserve">, </w:t>
      </w:r>
      <w:r w:rsidRPr="00F259BB">
        <w:rPr>
          <w:rFonts w:cs="Times New Roman"/>
          <w:smallCaps/>
        </w:rPr>
        <w:t>N.Y. Times</w:t>
      </w:r>
      <w:r w:rsidRPr="00F259BB">
        <w:rPr>
          <w:rFonts w:cs="Times New Roman"/>
        </w:rPr>
        <w:t xml:space="preserve"> (Aug. 30, 1996), </w:t>
      </w:r>
      <w:hyperlink r:id="rId35" w:history="1">
        <w:r w:rsidRPr="00F259BB">
          <w:rPr>
            <w:rStyle w:val="Hyperlink"/>
            <w:rFonts w:cs="Times New Roman"/>
            <w:color w:val="auto"/>
            <w:u w:val="none"/>
          </w:rPr>
          <w:t>https://www.nytimes.com/1996/08/30/us/clinton-s-speech-accepting-the-democratic-nomination-for-president.html</w:t>
        </w:r>
      </w:hyperlink>
      <w:r w:rsidRPr="00F259BB">
        <w:rPr>
          <w:rFonts w:cs="Times New Roman"/>
        </w:rPr>
        <w:t xml:space="preserve"> (positing that welfare-to-work requirements give Americans the chance to “take personal responsibility for themselves”). </w:t>
      </w:r>
    </w:p>
  </w:footnote>
  <w:footnote w:id="286">
    <w:p w:rsidR="007A1944" w:rsidRPr="00F259BB" w:rsidRDefault="007A1944" w:rsidP="00757A10">
      <w:pPr>
        <w:pStyle w:val="FootnoteText"/>
        <w:rPr>
          <w:rFonts w:cs="Times New Roman"/>
          <w:b/>
          <w:bCs/>
        </w:rPr>
      </w:pPr>
      <w:r w:rsidRPr="00F259BB">
        <w:rPr>
          <w:rStyle w:val="FootnoteReference"/>
          <w:rFonts w:cs="Times New Roman"/>
        </w:rPr>
        <w:footnoteRef/>
      </w:r>
      <w:r w:rsidRPr="00F259BB">
        <w:rPr>
          <w:rFonts w:cs="Times New Roman"/>
        </w:rPr>
        <w:t xml:space="preserve"> </w:t>
      </w:r>
      <w:r w:rsidRPr="00F259BB">
        <w:rPr>
          <w:rFonts w:cs="Times New Roman"/>
          <w:i/>
          <w:iCs/>
        </w:rPr>
        <w:t>See, e.g</w:t>
      </w:r>
      <w:r w:rsidR="003F06A0">
        <w:rPr>
          <w:rFonts w:cs="Times New Roman"/>
          <w:i/>
          <w:iCs/>
        </w:rPr>
        <w:t xml:space="preserve">., </w:t>
      </w:r>
      <w:r w:rsidRPr="00F259BB">
        <w:rPr>
          <w:rFonts w:cs="Times New Roman"/>
        </w:rPr>
        <w:t xml:space="preserve">Derek Thompson, </w:t>
      </w:r>
      <w:r w:rsidRPr="00F259BB">
        <w:rPr>
          <w:rFonts w:cs="Times New Roman"/>
          <w:i/>
          <w:iCs/>
        </w:rPr>
        <w:t>Busting the Myth of ‘Welfare Makes People Lazy’</w:t>
      </w:r>
      <w:r w:rsidRPr="00F259BB">
        <w:rPr>
          <w:rFonts w:cs="Times New Roman"/>
        </w:rPr>
        <w:t xml:space="preserve">, </w:t>
      </w:r>
      <w:r w:rsidRPr="00F259BB">
        <w:rPr>
          <w:rFonts w:cs="Times New Roman"/>
          <w:smallCaps/>
        </w:rPr>
        <w:t>The Atlantic</w:t>
      </w:r>
      <w:r w:rsidRPr="00F259BB">
        <w:rPr>
          <w:rFonts w:cs="Times New Roman"/>
        </w:rPr>
        <w:t xml:space="preserve"> (Mar. 8, 2018), </w:t>
      </w:r>
      <w:hyperlink r:id="rId36" w:history="1">
        <w:r w:rsidRPr="00F259BB">
          <w:rPr>
            <w:rStyle w:val="Hyperlink"/>
            <w:rFonts w:cs="Times New Roman"/>
            <w:color w:val="auto"/>
            <w:u w:val="none"/>
          </w:rPr>
          <w:t>https://www.theatlantic.com/business/archive/2018/03/welfare-childhood/555119/</w:t>
        </w:r>
      </w:hyperlink>
      <w:r w:rsidRPr="00F259BB">
        <w:rPr>
          <w:rFonts w:cs="Times New Roman"/>
        </w:rPr>
        <w:t xml:space="preserve"> (arguing that cash assistance isn’t a handout, but rather a “critical investment in the health and future careers of low-income kids”); Randi Weingarten, </w:t>
      </w:r>
      <w:r w:rsidRPr="00F259BB">
        <w:rPr>
          <w:rFonts w:cs="Times New Roman"/>
          <w:i/>
          <w:iCs/>
        </w:rPr>
        <w:t>A Hand Up Is Not a Handout</w:t>
      </w:r>
      <w:r w:rsidRPr="00F259BB">
        <w:rPr>
          <w:rFonts w:cs="Times New Roman"/>
        </w:rPr>
        <w:t xml:space="preserve">, </w:t>
      </w:r>
      <w:r w:rsidRPr="00F259BB">
        <w:rPr>
          <w:rFonts w:cs="Times New Roman"/>
          <w:smallCaps/>
        </w:rPr>
        <w:t>Huff Post</w:t>
      </w:r>
      <w:r w:rsidRPr="00F259BB">
        <w:rPr>
          <w:rFonts w:cs="Times New Roman"/>
        </w:rPr>
        <w:t xml:space="preserve"> (Apr. 18, 2014), </w:t>
      </w:r>
      <w:hyperlink r:id="rId37" w:history="1">
        <w:r w:rsidRPr="00F259BB">
          <w:rPr>
            <w:rStyle w:val="Hyperlink"/>
            <w:rFonts w:cs="Times New Roman"/>
            <w:color w:val="auto"/>
            <w:u w:val="none"/>
          </w:rPr>
          <w:t>https://www.huffpost.com/entry/a-hand-up-is-not-a-handou_b_4798243</w:t>
        </w:r>
      </w:hyperlink>
      <w:r w:rsidRPr="00F259BB">
        <w:rPr>
          <w:rFonts w:cs="Times New Roman"/>
        </w:rPr>
        <w:t xml:space="preserve"> (arguing that government assistance programs are necessary for struggling Americans to get on their feet). </w:t>
      </w:r>
    </w:p>
  </w:footnote>
  <w:footnote w:id="287">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003F06A0" w:rsidRPr="00F259BB">
        <w:rPr>
          <w:rFonts w:cs="Times New Roman"/>
          <w:i/>
          <w:iCs/>
        </w:rPr>
        <w:t xml:space="preserve">See </w:t>
      </w:r>
      <w:r w:rsidR="003F06A0" w:rsidRPr="00F259BB">
        <w:rPr>
          <w:rFonts w:cs="Times New Roman"/>
        </w:rPr>
        <w:t xml:space="preserve">Scott Clement, </w:t>
      </w:r>
      <w:r w:rsidR="003F06A0" w:rsidRPr="00F259BB">
        <w:rPr>
          <w:rFonts w:cs="Times New Roman"/>
          <w:i/>
          <w:iCs/>
        </w:rPr>
        <w:t>People Want Smaller Government – And They Think Mitt Romney Does Too</w:t>
      </w:r>
      <w:r w:rsidR="003F06A0" w:rsidRPr="00F259BB">
        <w:rPr>
          <w:rFonts w:cs="Times New Roman"/>
        </w:rPr>
        <w:t xml:space="preserve">, </w:t>
      </w:r>
      <w:r w:rsidR="003F06A0" w:rsidRPr="00F259BB">
        <w:rPr>
          <w:rFonts w:cs="Times New Roman"/>
          <w:smallCaps/>
        </w:rPr>
        <w:t>Wash. Post</w:t>
      </w:r>
      <w:r w:rsidR="003F06A0" w:rsidRPr="00F259BB">
        <w:rPr>
          <w:rFonts w:cs="Times New Roman"/>
        </w:rPr>
        <w:t xml:space="preserve">, (Aug. 27, 2012), https://www.washingtonpost.com/news/the-fix/wp/2012/08/27/people-want-smaller-government-and-they-think-mitt-romney-does-too/ (citing poll data that over half of Americans think the US should have “smaller government with fewer services”); Jocelyn Kiley, </w:t>
      </w:r>
      <w:r w:rsidR="003F06A0" w:rsidRPr="00F259BB">
        <w:rPr>
          <w:rFonts w:cs="Times New Roman"/>
          <w:i/>
          <w:iCs/>
        </w:rPr>
        <w:t>In Search of Libertarians</w:t>
      </w:r>
      <w:r w:rsidR="003F06A0" w:rsidRPr="00F259BB">
        <w:rPr>
          <w:rFonts w:cs="Times New Roman"/>
        </w:rPr>
        <w:t xml:space="preserve">, </w:t>
      </w:r>
      <w:r w:rsidR="003F06A0" w:rsidRPr="00F259BB">
        <w:rPr>
          <w:rFonts w:cs="Times New Roman"/>
          <w:smallCaps/>
        </w:rPr>
        <w:t>Pew Research Center</w:t>
      </w:r>
      <w:r w:rsidR="003F06A0" w:rsidRPr="00F259BB">
        <w:rPr>
          <w:rFonts w:cs="Times New Roman"/>
        </w:rPr>
        <w:t xml:space="preserve"> (Aug. 25, 2014), </w:t>
      </w:r>
      <w:hyperlink r:id="rId38" w:history="1">
        <w:r w:rsidR="003F06A0" w:rsidRPr="00F259BB">
          <w:rPr>
            <w:rStyle w:val="Hyperlink"/>
            <w:rFonts w:cs="Times New Roman"/>
            <w:color w:val="auto"/>
            <w:u w:val="none"/>
          </w:rPr>
          <w:t>https://www.pewresearch.org/fact-tank/2014/08/25/in-search-of-libertarians/</w:t>
        </w:r>
      </w:hyperlink>
      <w:r w:rsidR="003F06A0" w:rsidRPr="00F259BB">
        <w:rPr>
          <w:rFonts w:cs="Times New Roman"/>
        </w:rPr>
        <w:t xml:space="preserve"> (reporting that within all income ranges, some individuals believe in “limiting the role of government”).</w:t>
      </w:r>
      <w:r w:rsidRPr="00F259BB">
        <w:rPr>
          <w:rFonts w:cs="Times New Roman"/>
        </w:rPr>
        <w:t xml:space="preserve">Marci A. Hamilton, </w:t>
      </w:r>
      <w:r w:rsidRPr="00F259BB">
        <w:rPr>
          <w:rFonts w:cs="Times New Roman"/>
          <w:i/>
          <w:iCs/>
        </w:rPr>
        <w:t>What is Rehnquist Federalism?</w:t>
      </w:r>
      <w:r w:rsidRPr="00F259BB">
        <w:rPr>
          <w:rFonts w:cs="Times New Roman"/>
        </w:rPr>
        <w:t xml:space="preserve">, 155 </w:t>
      </w:r>
      <w:r w:rsidRPr="00F259BB">
        <w:rPr>
          <w:rFonts w:cs="Times New Roman"/>
          <w:smallCaps/>
        </w:rPr>
        <w:t>U. Pa. L. Rev.</w:t>
      </w:r>
      <w:r w:rsidRPr="00F259BB">
        <w:rPr>
          <w:rFonts w:cs="Times New Roman"/>
        </w:rPr>
        <w:t xml:space="preserve"> 8, 9 (stating that Ronald Reagan, Justice O’Connor, and Justice Rehnquist all believed that “small government is better government” and “big government is corrupt government”)</w:t>
      </w:r>
      <w:r w:rsidR="003F06A0">
        <w:rPr>
          <w:rFonts w:cs="Times New Roman"/>
        </w:rPr>
        <w:t>.</w:t>
      </w:r>
    </w:p>
  </w:footnote>
  <w:footnote w:id="288">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 xml:space="preserve">Amy </w:t>
      </w:r>
      <w:proofErr w:type="spellStart"/>
      <w:r w:rsidRPr="00F259BB">
        <w:rPr>
          <w:rFonts w:cs="Times New Roman"/>
          <w:smallCaps/>
        </w:rPr>
        <w:t>Lerman</w:t>
      </w:r>
      <w:proofErr w:type="spellEnd"/>
      <w:r w:rsidRPr="00F259BB">
        <w:rPr>
          <w:rFonts w:cs="Times New Roman"/>
          <w:smallCaps/>
        </w:rPr>
        <w:t>, Good Enough for Government Work</w:t>
      </w:r>
      <w:r w:rsidRPr="00F259BB">
        <w:rPr>
          <w:rFonts w:cs="Times New Roman"/>
        </w:rPr>
        <w:t xml:space="preserve"> (2019) (“The tendency of Americans to associate ‘public’ with ineffective, inefficient, and low-quality services is a central feature of our modern political culture</w:t>
      </w:r>
      <w:r w:rsidR="003F06A0">
        <w:rPr>
          <w:rFonts w:cs="Times New Roman"/>
        </w:rPr>
        <w:t>.”)</w:t>
      </w:r>
      <w:r w:rsidRPr="00F259BB">
        <w:rPr>
          <w:rFonts w:cs="Times New Roman"/>
        </w:rPr>
        <w:t xml:space="preserve">. </w:t>
      </w:r>
    </w:p>
  </w:footnote>
  <w:footnote w:id="289">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John Stuart Mill, </w:t>
      </w:r>
      <w:r w:rsidRPr="00F259BB">
        <w:rPr>
          <w:rFonts w:cs="Times New Roman"/>
          <w:i/>
          <w:iCs/>
        </w:rPr>
        <w:t>On Liberty, in</w:t>
      </w:r>
      <w:r w:rsidRPr="00F259BB">
        <w:rPr>
          <w:rFonts w:cs="Times New Roman"/>
        </w:rPr>
        <w:t xml:space="preserve"> </w:t>
      </w:r>
      <w:r w:rsidRPr="00F259BB">
        <w:rPr>
          <w:rFonts w:cs="Times New Roman"/>
          <w:smallCaps/>
        </w:rPr>
        <w:t>Utilitarianism, Liberty and Representative Government (</w:t>
      </w:r>
      <w:r w:rsidRPr="00F259BB">
        <w:rPr>
          <w:rFonts w:cs="Times New Roman"/>
        </w:rPr>
        <w:t>Everyman’s Library Edition, 195</w:t>
      </w:r>
      <w:r w:rsidRPr="00F259BB">
        <w:rPr>
          <w:rFonts w:cs="Times New Roman"/>
          <w:smallCaps/>
        </w:rPr>
        <w:t>0) (</w:t>
      </w:r>
      <w:r w:rsidRPr="00F259BB">
        <w:rPr>
          <w:rFonts w:cs="Times New Roman"/>
        </w:rPr>
        <w:t xml:space="preserve">arguing that a government with excessive and centralized power can become tyrannical)”); Klatch, </w:t>
      </w:r>
      <w:r w:rsidRPr="00F259BB">
        <w:rPr>
          <w:rFonts w:cs="Times New Roman"/>
          <w:i/>
          <w:iCs/>
        </w:rPr>
        <w:t xml:space="preserve">supra </w:t>
      </w:r>
      <w:r w:rsidRPr="00F259BB">
        <w:rPr>
          <w:rFonts w:cs="Times New Roman"/>
        </w:rPr>
        <w:t xml:space="preserve">note X, at 103 (explaining the conservative belief that a government that a too-large government “tends to diminish order and liberty”); Marjorie E. </w:t>
      </w:r>
      <w:proofErr w:type="spellStart"/>
      <w:r w:rsidRPr="00F259BB">
        <w:rPr>
          <w:rFonts w:cs="Times New Roman"/>
        </w:rPr>
        <w:t>Kornhauser</w:t>
      </w:r>
      <w:proofErr w:type="spellEnd"/>
      <w:r w:rsidRPr="00F259BB">
        <w:rPr>
          <w:rFonts w:cs="Times New Roman"/>
        </w:rPr>
        <w:t xml:space="preserve">, </w:t>
      </w:r>
      <w:r w:rsidRPr="00F259BB">
        <w:rPr>
          <w:rFonts w:cs="Times New Roman"/>
          <w:i/>
          <w:iCs/>
        </w:rPr>
        <w:t xml:space="preserve">Legitimacy and the Right of Revolution: The Role of Tax Protest and Anti-Tax Rhetoric in </w:t>
      </w:r>
      <w:r w:rsidRPr="00F259BB">
        <w:rPr>
          <w:rFonts w:cs="Times New Roman"/>
        </w:rPr>
        <w:t xml:space="preserve">America, 50 </w:t>
      </w:r>
      <w:r w:rsidRPr="00F259BB">
        <w:rPr>
          <w:rFonts w:cs="Times New Roman"/>
          <w:smallCaps/>
        </w:rPr>
        <w:t>Buffalo L. Rev.</w:t>
      </w:r>
      <w:r w:rsidRPr="00F259BB">
        <w:rPr>
          <w:rFonts w:cs="Times New Roman"/>
        </w:rPr>
        <w:t xml:space="preserve"> 819, 926 (2002) (explaining the anti-government belief that “every tax contains the potential to impinge on liberty” and “every tax is a symbol of potential tyranny</w:t>
      </w:r>
      <w:r w:rsidR="003F06A0">
        <w:rPr>
          <w:rFonts w:cs="Times New Roman"/>
        </w:rPr>
        <w:t>.”)</w:t>
      </w:r>
      <w:r w:rsidRPr="00F259BB">
        <w:rPr>
          <w:rFonts w:cs="Times New Roman"/>
        </w:rPr>
        <w:t xml:space="preserve">. </w:t>
      </w:r>
    </w:p>
  </w:footnote>
  <w:footnote w:id="290">
    <w:p w:rsidR="003F7D4B" w:rsidRPr="00F259BB" w:rsidRDefault="003F7D4B" w:rsidP="003F7D4B">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 xml:space="preserve">Martin </w:t>
      </w:r>
      <w:proofErr w:type="spellStart"/>
      <w:r w:rsidRPr="00F259BB">
        <w:rPr>
          <w:rFonts w:cs="Times New Roman"/>
          <w:smallCaps/>
        </w:rPr>
        <w:t>Olasky</w:t>
      </w:r>
      <w:proofErr w:type="spellEnd"/>
      <w:r w:rsidRPr="00F259BB">
        <w:rPr>
          <w:rFonts w:cs="Times New Roman"/>
          <w:smallCaps/>
        </w:rPr>
        <w:t>, The Tragedy of American Compassion</w:t>
      </w:r>
      <w:r w:rsidRPr="00F259BB">
        <w:rPr>
          <w:rFonts w:cs="Times New Roman"/>
        </w:rPr>
        <w:t xml:space="preserve"> (1994) (arguing that a social system relying on private charity organizations creates more social good than a welfare state); Mike </w:t>
      </w:r>
      <w:proofErr w:type="spellStart"/>
      <w:r w:rsidRPr="00F259BB">
        <w:rPr>
          <w:rFonts w:cs="Times New Roman"/>
        </w:rPr>
        <w:t>Konczal</w:t>
      </w:r>
      <w:proofErr w:type="spellEnd"/>
      <w:r w:rsidRPr="00F259BB">
        <w:rPr>
          <w:rFonts w:cs="Times New Roman"/>
        </w:rPr>
        <w:t xml:space="preserve">, </w:t>
      </w:r>
      <w:r w:rsidRPr="00F259BB">
        <w:rPr>
          <w:rFonts w:cs="Times New Roman"/>
          <w:i/>
          <w:iCs/>
        </w:rPr>
        <w:t>The Conservative Myth of a Social Safety Net Built on Charity</w:t>
      </w:r>
      <w:r w:rsidRPr="00F259BB">
        <w:rPr>
          <w:rFonts w:cs="Times New Roman"/>
        </w:rPr>
        <w:t xml:space="preserve">, </w:t>
      </w:r>
      <w:r w:rsidRPr="00F259BB">
        <w:rPr>
          <w:rFonts w:cs="Times New Roman"/>
          <w:smallCaps/>
        </w:rPr>
        <w:t>The Atlantic</w:t>
      </w:r>
      <w:r w:rsidRPr="00F259BB">
        <w:rPr>
          <w:rFonts w:cs="Times New Roman"/>
        </w:rPr>
        <w:t xml:space="preserve"> (Mar. 24, 2014), https://www.theatlantic.com/politics/archive/2014/03/the-conservative-myth-of-a-social-safety-net-built-on-charity/284552/ (quoting Utah Senator Mike Lee’s suggestion that the “alternative to big government is not small government,” but rather “a voluntary civil society”); </w:t>
      </w:r>
      <w:r w:rsidRPr="00F259BB">
        <w:rPr>
          <w:rFonts w:cs="Times New Roman"/>
          <w:i/>
          <w:iCs/>
        </w:rPr>
        <w:t>see also supra</w:t>
      </w:r>
      <w:r w:rsidRPr="00F259BB">
        <w:rPr>
          <w:rFonts w:cs="Times New Roman"/>
        </w:rPr>
        <w:t xml:space="preserve"> note X (on President George Bush’s “thousand points of light.”)</w:t>
      </w:r>
    </w:p>
  </w:footnote>
  <w:footnote w:id="291">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 xml:space="preserve">Robert Nozick, </w:t>
      </w:r>
      <w:r w:rsidR="003F06A0" w:rsidRPr="003F06A0">
        <w:rPr>
          <w:rFonts w:cs="Times New Roman"/>
          <w:i/>
        </w:rPr>
        <w:t>supra</w:t>
      </w:r>
      <w:r w:rsidR="003F06A0">
        <w:rPr>
          <w:rFonts w:cs="Times New Roman"/>
        </w:rPr>
        <w:t xml:space="preserve"> note ___</w:t>
      </w:r>
      <w:r w:rsidRPr="00F259BB">
        <w:rPr>
          <w:rFonts w:cs="Times New Roman"/>
        </w:rPr>
        <w:t xml:space="preserve"> (arguing for a minimal, night-watchman state responsible only for narrow and necessary protective functions).</w:t>
      </w:r>
    </w:p>
  </w:footnote>
  <w:footnote w:id="292">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 xml:space="preserve">Rachel E. </w:t>
      </w:r>
      <w:proofErr w:type="spellStart"/>
      <w:r w:rsidRPr="00F259BB">
        <w:rPr>
          <w:rFonts w:cs="Times New Roman"/>
          <w:smallCaps/>
        </w:rPr>
        <w:t>Barkow</w:t>
      </w:r>
      <w:proofErr w:type="spellEnd"/>
      <w:r w:rsidRPr="00F259BB">
        <w:rPr>
          <w:rFonts w:cs="Times New Roman"/>
          <w:smallCaps/>
        </w:rPr>
        <w:t>, Prisoners of Politics: Breaking the Cycle of Mass Incarceration</w:t>
      </w:r>
      <w:r w:rsidRPr="00F259BB">
        <w:rPr>
          <w:rFonts w:cs="Times New Roman"/>
        </w:rPr>
        <w:t xml:space="preserve"> 110-11 (2019) (explaining that it is more politically beneficial for elected officials to react to crime punitively, as opposed to addressing the root causes of crime); Lichtenstein, </w:t>
      </w:r>
      <w:r w:rsidRPr="00F259BB">
        <w:rPr>
          <w:rFonts w:cs="Times New Roman"/>
          <w:i/>
          <w:iCs/>
        </w:rPr>
        <w:t xml:space="preserve">supra </w:t>
      </w:r>
      <w:r w:rsidRPr="00F259BB">
        <w:rPr>
          <w:rFonts w:cs="Times New Roman"/>
        </w:rPr>
        <w:t xml:space="preserve">note X (“Mass incarceration is not just (or even mainly) a response to crime, but rather a perverse form of social spending that uses state power to address a host of social problems at the back end, from poverty to drug addiction to misbehavior in school.”). </w:t>
      </w:r>
    </w:p>
  </w:footnote>
  <w:footnote w:id="293">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proofErr w:type="spellStart"/>
      <w:r w:rsidRPr="00F259BB">
        <w:rPr>
          <w:rFonts w:cs="Times New Roman"/>
        </w:rPr>
        <w:t>DeVeaux</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at 257 (“The experience of being locked in a cage has a psychological effect upon everyone made to endure it.”); Jeremy Travis, </w:t>
      </w:r>
      <w:r w:rsidRPr="00F259BB">
        <w:rPr>
          <w:rFonts w:cs="Times New Roman"/>
          <w:i/>
          <w:iCs/>
        </w:rPr>
        <w:t xml:space="preserve">Invisible Punishment: An Instrument of Social Exclusion, </w:t>
      </w:r>
      <w:r w:rsidRPr="00F259BB">
        <w:rPr>
          <w:rFonts w:cs="Times New Roman"/>
        </w:rPr>
        <w:t xml:space="preserve">in Invisible Punishment: The Collateral Consequences of Mass Imprisonment, 23-24 (Marc Mauer and </w:t>
      </w:r>
      <w:proofErr w:type="spellStart"/>
      <w:r w:rsidRPr="00F259BB">
        <w:rPr>
          <w:rFonts w:cs="Times New Roman"/>
        </w:rPr>
        <w:t>Meda</w:t>
      </w:r>
      <w:proofErr w:type="spellEnd"/>
      <w:r w:rsidRPr="00F259BB">
        <w:rPr>
          <w:rFonts w:cs="Times New Roman"/>
        </w:rPr>
        <w:t xml:space="preserve"> Chesney-Lind, eds., 2002) (describing non-carceral harms of criminalization, including ineligibility for food stamps and housing assistance</w:t>
      </w:r>
      <w:r w:rsidR="00263794">
        <w:rPr>
          <w:rFonts w:cs="Times New Roman"/>
        </w:rPr>
        <w:t>)</w:t>
      </w:r>
      <w:r w:rsidRPr="00F259BB">
        <w:rPr>
          <w:rFonts w:cs="Times New Roman"/>
        </w:rPr>
        <w:t>.</w:t>
      </w:r>
    </w:p>
  </w:footnote>
  <w:footnote w:id="294">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proofErr w:type="spellStart"/>
      <w:r w:rsidRPr="00F259BB">
        <w:rPr>
          <w:rFonts w:cs="Times New Roman"/>
        </w:rPr>
        <w:t>Alexy</w:t>
      </w:r>
      <w:proofErr w:type="spellEnd"/>
      <w:r w:rsidRPr="00F259BB">
        <w:rPr>
          <w:rFonts w:cs="Times New Roman"/>
        </w:rPr>
        <w:t xml:space="preserve">, </w:t>
      </w:r>
      <w:r w:rsidRPr="00F259BB">
        <w:rPr>
          <w:rFonts w:cs="Times New Roman"/>
          <w:i/>
          <w:iCs/>
        </w:rPr>
        <w:t xml:space="preserve">supra </w:t>
      </w:r>
      <w:r w:rsidRPr="00F259BB">
        <w:rPr>
          <w:rFonts w:cs="Times New Roman"/>
        </w:rPr>
        <w:t xml:space="preserve">note X, at 41 (“. . . regarding the knee-jerk reaction of legislators to high-profile incidents, Attorney General Edwin Meese noted that Congress tends to ‘pass a law whether it's necessary or not, if it's politically salient.’”). </w:t>
      </w:r>
    </w:p>
  </w:footnote>
  <w:footnote w:id="295">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smallCaps/>
        </w:rPr>
        <w:t>John Pfaff, Locked In: The True Causes of Mass Incarceration and How to Achieve Real Reform</w:t>
      </w:r>
      <w:r w:rsidRPr="00F259BB">
        <w:rPr>
          <w:rFonts w:cs="Times New Roman"/>
          <w:i/>
          <w:iCs/>
        </w:rPr>
        <w:t xml:space="preserve"> </w:t>
      </w:r>
      <w:r w:rsidRPr="00F259BB">
        <w:rPr>
          <w:rFonts w:cs="Times New Roman"/>
        </w:rPr>
        <w:t xml:space="preserve">127 (2017) (criminal punishments have dramatically increased despite stagnant crime severity); </w:t>
      </w:r>
      <w:r w:rsidRPr="00F259BB">
        <w:rPr>
          <w:rFonts w:cs="Times New Roman"/>
          <w:smallCaps/>
        </w:rPr>
        <w:t>Jonathan Simon, Mass Incarceration: From Social Policy to Social Problem</w:t>
      </w:r>
      <w:r w:rsidRPr="00F259BB">
        <w:rPr>
          <w:rFonts w:cs="Times New Roman"/>
          <w:i/>
          <w:iCs/>
        </w:rPr>
        <w:t xml:space="preserve"> </w:t>
      </w:r>
      <w:r w:rsidRPr="00F259BB">
        <w:rPr>
          <w:rFonts w:cs="Times New Roman"/>
        </w:rPr>
        <w:t xml:space="preserve">24-25 (2012) (politicians treated sentencing increases as a “generic and promising solution to the ubiquitous social problems facing California”); Rachel E. </w:t>
      </w:r>
      <w:proofErr w:type="spellStart"/>
      <w:r w:rsidRPr="00F259BB">
        <w:rPr>
          <w:rFonts w:cs="Times New Roman"/>
        </w:rPr>
        <w:t>Barkow</w:t>
      </w:r>
      <w:proofErr w:type="spellEnd"/>
      <w:r w:rsidRPr="00F259BB">
        <w:rPr>
          <w:rFonts w:cs="Times New Roman"/>
        </w:rPr>
        <w:t xml:space="preserve">, </w:t>
      </w:r>
      <w:r w:rsidRPr="00F259BB">
        <w:rPr>
          <w:rFonts w:cs="Times New Roman"/>
          <w:i/>
          <w:iCs/>
        </w:rPr>
        <w:t>Federalism and the Politics of Sentencing</w:t>
      </w:r>
      <w:r w:rsidRPr="00F259BB">
        <w:rPr>
          <w:rFonts w:cs="Times New Roman"/>
        </w:rPr>
        <w:t>, 105 Colum. L. Rev. 1276, 1280-1281 (2005) (drastic increases in sentencing laws were a result of the public’s perception that violent crime had increased)</w:t>
      </w:r>
      <w:r w:rsidR="00263794">
        <w:rPr>
          <w:rFonts w:cs="Times New Roman"/>
        </w:rPr>
        <w:t>.</w:t>
      </w:r>
      <w:r w:rsidRPr="00F259BB">
        <w:rPr>
          <w:rFonts w:cs="Times New Roman"/>
        </w:rPr>
        <w:t xml:space="preserve"> </w:t>
      </w:r>
    </w:p>
  </w:footnote>
  <w:footnote w:id="296">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Barry Friedman, Arizona State University Lecture on Homelessness 21-24 (2020) (explaining the importance of proper law enforcement training to facilitate safe interactions with homeless populations). </w:t>
      </w:r>
    </w:p>
  </w:footnote>
  <w:footnote w:id="297">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Stuart P. Green, </w:t>
      </w:r>
      <w:r w:rsidRPr="00F259BB">
        <w:rPr>
          <w:rFonts w:cs="Times New Roman"/>
          <w:i/>
          <w:iCs/>
        </w:rPr>
        <w:t>Why It’s a Crime to Tear the Tag Off a Mattress: Overcriminalization and the Moral Content of Regulatory Offenses</w:t>
      </w:r>
      <w:r w:rsidRPr="00F259BB">
        <w:rPr>
          <w:rFonts w:cs="Times New Roman"/>
        </w:rPr>
        <w:t xml:space="preserve">, 46 Emory L. J. 1533 (1997) (“Under the traditional, paradigmatic conception of the criminal law, the commission of a wrongful act must be accompanied by a culpable mental state . . . .”). </w:t>
      </w:r>
      <w:r w:rsidR="00263794">
        <w:rPr>
          <w:rFonts w:cs="Times New Roman"/>
        </w:rPr>
        <w:t xml:space="preserve">RA* can you scan </w:t>
      </w:r>
      <w:proofErr w:type="spellStart"/>
      <w:r w:rsidR="00263794">
        <w:rPr>
          <w:rFonts w:cs="Times New Roman"/>
        </w:rPr>
        <w:t>guyora</w:t>
      </w:r>
      <w:proofErr w:type="spellEnd"/>
      <w:r w:rsidR="00263794">
        <w:rPr>
          <w:rFonts w:cs="Times New Roman"/>
        </w:rPr>
        <w:t xml:space="preserve"> binder’s articles he sent me and see if they are apt here or elsewhere</w:t>
      </w:r>
    </w:p>
  </w:footnote>
  <w:footnote w:id="298">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i/>
          <w:iCs/>
        </w:rPr>
        <w:t xml:space="preserve">See </w:t>
      </w:r>
      <w:r w:rsidRPr="00F259BB">
        <w:rPr>
          <w:rFonts w:cs="Times New Roman"/>
        </w:rPr>
        <w:t xml:space="preserve">James R. Copland &amp; Rafael A. </w:t>
      </w:r>
      <w:proofErr w:type="spellStart"/>
      <w:r w:rsidRPr="00F259BB">
        <w:rPr>
          <w:rFonts w:cs="Times New Roman"/>
        </w:rPr>
        <w:t>Mangual</w:t>
      </w:r>
      <w:proofErr w:type="spellEnd"/>
      <w:r w:rsidRPr="00F259BB">
        <w:rPr>
          <w:rFonts w:cs="Times New Roman"/>
        </w:rPr>
        <w:t xml:space="preserve">, </w:t>
      </w:r>
      <w:proofErr w:type="spellStart"/>
      <w:r w:rsidRPr="00F259BB">
        <w:rPr>
          <w:rFonts w:cs="Times New Roman"/>
          <w:i/>
          <w:iCs/>
        </w:rPr>
        <w:t>Overcriminalizing</w:t>
      </w:r>
      <w:proofErr w:type="spellEnd"/>
      <w:r w:rsidRPr="00F259BB">
        <w:rPr>
          <w:rFonts w:cs="Times New Roman"/>
          <w:i/>
          <w:iCs/>
        </w:rPr>
        <w:t xml:space="preserve"> America: An Overview and Model Legislation for States</w:t>
      </w:r>
      <w:r w:rsidRPr="00F259BB">
        <w:rPr>
          <w:rFonts w:cs="Times New Roman"/>
        </w:rPr>
        <w:t xml:space="preserve">, </w:t>
      </w:r>
      <w:r w:rsidRPr="00F259BB">
        <w:rPr>
          <w:rFonts w:cs="Times New Roman"/>
          <w:smallCaps/>
        </w:rPr>
        <w:t>Manhattan Institute</w:t>
      </w:r>
      <w:r w:rsidRPr="00F259BB">
        <w:rPr>
          <w:rFonts w:cs="Times New Roman"/>
        </w:rPr>
        <w:t xml:space="preserve"> (Aug. 8, 2018), </w:t>
      </w:r>
      <w:hyperlink r:id="rId39" w:anchor="notes" w:history="1">
        <w:r w:rsidRPr="00F259BB">
          <w:rPr>
            <w:rStyle w:val="Hyperlink"/>
            <w:rFonts w:cs="Times New Roman"/>
            <w:color w:val="auto"/>
            <w:u w:val="none"/>
          </w:rPr>
          <w:t>https://www.manhattan-institute.org/html/overcriminalizing-america-overview-and-model-legislation-states-11399.html#notes</w:t>
        </w:r>
      </w:hyperlink>
      <w:r w:rsidRPr="00F259BB">
        <w:rPr>
          <w:rFonts w:cs="Times New Roman"/>
        </w:rPr>
        <w:t xml:space="preserve"> (arguing that to curb overcriminalization, criminal intent should be an element of regulatory crimes). </w:t>
      </w:r>
    </w:p>
  </w:footnote>
  <w:footnote w:id="299">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National Center on Homelessness &amp; Poverty, No Safe Place: The Criminalization of Homelessness in U.S. Cities 7-8 (2014), </w:t>
      </w:r>
      <w:hyperlink r:id="rId40" w:history="1">
        <w:r w:rsidRPr="00F259BB">
          <w:rPr>
            <w:rStyle w:val="Hyperlink"/>
            <w:rFonts w:cs="Times New Roman"/>
            <w:color w:val="auto"/>
            <w:u w:val="none"/>
          </w:rPr>
          <w:t>https://nlchp.org/wp-content/uploads/2019/02/No_Safe_Place.pdf</w:t>
        </w:r>
      </w:hyperlink>
      <w:r w:rsidRPr="00F259BB">
        <w:rPr>
          <w:rFonts w:cs="Times New Roman"/>
        </w:rPr>
        <w:t xml:space="preserve"> (reporting that 27% of US cities prohibit sleeping in particular public places, and 74% of cities criminalize begging in particular public places). </w:t>
      </w:r>
    </w:p>
  </w:footnote>
  <w:footnote w:id="300">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Barry Friedman, Arizona State University Lecture on Homelessness 18 (2020) (describing the widespread incarceration of the US’ homeless population). </w:t>
      </w:r>
    </w:p>
  </w:footnote>
  <w:footnote w:id="301">
    <w:p w:rsidR="00263794" w:rsidRDefault="00263794">
      <w:pPr>
        <w:pStyle w:val="FootnoteText"/>
      </w:pPr>
      <w:r>
        <w:rPr>
          <w:rStyle w:val="FootnoteReference"/>
        </w:rPr>
        <w:footnoteRef/>
      </w:r>
      <w:r>
        <w:t xml:space="preserve"> Randy Barnett and Evan Bernick argue that often the use of the criminal law exceeds the police power because it is arbitrary and beyond the bounds of harm. </w:t>
      </w:r>
      <w:r w:rsidRPr="00F259BB">
        <w:rPr>
          <w:rFonts w:cs="Times New Roman"/>
        </w:rPr>
        <w:t xml:space="preserve">Randy E. Barnett &amp; Evan D. Bernick, </w:t>
      </w:r>
      <w:r w:rsidRPr="00F259BB">
        <w:rPr>
          <w:rFonts w:cs="Times New Roman"/>
          <w:i/>
          <w:iCs/>
        </w:rPr>
        <w:t>No Arbitrary Power: An Originalist Theory of Due Process of Law</w:t>
      </w:r>
      <w:r w:rsidRPr="00F259BB">
        <w:rPr>
          <w:rFonts w:cs="Times New Roman"/>
        </w:rPr>
        <w:t xml:space="preserve">, 60 </w:t>
      </w:r>
      <w:r w:rsidRPr="00F259BB">
        <w:rPr>
          <w:rFonts w:cs="Times New Roman"/>
          <w:smallCaps/>
        </w:rPr>
        <w:t>Wm. &amp; Mary L. Rev.</w:t>
      </w:r>
      <w:r w:rsidRPr="00F259BB">
        <w:rPr>
          <w:rFonts w:cs="Times New Roman"/>
        </w:rPr>
        <w:t xml:space="preserve"> 1599 (2019); Randy E. Barnett, </w:t>
      </w:r>
      <w:r w:rsidRPr="00F259BB">
        <w:rPr>
          <w:rFonts w:cs="Times New Roman"/>
          <w:i/>
          <w:iCs/>
        </w:rPr>
        <w:t>The Proper Scope of the Police Power</w:t>
      </w:r>
      <w:r w:rsidRPr="00F259BB">
        <w:rPr>
          <w:rFonts w:cs="Times New Roman"/>
        </w:rPr>
        <w:t xml:space="preserve">, 79 </w:t>
      </w:r>
      <w:r w:rsidRPr="00F259BB">
        <w:rPr>
          <w:rFonts w:cs="Times New Roman"/>
          <w:smallCaps/>
        </w:rPr>
        <w:t>Notre Dame L. Rev.</w:t>
      </w:r>
      <w:r w:rsidRPr="00F259BB">
        <w:rPr>
          <w:rFonts w:cs="Times New Roman"/>
        </w:rPr>
        <w:t xml:space="preserve"> 429 (2004).</w:t>
      </w:r>
    </w:p>
  </w:footnote>
  <w:footnote w:id="302">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Rachel E. </w:t>
      </w:r>
      <w:proofErr w:type="spellStart"/>
      <w:r w:rsidRPr="00F259BB">
        <w:rPr>
          <w:rFonts w:cs="Times New Roman"/>
        </w:rPr>
        <w:t>Barkow</w:t>
      </w:r>
      <w:proofErr w:type="spellEnd"/>
      <w:r w:rsidRPr="00F259BB">
        <w:rPr>
          <w:rFonts w:cs="Times New Roman"/>
        </w:rPr>
        <w:t xml:space="preserve">, </w:t>
      </w:r>
      <w:r w:rsidRPr="00F259BB">
        <w:rPr>
          <w:rFonts w:cs="Times New Roman"/>
          <w:i/>
          <w:iCs/>
        </w:rPr>
        <w:t xml:space="preserve">Federalism and the Politics of Sentencing, </w:t>
      </w:r>
      <w:r w:rsidRPr="00F259BB">
        <w:rPr>
          <w:rFonts w:cs="Times New Roman"/>
        </w:rPr>
        <w:t xml:space="preserve">105 </w:t>
      </w:r>
      <w:r w:rsidRPr="00F259BB">
        <w:rPr>
          <w:rFonts w:cs="Times New Roman"/>
          <w:smallCaps/>
        </w:rPr>
        <w:t>Colum. L. Rev.</w:t>
      </w:r>
      <w:r w:rsidRPr="00F259BB">
        <w:rPr>
          <w:rFonts w:cs="Times New Roman"/>
        </w:rPr>
        <w:t xml:space="preserve"> 1276, 1287 (2005) (“In the 1990s, get-tough policies led state spending on corrections to double from $17.2 billion to almost $35 billion.”);</w:t>
      </w:r>
    </w:p>
    <w:p w:rsidR="007A1944" w:rsidRPr="00F259BB" w:rsidRDefault="007A1944" w:rsidP="00757A10">
      <w:pPr>
        <w:pStyle w:val="FootnoteText"/>
        <w:rPr>
          <w:rFonts w:cs="Times New Roman"/>
        </w:rPr>
      </w:pPr>
      <w:r w:rsidRPr="00F259BB">
        <w:rPr>
          <w:rFonts w:cs="Times New Roman"/>
        </w:rPr>
        <w:t xml:space="preserve">Lewis &amp; Lockwood, </w:t>
      </w:r>
      <w:r w:rsidRPr="00F259BB">
        <w:rPr>
          <w:rFonts w:cs="Times New Roman"/>
          <w:i/>
          <w:iCs/>
        </w:rPr>
        <w:t xml:space="preserve">supra </w:t>
      </w:r>
      <w:r w:rsidRPr="00F259BB">
        <w:rPr>
          <w:rFonts w:cs="Times New Roman"/>
        </w:rPr>
        <w:t xml:space="preserve">note X (“The Bureau of Justice Statistics reckons that the United States spends more than $80 billion each year to keep roughly 2.3 million people behind bars.”). </w:t>
      </w:r>
    </w:p>
  </w:footnote>
  <w:footnote w:id="303">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See</w:t>
      </w:r>
      <w:r w:rsidRPr="00F259BB">
        <w:rPr>
          <w:rFonts w:cs="Times New Roman"/>
        </w:rPr>
        <w:t xml:space="preserve"> Rachel E. </w:t>
      </w:r>
      <w:proofErr w:type="spellStart"/>
      <w:r w:rsidRPr="00F259BB">
        <w:rPr>
          <w:rFonts w:cs="Times New Roman"/>
        </w:rPr>
        <w:t>Barkow</w:t>
      </w:r>
      <w:proofErr w:type="spellEnd"/>
      <w:r w:rsidRPr="00F259BB">
        <w:rPr>
          <w:rFonts w:cs="Times New Roman"/>
        </w:rPr>
        <w:t xml:space="preserve">, </w:t>
      </w:r>
      <w:r w:rsidRPr="00F259BB">
        <w:rPr>
          <w:rFonts w:cs="Times New Roman"/>
          <w:i/>
          <w:iCs/>
        </w:rPr>
        <w:t xml:space="preserve">Federalism and the Politics of Sentencing, </w:t>
      </w:r>
      <w:r w:rsidRPr="00F259BB">
        <w:rPr>
          <w:rFonts w:cs="Times New Roman"/>
        </w:rPr>
        <w:t xml:space="preserve">105 </w:t>
      </w:r>
      <w:r w:rsidRPr="00F259BB">
        <w:rPr>
          <w:rFonts w:cs="Times New Roman"/>
          <w:smallCaps/>
        </w:rPr>
        <w:t>Colum. L. Rev.</w:t>
      </w:r>
      <w:r w:rsidRPr="00F259BB">
        <w:rPr>
          <w:rFonts w:cs="Times New Roman"/>
        </w:rPr>
        <w:t xml:space="preserve"> 1276, 1277 (2005) (“There is substantial evidence from the states that tight budgets and a corresponding concern with the rising costs of their existing incarceration policies have prompted greater deliberation, a consideration of alternatives to incarceration, and a rethinking of sanctions for some crimes.”); Mary D. Fan, </w:t>
      </w:r>
      <w:r w:rsidRPr="00F259BB">
        <w:rPr>
          <w:rFonts w:cs="Times New Roman"/>
          <w:i/>
          <w:iCs/>
        </w:rPr>
        <w:t>Beyond Budget-Cut Criminal Justice: The Future of Penal Law</w:t>
      </w:r>
      <w:r w:rsidRPr="00F259BB">
        <w:rPr>
          <w:rFonts w:cs="Times New Roman"/>
        </w:rPr>
        <w:t xml:space="preserve">, 90 </w:t>
      </w:r>
      <w:r w:rsidRPr="00F259BB">
        <w:rPr>
          <w:rFonts w:cs="Times New Roman"/>
          <w:smallCaps/>
        </w:rPr>
        <w:t>N.C. L. Rev.</w:t>
      </w:r>
      <w:r w:rsidRPr="00F259BB">
        <w:rPr>
          <w:rFonts w:cs="Times New Roman"/>
        </w:rPr>
        <w:t xml:space="preserve"> 581, 620 (2012) (observing that many reforms of the criminal justice system have been driven by budgetary concerns). </w:t>
      </w:r>
    </w:p>
  </w:footnote>
  <w:footnote w:id="304">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Rachel E. </w:t>
      </w:r>
      <w:proofErr w:type="spellStart"/>
      <w:r w:rsidRPr="00F259BB">
        <w:rPr>
          <w:rFonts w:cs="Times New Roman"/>
        </w:rPr>
        <w:t>Barkow</w:t>
      </w:r>
      <w:proofErr w:type="spellEnd"/>
      <w:r w:rsidRPr="00F259BB">
        <w:rPr>
          <w:rFonts w:cs="Times New Roman"/>
        </w:rPr>
        <w:t xml:space="preserve">, </w:t>
      </w:r>
      <w:r w:rsidRPr="00F259BB">
        <w:rPr>
          <w:rFonts w:cs="Times New Roman"/>
          <w:i/>
          <w:iCs/>
        </w:rPr>
        <w:t>Prosecutorial Administration: Prosecutor Bias and the Department of Justice</w:t>
      </w:r>
      <w:r w:rsidRPr="00F259BB">
        <w:rPr>
          <w:rFonts w:cs="Times New Roman"/>
        </w:rPr>
        <w:t xml:space="preserve">, 99 </w:t>
      </w:r>
      <w:r w:rsidRPr="00F259BB">
        <w:rPr>
          <w:rFonts w:cs="Times New Roman"/>
          <w:smallCaps/>
        </w:rPr>
        <w:t xml:space="preserve">Va. L. Rev. </w:t>
      </w:r>
      <w:r w:rsidRPr="00F259BB">
        <w:rPr>
          <w:rFonts w:cs="Times New Roman"/>
        </w:rPr>
        <w:t>271,</w:t>
      </w:r>
      <w:r w:rsidRPr="00F259BB">
        <w:rPr>
          <w:rFonts w:cs="Times New Roman"/>
          <w:i/>
          <w:iCs/>
        </w:rPr>
        <w:t xml:space="preserve"> </w:t>
      </w:r>
      <w:r w:rsidRPr="00F259BB">
        <w:rPr>
          <w:rFonts w:cs="Times New Roman"/>
        </w:rPr>
        <w:t xml:space="preserve">321 (2013) (noting that “some conservatives have started to call attention to the fiscal issue of incarceration”); Dewan &amp; Hulse, </w:t>
      </w:r>
      <w:r w:rsidRPr="00F259BB">
        <w:rPr>
          <w:rFonts w:cs="Times New Roman"/>
          <w:i/>
          <w:iCs/>
        </w:rPr>
        <w:t xml:space="preserve">supra </w:t>
      </w:r>
      <w:r w:rsidRPr="00F259BB">
        <w:rPr>
          <w:rFonts w:cs="Times New Roman"/>
        </w:rPr>
        <w:t>note X (“Both parties were competing for who can be the most tough on crime throughout the 1980s and ’90s, and then the Republicans came to their senses first, for financial reasons.”).</w:t>
      </w:r>
    </w:p>
  </w:footnote>
  <w:footnote w:id="305">
    <w:p w:rsidR="007A1944" w:rsidRDefault="007A1944">
      <w:pPr>
        <w:pStyle w:val="FootnoteText"/>
      </w:pPr>
      <w:r>
        <w:rPr>
          <w:rStyle w:val="FootnoteReference"/>
        </w:rPr>
        <w:footnoteRef/>
      </w:r>
      <w:r>
        <w:t xml:space="preserve"> RA*</w:t>
      </w:r>
      <w:proofErr w:type="spellStart"/>
      <w:r>
        <w:t>danielle</w:t>
      </w:r>
      <w:proofErr w:type="spellEnd"/>
      <w:r>
        <w:t xml:space="preserve"> citron’s cyberstalking book. Or her article for now if we can’t get hands on the book. Mary </w:t>
      </w:r>
      <w:proofErr w:type="spellStart"/>
      <w:r>
        <w:t>ann</w:t>
      </w:r>
      <w:proofErr w:type="spellEnd"/>
      <w:r>
        <w:t xml:space="preserve"> franks has work in this space too please</w:t>
      </w:r>
    </w:p>
  </w:footnote>
  <w:footnote w:id="306">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F259BB">
        <w:rPr>
          <w:rFonts w:cs="Times New Roman"/>
          <w:i/>
          <w:iCs/>
        </w:rPr>
        <w:t xml:space="preserve">See </w:t>
      </w:r>
      <w:r w:rsidRPr="00F259BB">
        <w:rPr>
          <w:rFonts w:cs="Times New Roman"/>
        </w:rPr>
        <w:t xml:space="preserve">Sharon </w:t>
      </w:r>
      <w:proofErr w:type="spellStart"/>
      <w:r w:rsidRPr="00F259BB">
        <w:rPr>
          <w:rFonts w:cs="Times New Roman"/>
        </w:rPr>
        <w:t>Dolovich</w:t>
      </w:r>
      <w:proofErr w:type="spellEnd"/>
      <w:r w:rsidRPr="00F259BB">
        <w:rPr>
          <w:rFonts w:cs="Times New Roman"/>
        </w:rPr>
        <w:t xml:space="preserve">, </w:t>
      </w:r>
      <w:r w:rsidRPr="00F259BB">
        <w:rPr>
          <w:rFonts w:cs="Times New Roman"/>
          <w:i/>
          <w:iCs/>
        </w:rPr>
        <w:t xml:space="preserve">Cruelty, Prison Conditions, and the Eighth </w:t>
      </w:r>
      <w:r w:rsidRPr="00F259BB">
        <w:rPr>
          <w:rFonts w:cs="Times New Roman"/>
        </w:rPr>
        <w:t xml:space="preserve">Amendment, 84 </w:t>
      </w:r>
      <w:r w:rsidRPr="00F259BB">
        <w:rPr>
          <w:rFonts w:cs="Times New Roman"/>
          <w:smallCaps/>
        </w:rPr>
        <w:t>N.Y.U. L. Rev</w:t>
      </w:r>
      <w:r w:rsidRPr="00F259BB">
        <w:rPr>
          <w:rFonts w:cs="Times New Roman"/>
        </w:rPr>
        <w:t>. 881, 931-934 (2009) (describing prison conditions as cruel, degrading, harmful, and inhumane</w:t>
      </w:r>
      <w:r w:rsidR="00263794">
        <w:rPr>
          <w:rFonts w:cs="Times New Roman"/>
        </w:rPr>
        <w:t>)</w:t>
      </w:r>
      <w:r w:rsidRPr="00F259BB">
        <w:rPr>
          <w:rFonts w:cs="Times New Roman"/>
        </w:rPr>
        <w:t xml:space="preserve">. </w:t>
      </w:r>
    </w:p>
  </w:footnote>
  <w:footnote w:id="307">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B5619B">
        <w:rPr>
          <w:rFonts w:cs="Times New Roman"/>
          <w:i/>
        </w:rPr>
        <w:t>See</w:t>
      </w:r>
      <w:r>
        <w:rPr>
          <w:rFonts w:cs="Times New Roman"/>
        </w:rPr>
        <w:t xml:space="preserve"> </w:t>
      </w:r>
      <w:r w:rsidRPr="001B3B5E">
        <w:rPr>
          <w:rFonts w:cs="Times New Roman"/>
          <w:smallCaps/>
        </w:rPr>
        <w:t>Kenneth Culp Davis, Police Discretion</w:t>
      </w:r>
      <w:r>
        <w:rPr>
          <w:rFonts w:cs="Times New Roman"/>
        </w:rPr>
        <w:t xml:space="preserve"> (1975) (detailing discretion police exercise on the street and how it is used); </w:t>
      </w:r>
      <w:r w:rsidRPr="001B3B5E">
        <w:rPr>
          <w:rFonts w:cs="Times New Roman"/>
          <w:smallCaps/>
        </w:rPr>
        <w:t>Kenneth Culp Davis, Discretionary Justice – A Preliminary Inquiry 9</w:t>
      </w:r>
      <w:r>
        <w:rPr>
          <w:rFonts w:cs="Times New Roman"/>
        </w:rPr>
        <w:t xml:space="preserve"> (1969) (showing that the administrative-heavy state has come to rely on “billions” of discretionary decisions).</w:t>
      </w:r>
    </w:p>
  </w:footnote>
  <w:footnote w:id="308">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Pr>
          <w:rFonts w:cs="Times New Roman"/>
          <w:i/>
          <w:iCs/>
        </w:rPr>
        <w:t xml:space="preserve">See </w:t>
      </w:r>
      <w:r>
        <w:rPr>
          <w:rFonts w:cs="Times New Roman"/>
        </w:rPr>
        <w:t xml:space="preserve">Cass Sunstein, </w:t>
      </w:r>
      <w:r>
        <w:rPr>
          <w:rFonts w:cs="Times New Roman"/>
          <w:i/>
          <w:iCs/>
        </w:rPr>
        <w:t>Problems with Minimalism</w:t>
      </w:r>
      <w:r>
        <w:rPr>
          <w:rFonts w:cs="Times New Roman"/>
        </w:rPr>
        <w:t xml:space="preserve">, 58 </w:t>
      </w:r>
      <w:r w:rsidRPr="009D648C">
        <w:rPr>
          <w:rFonts w:cs="Times New Roman"/>
          <w:smallCaps/>
        </w:rPr>
        <w:t>Stan. L. Rev</w:t>
      </w:r>
      <w:r>
        <w:rPr>
          <w:rFonts w:cs="Times New Roman"/>
        </w:rPr>
        <w:t xml:space="preserve">. 1899, 1907 (noting that the deferring decisions imposes “burdens on subsequent decisionmakers, in a way that might lead to errors and arbitrariness,” increasing unpredictability, lack of transparency and costs); </w:t>
      </w:r>
      <w:r w:rsidRPr="00A669D3">
        <w:rPr>
          <w:rFonts w:cs="Times New Roman"/>
        </w:rPr>
        <w:t xml:space="preserve">Paul J. Jr. Larkin, </w:t>
      </w:r>
      <w:r w:rsidRPr="009D648C">
        <w:rPr>
          <w:rFonts w:cs="Times New Roman"/>
          <w:i/>
          <w:iCs/>
        </w:rPr>
        <w:t>Public Choice Theory and Overcriminalization</w:t>
      </w:r>
      <w:r w:rsidRPr="00A669D3">
        <w:rPr>
          <w:rFonts w:cs="Times New Roman"/>
        </w:rPr>
        <w:t xml:space="preserve">, 36 </w:t>
      </w:r>
      <w:proofErr w:type="spellStart"/>
      <w:r w:rsidRPr="009D648C">
        <w:rPr>
          <w:rFonts w:cs="Times New Roman"/>
          <w:smallCaps/>
        </w:rPr>
        <w:t>Harv</w:t>
      </w:r>
      <w:proofErr w:type="spellEnd"/>
      <w:r w:rsidRPr="009D648C">
        <w:rPr>
          <w:rFonts w:cs="Times New Roman"/>
          <w:smallCaps/>
        </w:rPr>
        <w:t xml:space="preserve">. J. L. &amp; Pub. </w:t>
      </w:r>
      <w:proofErr w:type="spellStart"/>
      <w:r w:rsidRPr="009D648C">
        <w:rPr>
          <w:rFonts w:cs="Times New Roman"/>
          <w:smallCaps/>
        </w:rPr>
        <w:t>Pol'y</w:t>
      </w:r>
      <w:proofErr w:type="spellEnd"/>
      <w:r w:rsidRPr="00A669D3">
        <w:rPr>
          <w:rFonts w:cs="Times New Roman"/>
        </w:rPr>
        <w:t xml:space="preserve"> 715</w:t>
      </w:r>
      <w:r>
        <w:rPr>
          <w:rFonts w:cs="Times New Roman"/>
        </w:rPr>
        <w:t>, 740</w:t>
      </w:r>
      <w:r w:rsidRPr="00A669D3">
        <w:rPr>
          <w:rFonts w:cs="Times New Roman"/>
        </w:rPr>
        <w:t xml:space="preserve"> (2013)</w:t>
      </w:r>
      <w:r>
        <w:rPr>
          <w:rFonts w:cs="Times New Roman"/>
        </w:rPr>
        <w:t xml:space="preserve"> (noting that greater specialization among different agencies at the lower level of decision-making increases arbitrary overcriminalization). </w:t>
      </w:r>
    </w:p>
  </w:footnote>
  <w:footnote w:id="309">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sidRPr="009D648C">
        <w:rPr>
          <w:rFonts w:cs="Times New Roman"/>
          <w:i/>
          <w:iCs/>
        </w:rPr>
        <w:t>See, e.g.</w:t>
      </w:r>
      <w:r>
        <w:rPr>
          <w:rFonts w:cs="Times New Roman"/>
        </w:rPr>
        <w:t xml:space="preserve">, </w:t>
      </w:r>
      <w:r w:rsidRPr="009D648C">
        <w:rPr>
          <w:rFonts w:cs="Times New Roman"/>
        </w:rPr>
        <w:t xml:space="preserve">David Fitzpatrick </w:t>
      </w:r>
      <w:r>
        <w:rPr>
          <w:rFonts w:cs="Times New Roman"/>
        </w:rPr>
        <w:t>&amp;</w:t>
      </w:r>
      <w:r w:rsidRPr="009D648C">
        <w:rPr>
          <w:rFonts w:cs="Times New Roman"/>
        </w:rPr>
        <w:t xml:space="preserve"> Drew Griffin</w:t>
      </w:r>
      <w:r>
        <w:rPr>
          <w:rFonts w:cs="Times New Roman"/>
        </w:rPr>
        <w:t xml:space="preserve">, </w:t>
      </w:r>
      <w:r w:rsidRPr="009D648C">
        <w:rPr>
          <w:rFonts w:cs="Times New Roman"/>
          <w:i/>
          <w:iCs/>
        </w:rPr>
        <w:t>Video Shows Albuquerque Police Killing Homeless Man</w:t>
      </w:r>
      <w:r>
        <w:rPr>
          <w:rFonts w:cs="Times New Roman"/>
        </w:rPr>
        <w:t xml:space="preserve">, </w:t>
      </w:r>
      <w:r w:rsidRPr="009D648C">
        <w:rPr>
          <w:rFonts w:cs="Times New Roman"/>
          <w:smallCaps/>
        </w:rPr>
        <w:t xml:space="preserve">CNN </w:t>
      </w:r>
      <w:r>
        <w:rPr>
          <w:rFonts w:cs="Times New Roman"/>
        </w:rPr>
        <w:t xml:space="preserve">(June 22, 2014 12:05 PM), </w:t>
      </w:r>
      <w:hyperlink r:id="rId41" w:history="1">
        <w:r w:rsidRPr="006C3366">
          <w:rPr>
            <w:rStyle w:val="Hyperlink"/>
            <w:rFonts w:cs="Times New Roman"/>
          </w:rPr>
          <w:t>https://www.cnn.com/2014/06/20/us/albuquerque-police-investigation/index.html</w:t>
        </w:r>
      </w:hyperlink>
      <w:r>
        <w:rPr>
          <w:rFonts w:cs="Times New Roman"/>
        </w:rPr>
        <w:t xml:space="preserve"> (shooting of mentally ill homeless man camping outside “because city homeless shelters were closed” was ruled a homicide); </w:t>
      </w:r>
      <w:r w:rsidRPr="009D648C">
        <w:rPr>
          <w:rFonts w:cs="Times New Roman"/>
          <w:i/>
          <w:iCs/>
        </w:rPr>
        <w:t>US Police Shoot Homeless Man Dead in Los Angeles</w:t>
      </w:r>
      <w:r>
        <w:rPr>
          <w:rFonts w:cs="Times New Roman"/>
        </w:rPr>
        <w:t xml:space="preserve">, </w:t>
      </w:r>
      <w:r w:rsidRPr="009D648C">
        <w:rPr>
          <w:rFonts w:cs="Times New Roman"/>
          <w:smallCaps/>
        </w:rPr>
        <w:t>BBC News</w:t>
      </w:r>
      <w:r>
        <w:rPr>
          <w:rFonts w:cs="Times New Roman"/>
        </w:rPr>
        <w:t xml:space="preserve">, Mar. 2, 2015, </w:t>
      </w:r>
      <w:hyperlink r:id="rId42" w:history="1">
        <w:r w:rsidRPr="006C3366">
          <w:rPr>
            <w:rStyle w:val="Hyperlink"/>
            <w:rFonts w:cs="Times New Roman"/>
          </w:rPr>
          <w:t>https://www.bbc.com/news/world-us-canada-31688942</w:t>
        </w:r>
      </w:hyperlink>
      <w:r>
        <w:rPr>
          <w:rFonts w:cs="Times New Roman"/>
        </w:rPr>
        <w:t xml:space="preserve"> (reporting police </w:t>
      </w:r>
      <w:proofErr w:type="spellStart"/>
      <w:r>
        <w:rPr>
          <w:rFonts w:cs="Times New Roman"/>
        </w:rPr>
        <w:t>tasing</w:t>
      </w:r>
      <w:proofErr w:type="spellEnd"/>
      <w:r>
        <w:rPr>
          <w:rFonts w:cs="Times New Roman"/>
        </w:rPr>
        <w:t xml:space="preserve"> and shooting of mentally ill homeless man); Ian Lovett, </w:t>
      </w:r>
      <w:r w:rsidRPr="009D648C">
        <w:rPr>
          <w:rFonts w:cs="Times New Roman"/>
          <w:i/>
          <w:iCs/>
        </w:rPr>
        <w:t>California: Police Charged in Killing</w:t>
      </w:r>
      <w:r>
        <w:rPr>
          <w:rFonts w:cs="Times New Roman"/>
        </w:rPr>
        <w:t xml:space="preserve">, </w:t>
      </w:r>
      <w:r w:rsidRPr="009D648C">
        <w:rPr>
          <w:rFonts w:cs="Times New Roman"/>
          <w:smallCaps/>
        </w:rPr>
        <w:t>N.Y. Times</w:t>
      </w:r>
      <w:r>
        <w:rPr>
          <w:rFonts w:cs="Times New Roman"/>
        </w:rPr>
        <w:t xml:space="preserve">, Sept. 22, 2011, </w:t>
      </w:r>
      <w:hyperlink r:id="rId43" w:history="1">
        <w:r w:rsidRPr="00BA24AE">
          <w:rPr>
            <w:rStyle w:val="Hyperlink"/>
            <w:rFonts w:cs="Times New Roman"/>
          </w:rPr>
          <w:t xml:space="preserve">https://www.nytimes.com/2011/09/22/us/california-police-charged-in- </w:t>
        </w:r>
        <w:proofErr w:type="spellStart"/>
        <w:r w:rsidRPr="00BA24AE">
          <w:rPr>
            <w:rStyle w:val="Hyperlink"/>
            <w:rFonts w:cs="Times New Roman"/>
          </w:rPr>
          <w:t>killing.html?scp</w:t>
        </w:r>
        <w:proofErr w:type="spellEnd"/>
        <w:r w:rsidRPr="00BA24AE">
          <w:rPr>
            <w:rStyle w:val="Hyperlink"/>
            <w:rFonts w:cs="Times New Roman"/>
          </w:rPr>
          <w:t>=4&amp;sq=%22kelly%20thomas%22&amp;st=</w:t>
        </w:r>
        <w:proofErr w:type="spellStart"/>
        <w:r w:rsidRPr="00BA24AE">
          <w:rPr>
            <w:rStyle w:val="Hyperlink"/>
            <w:rFonts w:cs="Times New Roman"/>
          </w:rPr>
          <w:t>cse</w:t>
        </w:r>
        <w:proofErr w:type="spellEnd"/>
      </w:hyperlink>
      <w:r>
        <w:rPr>
          <w:rFonts w:cs="Times New Roman"/>
        </w:rPr>
        <w:t xml:space="preserve"> (reporting on the death of Kelly Thomas, a man who suffered from schizophrenia and, while homeless, was beaten to death by police in Orange County). </w:t>
      </w:r>
    </w:p>
  </w:footnote>
  <w:footnote w:id="310">
    <w:p w:rsidR="007A1944" w:rsidRPr="00F259BB" w:rsidRDefault="007A1944" w:rsidP="00757A10">
      <w:pPr>
        <w:pStyle w:val="FootnoteText"/>
        <w:rPr>
          <w:rFonts w:cs="Times New Roman"/>
        </w:rPr>
      </w:pPr>
      <w:r w:rsidRPr="00F259BB">
        <w:rPr>
          <w:rStyle w:val="FootnoteReference"/>
          <w:rFonts w:cs="Times New Roman"/>
        </w:rPr>
        <w:footnoteRef/>
      </w:r>
      <w:r>
        <w:rPr>
          <w:rFonts w:cs="Times New Roman"/>
        </w:rPr>
        <w:t xml:space="preserve"> </w:t>
      </w:r>
      <w:r>
        <w:rPr>
          <w:rFonts w:cs="Times New Roman"/>
          <w:i/>
          <w:iCs/>
        </w:rPr>
        <w:t>See</w:t>
      </w:r>
      <w:r w:rsidRPr="00F259BB">
        <w:rPr>
          <w:rFonts w:cs="Times New Roman"/>
        </w:rPr>
        <w:t xml:space="preserve"> </w:t>
      </w:r>
      <w:r>
        <w:rPr>
          <w:rFonts w:cs="Times New Roman"/>
        </w:rPr>
        <w:t xml:space="preserve">Graham </w:t>
      </w:r>
      <w:proofErr w:type="spellStart"/>
      <w:r>
        <w:rPr>
          <w:rFonts w:cs="Times New Roman"/>
        </w:rPr>
        <w:t>Rayman</w:t>
      </w:r>
      <w:proofErr w:type="spellEnd"/>
      <w:r>
        <w:rPr>
          <w:rFonts w:cs="Times New Roman"/>
        </w:rPr>
        <w:t xml:space="preserve">, </w:t>
      </w:r>
      <w:r w:rsidRPr="009D648C">
        <w:t>‘</w:t>
      </w:r>
      <w:r w:rsidRPr="009D648C">
        <w:rPr>
          <w:i/>
          <w:iCs/>
        </w:rPr>
        <w:t>We Exercised Extreme Discretion Right from the Start’: City’s Top Cop Defends Police Actions During George Floyd Protests</w:t>
      </w:r>
      <w:r>
        <w:rPr>
          <w:rFonts w:cs="Times New Roman"/>
        </w:rPr>
        <w:t xml:space="preserve">, </w:t>
      </w:r>
      <w:r w:rsidRPr="009D648C">
        <w:rPr>
          <w:smallCaps/>
        </w:rPr>
        <w:t>N.Y. Daily News</w:t>
      </w:r>
      <w:r>
        <w:rPr>
          <w:rFonts w:cs="Times New Roman"/>
        </w:rPr>
        <w:t xml:space="preserve"> (June 22, 2020 4:13 PM), </w:t>
      </w:r>
      <w:hyperlink r:id="rId44" w:history="1">
        <w:r w:rsidRPr="009D648C">
          <w:rPr>
            <w:rStyle w:val="Hyperlink"/>
          </w:rPr>
          <w:t>https://www.nydailynews.com/new-york/nyc-crime/ny-dermot-shea-letitia-james-hearing-protests-20200622-n6yg4p3ghnb23hfgqb5ufb4cmi-story.html</w:t>
        </w:r>
      </w:hyperlink>
      <w:r>
        <w:rPr>
          <w:rFonts w:cs="Times New Roman"/>
        </w:rPr>
        <w:t xml:space="preserve"> (reporting that NYPD Commissioner </w:t>
      </w:r>
      <w:proofErr w:type="spellStart"/>
      <w:r>
        <w:rPr>
          <w:rFonts w:cs="Times New Roman"/>
        </w:rPr>
        <w:t>Dermont</w:t>
      </w:r>
      <w:proofErr w:type="spellEnd"/>
      <w:r>
        <w:rPr>
          <w:rFonts w:cs="Times New Roman"/>
        </w:rPr>
        <w:t xml:space="preserve"> </w:t>
      </w:r>
      <w:proofErr w:type="spellStart"/>
      <w:r>
        <w:rPr>
          <w:rFonts w:cs="Times New Roman"/>
        </w:rPr>
        <w:t>Shea</w:t>
      </w:r>
      <w:proofErr w:type="spellEnd"/>
      <w:r>
        <w:rPr>
          <w:rFonts w:cs="Times New Roman"/>
        </w:rPr>
        <w:t xml:space="preserve"> recognized that some officers’ responses to protestors were uncalled for, but that “e</w:t>
      </w:r>
      <w:r w:rsidRPr="001B701B">
        <w:rPr>
          <w:rFonts w:cs="Times New Roman"/>
        </w:rPr>
        <w:t>very incident has to be examined on what that officer is experiencing</w:t>
      </w:r>
      <w:r>
        <w:rPr>
          <w:rFonts w:cs="Times New Roman"/>
        </w:rPr>
        <w:t xml:space="preserve">”). For examples of things going wrong, see Dana Rubinstein &amp; Jeffrey C. Mays, </w:t>
      </w:r>
      <w:r w:rsidRPr="009D648C">
        <w:rPr>
          <w:i/>
          <w:iCs/>
        </w:rPr>
        <w:t>Police Cars Rammed Protesters. Here’s What de Blasio’s Response Tells Us.</w:t>
      </w:r>
      <w:r>
        <w:rPr>
          <w:rFonts w:cs="Times New Roman"/>
        </w:rPr>
        <w:t xml:space="preserve">, </w:t>
      </w:r>
      <w:r w:rsidRPr="009D648C">
        <w:rPr>
          <w:smallCaps/>
        </w:rPr>
        <w:t>N.Y. Times</w:t>
      </w:r>
      <w:r>
        <w:rPr>
          <w:rFonts w:cs="Times New Roman"/>
        </w:rPr>
        <w:t xml:space="preserve">, Mar. 31, 2020, </w:t>
      </w:r>
      <w:hyperlink r:id="rId45" w:history="1">
        <w:r w:rsidRPr="00C776EA">
          <w:rPr>
            <w:rStyle w:val="Hyperlink"/>
            <w:rFonts w:cs="Times New Roman"/>
          </w:rPr>
          <w:t>https://www.nytimes.com/2020/05/31/nyregion/bill-de-blasio-nypd-reform.html</w:t>
        </w:r>
      </w:hyperlink>
      <w:r>
        <w:rPr>
          <w:rFonts w:cs="Times New Roman"/>
        </w:rPr>
        <w:t xml:space="preserve"> (noting Mayor de Blasio’s difficulties in justifying “wanton” acts of police violence). On problems arising from general administrative discretion, see </w:t>
      </w:r>
      <w:r w:rsidRPr="001C6ED1">
        <w:rPr>
          <w:rFonts w:cs="Times New Roman"/>
        </w:rPr>
        <w:t xml:space="preserve">Linda R. </w:t>
      </w:r>
      <w:proofErr w:type="spellStart"/>
      <w:r w:rsidRPr="001C6ED1">
        <w:rPr>
          <w:rFonts w:cs="Times New Roman"/>
        </w:rPr>
        <w:t>Hirshman</w:t>
      </w:r>
      <w:proofErr w:type="spellEnd"/>
      <w:r w:rsidRPr="001C6ED1">
        <w:rPr>
          <w:rFonts w:cs="Times New Roman"/>
        </w:rPr>
        <w:t xml:space="preserve">, </w:t>
      </w:r>
      <w:r w:rsidRPr="009D648C">
        <w:rPr>
          <w:i/>
          <w:iCs/>
        </w:rPr>
        <w:t>Postmodern Jurisprudence and the Problem of Administrative Discretion</w:t>
      </w:r>
      <w:r w:rsidRPr="001C6ED1">
        <w:rPr>
          <w:rFonts w:cs="Times New Roman"/>
        </w:rPr>
        <w:t xml:space="preserve">, 82 </w:t>
      </w:r>
      <w:r w:rsidRPr="009D648C">
        <w:rPr>
          <w:smallCaps/>
        </w:rPr>
        <w:t xml:space="preserve">Nw. U. L. Rev. </w:t>
      </w:r>
      <w:r w:rsidRPr="001C6ED1">
        <w:rPr>
          <w:rFonts w:cs="Times New Roman"/>
        </w:rPr>
        <w:t>646</w:t>
      </w:r>
      <w:r>
        <w:rPr>
          <w:rFonts w:cs="Times New Roman"/>
        </w:rPr>
        <w:t>, 668</w:t>
      </w:r>
      <w:r w:rsidRPr="001C6ED1">
        <w:rPr>
          <w:rFonts w:cs="Times New Roman"/>
        </w:rPr>
        <w:t xml:space="preserve"> (1987-1988)</w:t>
      </w:r>
      <w:r>
        <w:rPr>
          <w:rFonts w:cs="Times New Roman"/>
        </w:rPr>
        <w:t xml:space="preserve"> (noting that the greater issues with administrative discretion are ambiguity and arbitrariness); Jessie Allen, </w:t>
      </w:r>
      <w:r>
        <w:rPr>
          <w:rFonts w:cs="Times New Roman"/>
          <w:i/>
          <w:iCs/>
        </w:rPr>
        <w:t>Documentary Disenfranchisement</w:t>
      </w:r>
      <w:r>
        <w:rPr>
          <w:rFonts w:cs="Times New Roman"/>
        </w:rPr>
        <w:t xml:space="preserve">, 86 </w:t>
      </w:r>
      <w:proofErr w:type="spellStart"/>
      <w:r w:rsidRPr="009D648C">
        <w:rPr>
          <w:smallCaps/>
        </w:rPr>
        <w:t>Tul</w:t>
      </w:r>
      <w:proofErr w:type="spellEnd"/>
      <w:r w:rsidRPr="009D648C">
        <w:rPr>
          <w:smallCaps/>
        </w:rPr>
        <w:t xml:space="preserve">. L. Rev. </w:t>
      </w:r>
      <w:r>
        <w:rPr>
          <w:rFonts w:cs="Times New Roman"/>
        </w:rPr>
        <w:t>389, 394 (noting that felony disenfranchisement becomes permanent as a result of “pure official discretion” over documentation bureaucracy).</w:t>
      </w:r>
    </w:p>
  </w:footnote>
  <w:footnote w:id="311">
    <w:p w:rsidR="007A1944" w:rsidRPr="00420399"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Pr>
          <w:rFonts w:cs="Times New Roman"/>
          <w:i/>
          <w:iCs/>
        </w:rPr>
        <w:t xml:space="preserve">See </w:t>
      </w:r>
      <w:r w:rsidRPr="00200B18">
        <w:rPr>
          <w:rFonts w:cs="Times New Roman"/>
        </w:rPr>
        <w:t xml:space="preserve">Lisa Schultz </w:t>
      </w:r>
      <w:proofErr w:type="spellStart"/>
      <w:r w:rsidRPr="00200B18">
        <w:rPr>
          <w:rFonts w:cs="Times New Roman"/>
        </w:rPr>
        <w:t>Bressman</w:t>
      </w:r>
      <w:proofErr w:type="spellEnd"/>
      <w:r w:rsidRPr="00200B18">
        <w:rPr>
          <w:rFonts w:cs="Times New Roman"/>
        </w:rPr>
        <w:t xml:space="preserve">, </w:t>
      </w:r>
      <w:r w:rsidRPr="00B5619B">
        <w:rPr>
          <w:rFonts w:cs="Times New Roman"/>
          <w:i/>
        </w:rPr>
        <w:t>Beyond Accountability: Arbitrariness and Legitimacy in the Administrative State,</w:t>
      </w:r>
      <w:r w:rsidRPr="00200B18">
        <w:rPr>
          <w:rFonts w:cs="Times New Roman"/>
        </w:rPr>
        <w:t xml:space="preserve"> 78 </w:t>
      </w:r>
      <w:r w:rsidRPr="009D648C">
        <w:rPr>
          <w:rFonts w:cs="Times New Roman"/>
          <w:smallCaps/>
        </w:rPr>
        <w:t>N.Y.U. L. Rev.</w:t>
      </w:r>
      <w:r w:rsidRPr="00200B18">
        <w:rPr>
          <w:rFonts w:cs="Times New Roman"/>
        </w:rPr>
        <w:t xml:space="preserve"> 461</w:t>
      </w:r>
      <w:r>
        <w:rPr>
          <w:rFonts w:cs="Times New Roman"/>
        </w:rPr>
        <w:t>,</w:t>
      </w:r>
      <w:r w:rsidRPr="00200B18">
        <w:rPr>
          <w:rFonts w:cs="Times New Roman"/>
        </w:rPr>
        <w:t xml:space="preserve"> </w:t>
      </w:r>
      <w:r>
        <w:rPr>
          <w:rFonts w:cs="Times New Roman"/>
        </w:rPr>
        <w:t xml:space="preserve">496 </w:t>
      </w:r>
      <w:r w:rsidRPr="00200B18">
        <w:rPr>
          <w:rFonts w:cs="Times New Roman"/>
        </w:rPr>
        <w:t>(2003</w:t>
      </w:r>
      <w:r>
        <w:rPr>
          <w:rFonts w:cs="Times New Roman"/>
        </w:rPr>
        <w:t>) (</w:t>
      </w:r>
      <w:r w:rsidR="00EE4176">
        <w:rPr>
          <w:rFonts w:cs="Times New Roman"/>
        </w:rPr>
        <w:t>concluding</w:t>
      </w:r>
      <w:r>
        <w:rPr>
          <w:rFonts w:cs="Times New Roman"/>
        </w:rPr>
        <w:t xml:space="preserve"> that </w:t>
      </w:r>
      <w:r w:rsidR="00EE4176">
        <w:rPr>
          <w:rFonts w:cs="Times New Roman"/>
        </w:rPr>
        <w:t>al</w:t>
      </w:r>
      <w:r>
        <w:rPr>
          <w:rFonts w:cs="Times New Roman"/>
        </w:rPr>
        <w:t xml:space="preserve">though administrative discretion and delegation are necessary given a scarcity of resources, an excess of discretion generates arbitrariness and may have costs for systemic legitimacy); </w:t>
      </w:r>
      <w:r w:rsidRPr="00A91825">
        <w:rPr>
          <w:rFonts w:cs="Times New Roman"/>
        </w:rPr>
        <w:t xml:space="preserve">Frank </w:t>
      </w:r>
      <w:proofErr w:type="spellStart"/>
      <w:r w:rsidRPr="00A91825">
        <w:rPr>
          <w:rFonts w:cs="Times New Roman"/>
        </w:rPr>
        <w:t>Anechiarico</w:t>
      </w:r>
      <w:proofErr w:type="spellEnd"/>
      <w:r w:rsidRPr="00A91825">
        <w:rPr>
          <w:rFonts w:cs="Times New Roman"/>
        </w:rPr>
        <w:t xml:space="preserve"> &amp; Stephen L. Lockwood, </w:t>
      </w:r>
      <w:r w:rsidRPr="009D648C">
        <w:rPr>
          <w:rFonts w:cs="Times New Roman"/>
          <w:i/>
          <w:iCs/>
        </w:rPr>
        <w:t>The Responsibility of the Police Command for Street-Level Actions</w:t>
      </w:r>
      <w:r w:rsidRPr="00A91825">
        <w:rPr>
          <w:rFonts w:cs="Times New Roman"/>
        </w:rPr>
        <w:t xml:space="preserve">, 12 </w:t>
      </w:r>
      <w:r w:rsidRPr="009D648C">
        <w:rPr>
          <w:rFonts w:cs="Times New Roman"/>
          <w:smallCaps/>
        </w:rPr>
        <w:t xml:space="preserve">Law &amp; </w:t>
      </w:r>
      <w:proofErr w:type="spellStart"/>
      <w:r w:rsidRPr="009D648C">
        <w:rPr>
          <w:rFonts w:cs="Times New Roman"/>
          <w:smallCaps/>
        </w:rPr>
        <w:t>Pol'y</w:t>
      </w:r>
      <w:proofErr w:type="spellEnd"/>
      <w:r w:rsidRPr="00A91825">
        <w:rPr>
          <w:rFonts w:cs="Times New Roman"/>
        </w:rPr>
        <w:t xml:space="preserve"> 331 (1990)</w:t>
      </w:r>
      <w:r>
        <w:rPr>
          <w:rFonts w:cs="Times New Roman"/>
        </w:rPr>
        <w:t xml:space="preserve"> (noting the obstacles to formulating a clearer standard of accountable discretion in street-level policing).</w:t>
      </w:r>
    </w:p>
    <w:p w:rsidR="007A1944" w:rsidRPr="00F259BB" w:rsidRDefault="007A1944" w:rsidP="00757A10">
      <w:pPr>
        <w:pStyle w:val="FootnoteText"/>
        <w:rPr>
          <w:rFonts w:cs="Times New Roman"/>
        </w:rPr>
      </w:pPr>
    </w:p>
  </w:footnote>
  <w:footnote w:id="312">
    <w:p w:rsidR="007A1944" w:rsidRPr="00F259BB"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Pr>
          <w:rFonts w:cs="Times New Roman"/>
        </w:rPr>
        <w:t xml:space="preserve">Harlow v. Fitzgerald, </w:t>
      </w:r>
      <w:r w:rsidRPr="009D648C">
        <w:rPr>
          <w:rFonts w:cs="Times New Roman"/>
        </w:rPr>
        <w:t>457 U.S. 800</w:t>
      </w:r>
      <w:r>
        <w:rPr>
          <w:rFonts w:cs="Times New Roman"/>
        </w:rPr>
        <w:t>, 800</w:t>
      </w:r>
      <w:r w:rsidRPr="009D648C">
        <w:rPr>
          <w:rFonts w:cs="Times New Roman"/>
        </w:rPr>
        <w:t xml:space="preserve"> (1982)</w:t>
      </w:r>
      <w:r>
        <w:rPr>
          <w:rFonts w:cs="Times New Roman"/>
        </w:rPr>
        <w:t xml:space="preserve"> (upholding qualified immunity for high government officials). </w:t>
      </w:r>
      <w:r>
        <w:rPr>
          <w:rFonts w:cs="Times New Roman"/>
          <w:i/>
          <w:iCs/>
        </w:rPr>
        <w:t xml:space="preserve">See </w:t>
      </w:r>
      <w:r>
        <w:rPr>
          <w:rFonts w:cs="Times New Roman"/>
        </w:rPr>
        <w:t xml:space="preserve">Ruth Marcus, </w:t>
      </w:r>
      <w:r w:rsidRPr="009D648C">
        <w:rPr>
          <w:rFonts w:cs="Times New Roman"/>
          <w:i/>
          <w:iCs/>
        </w:rPr>
        <w:t>The Supreme Court Invented Qualified Immunity. Now, a Judge’s Blistering Opinion Shows Why It Must Go</w:t>
      </w:r>
      <w:r w:rsidRPr="009D648C">
        <w:rPr>
          <w:rFonts w:cs="Times New Roman"/>
        </w:rPr>
        <w:t>.</w:t>
      </w:r>
      <w:r>
        <w:rPr>
          <w:rFonts w:cs="Times New Roman"/>
        </w:rPr>
        <w:t xml:space="preserve">, </w:t>
      </w:r>
      <w:r w:rsidRPr="009D648C">
        <w:rPr>
          <w:rFonts w:cs="Times New Roman"/>
          <w:smallCaps/>
        </w:rPr>
        <w:t>Wash. Post</w:t>
      </w:r>
      <w:r>
        <w:rPr>
          <w:rFonts w:cs="Times New Roman"/>
        </w:rPr>
        <w:t xml:space="preserve"> (Aug. 5, 2020 6:22 PM), </w:t>
      </w:r>
      <w:hyperlink r:id="rId46" w:history="1">
        <w:r w:rsidRPr="009D648C">
          <w:rPr>
            <w:rStyle w:val="Hyperlink"/>
            <w:rFonts w:cs="Times New Roman"/>
          </w:rPr>
          <w:t>https://www.washingtonpost.com/opinions/the-supreme-court-invented-qualified-immunity-now-a-judges-blistering-opinion-shows-why-it-must-go/2020/08/05/f72778e6-d74a-11ea-930e-d88518c57dcc_story.html</w:t>
        </w:r>
      </w:hyperlink>
      <w:r>
        <w:rPr>
          <w:rFonts w:cs="Times New Roman"/>
        </w:rPr>
        <w:t xml:space="preserve">. </w:t>
      </w:r>
    </w:p>
    <w:p w:rsidR="007A1944" w:rsidRPr="00F259BB" w:rsidRDefault="007A1944" w:rsidP="00757A10">
      <w:pPr>
        <w:pStyle w:val="FootnoteText"/>
        <w:rPr>
          <w:rFonts w:cs="Times New Roman"/>
        </w:rPr>
      </w:pPr>
    </w:p>
  </w:footnote>
  <w:footnote w:id="313">
    <w:p w:rsidR="006536F2" w:rsidRDefault="006536F2">
      <w:pPr>
        <w:pStyle w:val="FootnoteText"/>
      </w:pPr>
      <w:r>
        <w:rPr>
          <w:rStyle w:val="FootnoteReference"/>
        </w:rPr>
        <w:footnoteRef/>
      </w:r>
      <w:r>
        <w:t xml:space="preserve"> RA* </w:t>
      </w:r>
      <w:proofErr w:type="spellStart"/>
      <w:r>
        <w:t>pls</w:t>
      </w:r>
      <w:proofErr w:type="spellEnd"/>
      <w:r>
        <w:t xml:space="preserve"> cite my fixing law reviews article on my </w:t>
      </w:r>
      <w:proofErr w:type="spellStart"/>
      <w:r>
        <w:t>nyu</w:t>
      </w:r>
      <w:proofErr w:type="spellEnd"/>
      <w:r>
        <w:t xml:space="preserve"> website/publications</w:t>
      </w:r>
    </w:p>
  </w:footnote>
  <w:footnote w:id="314">
    <w:p w:rsidR="007A1944" w:rsidRPr="00FC51A4"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Pr>
          <w:rFonts w:cs="Times New Roman"/>
          <w:i/>
          <w:iCs/>
        </w:rPr>
        <w:t>See, e.g.</w:t>
      </w:r>
      <w:r>
        <w:rPr>
          <w:rFonts w:cs="Times New Roman"/>
        </w:rPr>
        <w:t xml:space="preserve">, The Associated Press, </w:t>
      </w:r>
      <w:r>
        <w:rPr>
          <w:rFonts w:cs="Times New Roman"/>
          <w:i/>
          <w:iCs/>
        </w:rPr>
        <w:t>Proposal to Disband Minneapolis Police Blocked</w:t>
      </w:r>
      <w:r>
        <w:rPr>
          <w:rFonts w:cs="Times New Roman"/>
        </w:rPr>
        <w:t xml:space="preserve">, </w:t>
      </w:r>
      <w:r w:rsidRPr="001732EF">
        <w:rPr>
          <w:rFonts w:cs="Times New Roman"/>
          <w:smallCaps/>
        </w:rPr>
        <w:t>N.Y. Times</w:t>
      </w:r>
      <w:r>
        <w:rPr>
          <w:rFonts w:cs="Times New Roman"/>
        </w:rPr>
        <w:t xml:space="preserve"> (Aug. 4, 2020), </w:t>
      </w:r>
      <w:hyperlink r:id="rId47" w:history="1">
        <w:r w:rsidRPr="00BA24AE">
          <w:rPr>
            <w:rStyle w:val="Hyperlink"/>
            <w:rFonts w:cs="Times New Roman"/>
          </w:rPr>
          <w:t>https://www.nytimes.com/aponline/2020/08/04/us/ap-us-george-floyd-minneapolis-police.html</w:t>
        </w:r>
      </w:hyperlink>
      <w:r>
        <w:rPr>
          <w:rFonts w:cs="Times New Roman"/>
        </w:rPr>
        <w:t xml:space="preserve"> (describing the proposed amendment to disband the Minneapolis Police Department and replace it with a “Department of Community Safety and Violence Prevention”); Joseph Goldstein and Kevin Armstrong, </w:t>
      </w:r>
      <w:r>
        <w:rPr>
          <w:rFonts w:cs="Times New Roman"/>
          <w:i/>
          <w:iCs/>
        </w:rPr>
        <w:t>Could This City Hold the Key to the Future of Policing in America?</w:t>
      </w:r>
      <w:r>
        <w:rPr>
          <w:rFonts w:cs="Times New Roman"/>
        </w:rPr>
        <w:t xml:space="preserve">, </w:t>
      </w:r>
      <w:r w:rsidRPr="001732EF">
        <w:rPr>
          <w:rFonts w:cs="Times New Roman"/>
          <w:smallCaps/>
        </w:rPr>
        <w:t>N.Y. Times</w:t>
      </w:r>
      <w:r>
        <w:rPr>
          <w:rFonts w:cs="Times New Roman"/>
        </w:rPr>
        <w:t xml:space="preserve"> (July 12, 2020), </w:t>
      </w:r>
      <w:hyperlink r:id="rId48" w:history="1">
        <w:r w:rsidRPr="00975E19">
          <w:rPr>
            <w:rStyle w:val="Hyperlink"/>
            <w:rFonts w:cs="Times New Roman"/>
          </w:rPr>
          <w:t>https://www.nytimes.com/2020/07/12/nyregion/camden-police.html</w:t>
        </w:r>
      </w:hyperlink>
      <w:r>
        <w:rPr>
          <w:rFonts w:cs="Times New Roman"/>
        </w:rPr>
        <w:t xml:space="preserve"> (“</w:t>
      </w:r>
      <w:r w:rsidRPr="00CB6DC3">
        <w:rPr>
          <w:rFonts w:cs="Times New Roman"/>
        </w:rPr>
        <w:t>In Albuquerque, N.M. a plan is underway to reduce the role of the police in calls involving homelessness, addiction and mental health problems.</w:t>
      </w:r>
      <w:r>
        <w:rPr>
          <w:rFonts w:cs="Times New Roman"/>
        </w:rPr>
        <w:t xml:space="preserve">”); David </w:t>
      </w:r>
      <w:proofErr w:type="spellStart"/>
      <w:r>
        <w:rPr>
          <w:rFonts w:cs="Times New Roman"/>
        </w:rPr>
        <w:t>Zahniser</w:t>
      </w:r>
      <w:proofErr w:type="spellEnd"/>
      <w:r>
        <w:rPr>
          <w:rFonts w:cs="Times New Roman"/>
        </w:rPr>
        <w:t xml:space="preserve"> et al, </w:t>
      </w:r>
      <w:r>
        <w:rPr>
          <w:rFonts w:cs="Times New Roman"/>
          <w:i/>
          <w:iCs/>
        </w:rPr>
        <w:t xml:space="preserve">Los Angeles Cuts LAPD Spending, Taking Police Staffing to Its Lowest Level in 12 Years, </w:t>
      </w:r>
      <w:r w:rsidRPr="001732EF">
        <w:rPr>
          <w:rFonts w:cs="Times New Roman"/>
          <w:smallCaps/>
        </w:rPr>
        <w:t>L.A. Times</w:t>
      </w:r>
      <w:r>
        <w:rPr>
          <w:rFonts w:cs="Times New Roman"/>
        </w:rPr>
        <w:t xml:space="preserve"> (July 1, 2020), </w:t>
      </w:r>
      <w:r w:rsidRPr="00FC51A4">
        <w:rPr>
          <w:rFonts w:cs="Times New Roman"/>
        </w:rPr>
        <w:t xml:space="preserve">https://www.latimes.com/california/story/2020-07-01/lapd-budget-cuts-protesters-police-brutality </w:t>
      </w:r>
      <w:r>
        <w:rPr>
          <w:rFonts w:cs="Times New Roman"/>
        </w:rPr>
        <w:t>(reporting that two thirds of Los Angeles’ $150 million police budget cut would be “</w:t>
      </w:r>
      <w:r w:rsidRPr="00FC51A4">
        <w:rPr>
          <w:rFonts w:cs="Times New Roman"/>
        </w:rPr>
        <w:t>funneled into services for Black, Latino and disenfranchised communities, such as hiring programs and summer youth jobs</w:t>
      </w:r>
      <w:r>
        <w:rPr>
          <w:rFonts w:cs="Times New Roman"/>
        </w:rPr>
        <w:t xml:space="preserve">”); Ken </w:t>
      </w:r>
      <w:proofErr w:type="spellStart"/>
      <w:r>
        <w:rPr>
          <w:rFonts w:cs="Times New Roman"/>
        </w:rPr>
        <w:t>Kalthoff</w:t>
      </w:r>
      <w:proofErr w:type="spellEnd"/>
      <w:r>
        <w:rPr>
          <w:rFonts w:cs="Times New Roman"/>
        </w:rPr>
        <w:t xml:space="preserve">, </w:t>
      </w:r>
      <w:r>
        <w:rPr>
          <w:rFonts w:cs="Times New Roman"/>
          <w:i/>
          <w:iCs/>
        </w:rPr>
        <w:t>Dallas Budget Plan Juggles Public Safety and Calls for Defunding Police</w:t>
      </w:r>
      <w:r>
        <w:rPr>
          <w:rFonts w:cs="Times New Roman"/>
        </w:rPr>
        <w:t xml:space="preserve">, NBC-DFW (Aug. 7, 2020), </w:t>
      </w:r>
      <w:hyperlink r:id="rId49" w:history="1">
        <w:r w:rsidRPr="00975E19">
          <w:rPr>
            <w:rStyle w:val="Hyperlink"/>
            <w:rFonts w:cs="Times New Roman"/>
          </w:rPr>
          <w:t>https://www.nbcdfw.com/news/local/dallas-budget-plan-juggles-public-safety-and-calls-for-defunding-police/2422298/</w:t>
        </w:r>
      </w:hyperlink>
      <w:r>
        <w:rPr>
          <w:rFonts w:cs="Times New Roman"/>
        </w:rPr>
        <w:t xml:space="preserve"> (reporting that Dallas’ proposed 2020-2021 budget substantially reduces police funding, while increasing mental health and drug addiction response funding). </w:t>
      </w:r>
      <w:r w:rsidR="006536F2">
        <w:rPr>
          <w:rFonts w:cs="Times New Roman"/>
        </w:rPr>
        <w:t xml:space="preserve">RA* can you </w:t>
      </w:r>
      <w:r w:rsidR="005F70F3">
        <w:rPr>
          <w:rFonts w:cs="Times New Roman"/>
        </w:rPr>
        <w:t xml:space="preserve">substitute </w:t>
      </w:r>
      <w:proofErr w:type="spellStart"/>
      <w:r w:rsidR="005F70F3">
        <w:rPr>
          <w:rFonts w:cs="Times New Roman"/>
        </w:rPr>
        <w:t>dallas</w:t>
      </w:r>
      <w:proofErr w:type="spellEnd"/>
      <w:r w:rsidR="005F70F3">
        <w:rPr>
          <w:rFonts w:cs="Times New Roman"/>
        </w:rPr>
        <w:t xml:space="preserve"> for SF and find article on alternatives to police response?</w:t>
      </w:r>
    </w:p>
  </w:footnote>
  <w:footnote w:id="315">
    <w:p w:rsidR="007A1944" w:rsidRPr="001732EF" w:rsidRDefault="007A1944" w:rsidP="00757A10">
      <w:pPr>
        <w:pStyle w:val="FootnoteText"/>
        <w:rPr>
          <w:rFonts w:cs="Times New Roman"/>
        </w:rPr>
      </w:pPr>
      <w:r w:rsidRPr="00F259BB">
        <w:rPr>
          <w:rStyle w:val="FootnoteReference"/>
          <w:rFonts w:cs="Times New Roman"/>
        </w:rPr>
        <w:footnoteRef/>
      </w:r>
      <w:r w:rsidRPr="00F259BB">
        <w:rPr>
          <w:rFonts w:cs="Times New Roman"/>
        </w:rPr>
        <w:t xml:space="preserve"> </w:t>
      </w:r>
      <w:r>
        <w:rPr>
          <w:rFonts w:cs="Times New Roman"/>
          <w:i/>
          <w:iCs/>
        </w:rPr>
        <w:t>See, e.g.</w:t>
      </w:r>
      <w:r>
        <w:rPr>
          <w:rFonts w:cs="Times New Roman"/>
        </w:rPr>
        <w:t xml:space="preserve">, </w:t>
      </w:r>
      <w:r w:rsidRPr="00172C95">
        <w:rPr>
          <w:rFonts w:cs="Times New Roman"/>
        </w:rPr>
        <w:t xml:space="preserve">Stephen </w:t>
      </w:r>
      <w:proofErr w:type="spellStart"/>
      <w:r w:rsidRPr="00172C95">
        <w:rPr>
          <w:rFonts w:cs="Times New Roman"/>
        </w:rPr>
        <w:t>Rushin</w:t>
      </w:r>
      <w:proofErr w:type="spellEnd"/>
      <w:r w:rsidRPr="00172C95">
        <w:rPr>
          <w:rFonts w:cs="Times New Roman"/>
        </w:rPr>
        <w:t xml:space="preserve"> &amp; Roger Michalski, </w:t>
      </w:r>
      <w:r w:rsidRPr="00172C95">
        <w:rPr>
          <w:rFonts w:cs="Times New Roman"/>
          <w:i/>
          <w:iCs/>
        </w:rPr>
        <w:t>Police Funding</w:t>
      </w:r>
      <w:r w:rsidRPr="00172C95">
        <w:rPr>
          <w:rFonts w:cs="Times New Roman"/>
        </w:rPr>
        <w:t xml:space="preserve">, 72 </w:t>
      </w:r>
      <w:r w:rsidRPr="00172C95">
        <w:rPr>
          <w:rFonts w:cs="Times New Roman"/>
          <w:smallCaps/>
        </w:rPr>
        <w:t>Fla. L. Rev.</w:t>
      </w:r>
      <w:r w:rsidRPr="00172C95">
        <w:rPr>
          <w:rFonts w:cs="Times New Roman"/>
        </w:rPr>
        <w:t xml:space="preserve"> 277 (2020)</w:t>
      </w:r>
      <w:r>
        <w:rPr>
          <w:rFonts w:cs="Times New Roman"/>
        </w:rPr>
        <w:t xml:space="preserve"> (concluding that, contrary to the calls of many advocates, police budget increases in communities of color could help to curb police violence and crime); Jeffrey C. Mays, </w:t>
      </w:r>
      <w:r>
        <w:rPr>
          <w:rFonts w:cs="Times New Roman"/>
          <w:i/>
          <w:iCs/>
        </w:rPr>
        <w:t>Who Opposes Defunding the N.Y.P.D.? These Black Lawmakers</w:t>
      </w:r>
      <w:r>
        <w:rPr>
          <w:rFonts w:cs="Times New Roman"/>
        </w:rPr>
        <w:t xml:space="preserve">, </w:t>
      </w:r>
      <w:r w:rsidRPr="001732EF">
        <w:rPr>
          <w:rFonts w:cs="Times New Roman"/>
          <w:smallCaps/>
        </w:rPr>
        <w:t>N.Y. Times</w:t>
      </w:r>
      <w:r>
        <w:rPr>
          <w:rFonts w:cs="Times New Roman"/>
        </w:rPr>
        <w:t xml:space="preserve"> (Aug. 10, 2020), </w:t>
      </w:r>
      <w:hyperlink r:id="rId50" w:history="1">
        <w:r w:rsidRPr="00975E19">
          <w:rPr>
            <w:rStyle w:val="Hyperlink"/>
            <w:rFonts w:cs="Times New Roman"/>
          </w:rPr>
          <w:t>https://www.nytimes.com/2020/08/10/nyregion/defund-police-nyc-council.html</w:t>
        </w:r>
      </w:hyperlink>
      <w:r>
        <w:rPr>
          <w:rFonts w:cs="Times New Roman"/>
        </w:rPr>
        <w:t xml:space="preserve"> (“</w:t>
      </w:r>
      <w:r w:rsidRPr="00917363">
        <w:rPr>
          <w:rFonts w:cs="Times New Roman"/>
        </w:rPr>
        <w:t xml:space="preserve">Several Black City Council members have lashed out at progressives, comparing calls to defund the police to </w:t>
      </w:r>
      <w:r>
        <w:rPr>
          <w:rFonts w:cs="Times New Roman"/>
        </w:rPr>
        <w:t>‘</w:t>
      </w:r>
      <w:r w:rsidRPr="00917363">
        <w:rPr>
          <w:rFonts w:cs="Times New Roman"/>
        </w:rPr>
        <w:t>colonization</w:t>
      </w:r>
      <w:r>
        <w:rPr>
          <w:rFonts w:cs="Times New Roman"/>
        </w:rPr>
        <w:t>’</w:t>
      </w:r>
      <w:r w:rsidRPr="00917363">
        <w:rPr>
          <w:rFonts w:cs="Times New Roman"/>
        </w:rPr>
        <w:t xml:space="preserve"> and </w:t>
      </w:r>
      <w:r>
        <w:rPr>
          <w:rFonts w:cs="Times New Roman"/>
        </w:rPr>
        <w:t>‘</w:t>
      </w:r>
      <w:r w:rsidRPr="00917363">
        <w:rPr>
          <w:rFonts w:cs="Times New Roman"/>
        </w:rPr>
        <w:t>political gentrification.</w:t>
      </w:r>
      <w:r>
        <w:rPr>
          <w:rFonts w:cs="Times New Roman"/>
        </w:rPr>
        <w:t>’”)</w:t>
      </w:r>
      <w:r w:rsidR="005F70F3">
        <w:rPr>
          <w:rFonts w:cs="Times New Roman"/>
        </w:rPr>
        <w:t xml:space="preserve">; RA* find article about </w:t>
      </w:r>
      <w:proofErr w:type="spellStart"/>
      <w:r w:rsidR="005F70F3">
        <w:rPr>
          <w:rFonts w:cs="Times New Roman"/>
        </w:rPr>
        <w:t>Mpls</w:t>
      </w:r>
      <w:proofErr w:type="spellEnd"/>
      <w:r w:rsidR="005F70F3">
        <w:rPr>
          <w:rFonts w:cs="Times New Roman"/>
        </w:rPr>
        <w:t xml:space="preserve"> backtracking on ideas</w:t>
      </w:r>
      <w:r>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944" w:rsidRDefault="007A1944" w:rsidP="00F92819">
    <w:pPr>
      <w:pStyle w:val="Header"/>
    </w:pPr>
    <w:r>
      <w:t>Barry Friedman</w:t>
    </w:r>
    <w:r>
      <w:tab/>
      <w:t xml:space="preserve">Public Safety </w:t>
    </w:r>
    <w:r w:rsidR="00436D6D">
      <w:t>Jan 2021</w:t>
    </w:r>
    <w:r>
      <w:tab/>
      <w:t>Draft: Please do not share or cite</w:t>
    </w:r>
  </w:p>
  <w:p w:rsidR="007A1944" w:rsidRDefault="007A1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4DFD"/>
    <w:multiLevelType w:val="multilevel"/>
    <w:tmpl w:val="6D3A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1F"/>
    <w:rsid w:val="0002039F"/>
    <w:rsid w:val="00025ABC"/>
    <w:rsid w:val="00040F7B"/>
    <w:rsid w:val="00042411"/>
    <w:rsid w:val="00043DC5"/>
    <w:rsid w:val="00091C88"/>
    <w:rsid w:val="00094E72"/>
    <w:rsid w:val="000A42DB"/>
    <w:rsid w:val="000C792B"/>
    <w:rsid w:val="000D6B0A"/>
    <w:rsid w:val="000D73EE"/>
    <w:rsid w:val="000E245D"/>
    <w:rsid w:val="00111E0F"/>
    <w:rsid w:val="00114F2F"/>
    <w:rsid w:val="001277BB"/>
    <w:rsid w:val="00133F8A"/>
    <w:rsid w:val="001617D5"/>
    <w:rsid w:val="0016536B"/>
    <w:rsid w:val="001655D4"/>
    <w:rsid w:val="00166271"/>
    <w:rsid w:val="001677C9"/>
    <w:rsid w:val="001760CA"/>
    <w:rsid w:val="0018229D"/>
    <w:rsid w:val="00184909"/>
    <w:rsid w:val="00193954"/>
    <w:rsid w:val="00195DFB"/>
    <w:rsid w:val="001B55C1"/>
    <w:rsid w:val="001D233D"/>
    <w:rsid w:val="001E03B4"/>
    <w:rsid w:val="00200540"/>
    <w:rsid w:val="002032E0"/>
    <w:rsid w:val="00205581"/>
    <w:rsid w:val="00227C47"/>
    <w:rsid w:val="00230170"/>
    <w:rsid w:val="00243816"/>
    <w:rsid w:val="002521D2"/>
    <w:rsid w:val="00257103"/>
    <w:rsid w:val="00262FB6"/>
    <w:rsid w:val="00263794"/>
    <w:rsid w:val="00273201"/>
    <w:rsid w:val="002864C9"/>
    <w:rsid w:val="00287EB4"/>
    <w:rsid w:val="002A1D56"/>
    <w:rsid w:val="002B21C9"/>
    <w:rsid w:val="002C4256"/>
    <w:rsid w:val="002C4624"/>
    <w:rsid w:val="002D05F3"/>
    <w:rsid w:val="002E559E"/>
    <w:rsid w:val="002E6625"/>
    <w:rsid w:val="00304F5E"/>
    <w:rsid w:val="003115E1"/>
    <w:rsid w:val="0031391C"/>
    <w:rsid w:val="00321164"/>
    <w:rsid w:val="0032198A"/>
    <w:rsid w:val="00327FF9"/>
    <w:rsid w:val="00336E0E"/>
    <w:rsid w:val="00336F43"/>
    <w:rsid w:val="00350453"/>
    <w:rsid w:val="00360284"/>
    <w:rsid w:val="00372E0D"/>
    <w:rsid w:val="00373A64"/>
    <w:rsid w:val="00377BC7"/>
    <w:rsid w:val="003B12E5"/>
    <w:rsid w:val="003C3818"/>
    <w:rsid w:val="003D5C88"/>
    <w:rsid w:val="003E28B5"/>
    <w:rsid w:val="003E4E74"/>
    <w:rsid w:val="003F06A0"/>
    <w:rsid w:val="003F3D06"/>
    <w:rsid w:val="003F5D1E"/>
    <w:rsid w:val="003F7D4B"/>
    <w:rsid w:val="00404BCD"/>
    <w:rsid w:val="00413CEC"/>
    <w:rsid w:val="004259F8"/>
    <w:rsid w:val="00425A52"/>
    <w:rsid w:val="00426360"/>
    <w:rsid w:val="00427546"/>
    <w:rsid w:val="00434F4E"/>
    <w:rsid w:val="00436D6D"/>
    <w:rsid w:val="00440D49"/>
    <w:rsid w:val="00441A2B"/>
    <w:rsid w:val="00456804"/>
    <w:rsid w:val="00463EFE"/>
    <w:rsid w:val="00466AD6"/>
    <w:rsid w:val="0049551F"/>
    <w:rsid w:val="004B6C71"/>
    <w:rsid w:val="004B73FE"/>
    <w:rsid w:val="004C21D0"/>
    <w:rsid w:val="004C244D"/>
    <w:rsid w:val="004C3CBC"/>
    <w:rsid w:val="004C412F"/>
    <w:rsid w:val="004C4A4D"/>
    <w:rsid w:val="004D5CC0"/>
    <w:rsid w:val="004E04DD"/>
    <w:rsid w:val="004F0DFA"/>
    <w:rsid w:val="00530A2D"/>
    <w:rsid w:val="00533E35"/>
    <w:rsid w:val="00537C12"/>
    <w:rsid w:val="00541BA1"/>
    <w:rsid w:val="00581459"/>
    <w:rsid w:val="00593183"/>
    <w:rsid w:val="0059349E"/>
    <w:rsid w:val="005A5CD9"/>
    <w:rsid w:val="005B1095"/>
    <w:rsid w:val="005B2BB4"/>
    <w:rsid w:val="005B64C8"/>
    <w:rsid w:val="005D30F0"/>
    <w:rsid w:val="005E5F66"/>
    <w:rsid w:val="005F042B"/>
    <w:rsid w:val="005F70F3"/>
    <w:rsid w:val="00600C21"/>
    <w:rsid w:val="00614C3A"/>
    <w:rsid w:val="00616E5B"/>
    <w:rsid w:val="00621D13"/>
    <w:rsid w:val="00624A30"/>
    <w:rsid w:val="006414F6"/>
    <w:rsid w:val="00644354"/>
    <w:rsid w:val="00645E48"/>
    <w:rsid w:val="00650F8F"/>
    <w:rsid w:val="006536F2"/>
    <w:rsid w:val="00664454"/>
    <w:rsid w:val="00664776"/>
    <w:rsid w:val="00676766"/>
    <w:rsid w:val="00683388"/>
    <w:rsid w:val="006B0C5F"/>
    <w:rsid w:val="006B1468"/>
    <w:rsid w:val="006D475F"/>
    <w:rsid w:val="006D4F19"/>
    <w:rsid w:val="006E1B7D"/>
    <w:rsid w:val="006F2108"/>
    <w:rsid w:val="006F7788"/>
    <w:rsid w:val="00705946"/>
    <w:rsid w:val="007277F9"/>
    <w:rsid w:val="00735ED7"/>
    <w:rsid w:val="00736715"/>
    <w:rsid w:val="007370D1"/>
    <w:rsid w:val="00750901"/>
    <w:rsid w:val="00750AD7"/>
    <w:rsid w:val="00757A10"/>
    <w:rsid w:val="00775B10"/>
    <w:rsid w:val="007824F5"/>
    <w:rsid w:val="007858D2"/>
    <w:rsid w:val="007A1944"/>
    <w:rsid w:val="007A1C54"/>
    <w:rsid w:val="007C0F11"/>
    <w:rsid w:val="007E68DE"/>
    <w:rsid w:val="007F4E84"/>
    <w:rsid w:val="00807645"/>
    <w:rsid w:val="008229A1"/>
    <w:rsid w:val="00824EA3"/>
    <w:rsid w:val="008343C1"/>
    <w:rsid w:val="00835BE0"/>
    <w:rsid w:val="00854FEC"/>
    <w:rsid w:val="00876140"/>
    <w:rsid w:val="008763BE"/>
    <w:rsid w:val="00877EB8"/>
    <w:rsid w:val="008837C8"/>
    <w:rsid w:val="0088478D"/>
    <w:rsid w:val="00885EB6"/>
    <w:rsid w:val="00895A2E"/>
    <w:rsid w:val="00895ED8"/>
    <w:rsid w:val="008978BA"/>
    <w:rsid w:val="00897EC7"/>
    <w:rsid w:val="008A6689"/>
    <w:rsid w:val="008C3BDD"/>
    <w:rsid w:val="008D1D1C"/>
    <w:rsid w:val="008E0AEC"/>
    <w:rsid w:val="008E6C06"/>
    <w:rsid w:val="00905B00"/>
    <w:rsid w:val="00913CE7"/>
    <w:rsid w:val="00921A49"/>
    <w:rsid w:val="0093644A"/>
    <w:rsid w:val="009403DA"/>
    <w:rsid w:val="00944A71"/>
    <w:rsid w:val="0094658B"/>
    <w:rsid w:val="00947288"/>
    <w:rsid w:val="009662D4"/>
    <w:rsid w:val="0098011E"/>
    <w:rsid w:val="00996097"/>
    <w:rsid w:val="009B23E8"/>
    <w:rsid w:val="009B442D"/>
    <w:rsid w:val="009D214D"/>
    <w:rsid w:val="009E329C"/>
    <w:rsid w:val="009F178A"/>
    <w:rsid w:val="009F530D"/>
    <w:rsid w:val="009F7D16"/>
    <w:rsid w:val="00A1415A"/>
    <w:rsid w:val="00A36613"/>
    <w:rsid w:val="00A404E4"/>
    <w:rsid w:val="00A53944"/>
    <w:rsid w:val="00A715B2"/>
    <w:rsid w:val="00A7630F"/>
    <w:rsid w:val="00A83692"/>
    <w:rsid w:val="00AA2ABF"/>
    <w:rsid w:val="00AB238C"/>
    <w:rsid w:val="00AD41D4"/>
    <w:rsid w:val="00B1487D"/>
    <w:rsid w:val="00B16DB8"/>
    <w:rsid w:val="00B2618A"/>
    <w:rsid w:val="00B33B7F"/>
    <w:rsid w:val="00B3700F"/>
    <w:rsid w:val="00B47CA3"/>
    <w:rsid w:val="00B52AED"/>
    <w:rsid w:val="00B54F6F"/>
    <w:rsid w:val="00B5619B"/>
    <w:rsid w:val="00B624CB"/>
    <w:rsid w:val="00B649CB"/>
    <w:rsid w:val="00B700E3"/>
    <w:rsid w:val="00B73B63"/>
    <w:rsid w:val="00B74101"/>
    <w:rsid w:val="00B80332"/>
    <w:rsid w:val="00B83D5E"/>
    <w:rsid w:val="00B9537E"/>
    <w:rsid w:val="00BC088B"/>
    <w:rsid w:val="00BC1BE5"/>
    <w:rsid w:val="00BC3162"/>
    <w:rsid w:val="00BE735D"/>
    <w:rsid w:val="00C01143"/>
    <w:rsid w:val="00C03F76"/>
    <w:rsid w:val="00C07341"/>
    <w:rsid w:val="00C211E8"/>
    <w:rsid w:val="00C3502A"/>
    <w:rsid w:val="00C378DF"/>
    <w:rsid w:val="00C40596"/>
    <w:rsid w:val="00C422B5"/>
    <w:rsid w:val="00C4298B"/>
    <w:rsid w:val="00C62B73"/>
    <w:rsid w:val="00C648CB"/>
    <w:rsid w:val="00C73485"/>
    <w:rsid w:val="00C811BA"/>
    <w:rsid w:val="00C837EC"/>
    <w:rsid w:val="00CA1F67"/>
    <w:rsid w:val="00CA5D59"/>
    <w:rsid w:val="00CB450B"/>
    <w:rsid w:val="00CB5061"/>
    <w:rsid w:val="00CB6CC4"/>
    <w:rsid w:val="00CC50F1"/>
    <w:rsid w:val="00CE0658"/>
    <w:rsid w:val="00CE1D66"/>
    <w:rsid w:val="00CE5380"/>
    <w:rsid w:val="00CF7547"/>
    <w:rsid w:val="00D11762"/>
    <w:rsid w:val="00D165FB"/>
    <w:rsid w:val="00D25CCD"/>
    <w:rsid w:val="00D43B60"/>
    <w:rsid w:val="00D66BBE"/>
    <w:rsid w:val="00D75EE2"/>
    <w:rsid w:val="00DA6221"/>
    <w:rsid w:val="00DC000A"/>
    <w:rsid w:val="00DC2259"/>
    <w:rsid w:val="00DC347B"/>
    <w:rsid w:val="00DD4E7E"/>
    <w:rsid w:val="00DD7A9F"/>
    <w:rsid w:val="00DE494E"/>
    <w:rsid w:val="00DF7AD7"/>
    <w:rsid w:val="00E20540"/>
    <w:rsid w:val="00E34020"/>
    <w:rsid w:val="00E3715D"/>
    <w:rsid w:val="00E376B0"/>
    <w:rsid w:val="00E579B8"/>
    <w:rsid w:val="00E655BF"/>
    <w:rsid w:val="00E675C1"/>
    <w:rsid w:val="00E75603"/>
    <w:rsid w:val="00E759F1"/>
    <w:rsid w:val="00E85CCA"/>
    <w:rsid w:val="00E86005"/>
    <w:rsid w:val="00EA0CD1"/>
    <w:rsid w:val="00EB0B64"/>
    <w:rsid w:val="00EB3A82"/>
    <w:rsid w:val="00EB57C6"/>
    <w:rsid w:val="00EC22F9"/>
    <w:rsid w:val="00ED2F47"/>
    <w:rsid w:val="00ED56D7"/>
    <w:rsid w:val="00EE4176"/>
    <w:rsid w:val="00EF5393"/>
    <w:rsid w:val="00EF56D7"/>
    <w:rsid w:val="00F341B9"/>
    <w:rsid w:val="00F34331"/>
    <w:rsid w:val="00F557AA"/>
    <w:rsid w:val="00F55A80"/>
    <w:rsid w:val="00F63E16"/>
    <w:rsid w:val="00F64AE5"/>
    <w:rsid w:val="00F65F85"/>
    <w:rsid w:val="00F91ED6"/>
    <w:rsid w:val="00F92819"/>
    <w:rsid w:val="00F9390D"/>
    <w:rsid w:val="00F96742"/>
    <w:rsid w:val="00FA6319"/>
    <w:rsid w:val="00FB4807"/>
    <w:rsid w:val="00FB61E4"/>
    <w:rsid w:val="00FC7053"/>
    <w:rsid w:val="00FD3AA0"/>
    <w:rsid w:val="00FE0982"/>
    <w:rsid w:val="00FE377E"/>
    <w:rsid w:val="00FE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82A3"/>
  <w15:chartTrackingRefBased/>
  <w15:docId w15:val="{575A3539-4D81-46ED-BA82-76BD4943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51F"/>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413C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47288"/>
    <w:rPr>
      <w:sz w:val="20"/>
    </w:rPr>
  </w:style>
  <w:style w:type="character" w:customStyle="1" w:styleId="FootnoteTextChar">
    <w:name w:val="Footnote Text Char"/>
    <w:basedOn w:val="DefaultParagraphFont"/>
    <w:link w:val="FootnoteText"/>
    <w:uiPriority w:val="99"/>
    <w:rsid w:val="00947288"/>
    <w:rPr>
      <w:rFonts w:ascii="Times New Roman" w:hAnsi="Times New Roman"/>
      <w:sz w:val="20"/>
      <w:szCs w:val="24"/>
    </w:rPr>
  </w:style>
  <w:style w:type="character" w:styleId="FootnoteReference">
    <w:name w:val="footnote reference"/>
    <w:basedOn w:val="DefaultParagraphFont"/>
    <w:uiPriority w:val="99"/>
    <w:unhideWhenUsed/>
    <w:qFormat/>
    <w:rsid w:val="0049551F"/>
    <w:rPr>
      <w:sz w:val="20"/>
      <w:vertAlign w:val="superscript"/>
    </w:rPr>
  </w:style>
  <w:style w:type="paragraph" w:styleId="Header">
    <w:name w:val="header"/>
    <w:basedOn w:val="Normal"/>
    <w:link w:val="HeaderChar"/>
    <w:uiPriority w:val="99"/>
    <w:unhideWhenUsed/>
    <w:rsid w:val="0049551F"/>
    <w:pPr>
      <w:tabs>
        <w:tab w:val="center" w:pos="4680"/>
        <w:tab w:val="right" w:pos="9360"/>
      </w:tabs>
    </w:pPr>
  </w:style>
  <w:style w:type="character" w:customStyle="1" w:styleId="HeaderChar">
    <w:name w:val="Header Char"/>
    <w:basedOn w:val="DefaultParagraphFont"/>
    <w:link w:val="Header"/>
    <w:uiPriority w:val="99"/>
    <w:rsid w:val="0049551F"/>
    <w:rPr>
      <w:rFonts w:ascii="Times New Roman" w:hAnsi="Times New Roman"/>
      <w:sz w:val="24"/>
      <w:szCs w:val="24"/>
    </w:rPr>
  </w:style>
  <w:style w:type="paragraph" w:styleId="Footer">
    <w:name w:val="footer"/>
    <w:basedOn w:val="Normal"/>
    <w:link w:val="FooterChar"/>
    <w:uiPriority w:val="99"/>
    <w:unhideWhenUsed/>
    <w:rsid w:val="0049551F"/>
    <w:pPr>
      <w:tabs>
        <w:tab w:val="center" w:pos="4680"/>
        <w:tab w:val="right" w:pos="9360"/>
      </w:tabs>
    </w:pPr>
  </w:style>
  <w:style w:type="character" w:customStyle="1" w:styleId="FooterChar">
    <w:name w:val="Footer Char"/>
    <w:basedOn w:val="DefaultParagraphFont"/>
    <w:link w:val="Footer"/>
    <w:uiPriority w:val="99"/>
    <w:rsid w:val="0049551F"/>
    <w:rPr>
      <w:rFonts w:ascii="Times New Roman" w:hAnsi="Times New Roman"/>
      <w:sz w:val="24"/>
      <w:szCs w:val="24"/>
    </w:rPr>
  </w:style>
  <w:style w:type="character" w:customStyle="1" w:styleId="Heading1Char">
    <w:name w:val="Heading 1 Char"/>
    <w:basedOn w:val="DefaultParagraphFont"/>
    <w:link w:val="Heading1"/>
    <w:uiPriority w:val="9"/>
    <w:rsid w:val="00413CE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13CEC"/>
    <w:rPr>
      <w:color w:val="0563C1" w:themeColor="hyperlink"/>
      <w:u w:val="single"/>
    </w:rPr>
  </w:style>
  <w:style w:type="character" w:styleId="UnresolvedMention">
    <w:name w:val="Unresolved Mention"/>
    <w:basedOn w:val="DefaultParagraphFont"/>
    <w:uiPriority w:val="99"/>
    <w:semiHidden/>
    <w:unhideWhenUsed/>
    <w:rsid w:val="00413CEC"/>
    <w:rPr>
      <w:color w:val="605E5C"/>
      <w:shd w:val="clear" w:color="auto" w:fill="E1DFDD"/>
    </w:rPr>
  </w:style>
  <w:style w:type="paragraph" w:styleId="BalloonText">
    <w:name w:val="Balloon Text"/>
    <w:basedOn w:val="Normal"/>
    <w:link w:val="BalloonTextChar"/>
    <w:uiPriority w:val="99"/>
    <w:semiHidden/>
    <w:unhideWhenUsed/>
    <w:rsid w:val="00621D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D13"/>
    <w:rPr>
      <w:rFonts w:ascii="Segoe UI" w:hAnsi="Segoe UI" w:cs="Segoe UI"/>
      <w:sz w:val="18"/>
      <w:szCs w:val="18"/>
    </w:rPr>
  </w:style>
  <w:style w:type="character" w:styleId="CommentReference">
    <w:name w:val="annotation reference"/>
    <w:basedOn w:val="DefaultParagraphFont"/>
    <w:uiPriority w:val="99"/>
    <w:semiHidden/>
    <w:unhideWhenUsed/>
    <w:rsid w:val="00F65F85"/>
    <w:rPr>
      <w:sz w:val="16"/>
      <w:szCs w:val="16"/>
    </w:rPr>
  </w:style>
  <w:style w:type="paragraph" w:styleId="CommentText">
    <w:name w:val="annotation text"/>
    <w:basedOn w:val="Normal"/>
    <w:link w:val="CommentTextChar"/>
    <w:uiPriority w:val="99"/>
    <w:semiHidden/>
    <w:unhideWhenUsed/>
    <w:rsid w:val="00F65F85"/>
    <w:rPr>
      <w:sz w:val="20"/>
      <w:szCs w:val="20"/>
    </w:rPr>
  </w:style>
  <w:style w:type="character" w:customStyle="1" w:styleId="CommentTextChar">
    <w:name w:val="Comment Text Char"/>
    <w:basedOn w:val="DefaultParagraphFont"/>
    <w:link w:val="CommentText"/>
    <w:uiPriority w:val="99"/>
    <w:semiHidden/>
    <w:rsid w:val="00F65F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5F85"/>
    <w:rPr>
      <w:b/>
      <w:bCs/>
    </w:rPr>
  </w:style>
  <w:style w:type="character" w:customStyle="1" w:styleId="CommentSubjectChar">
    <w:name w:val="Comment Subject Char"/>
    <w:basedOn w:val="CommentTextChar"/>
    <w:link w:val="CommentSubject"/>
    <w:uiPriority w:val="99"/>
    <w:semiHidden/>
    <w:rsid w:val="00F65F85"/>
    <w:rPr>
      <w:rFonts w:ascii="Times New Roman" w:hAnsi="Times New Roman"/>
      <w:b/>
      <w:bCs/>
      <w:sz w:val="20"/>
      <w:szCs w:val="20"/>
    </w:rPr>
  </w:style>
  <w:style w:type="character" w:styleId="PlaceholderText">
    <w:name w:val="Placeholder Text"/>
    <w:basedOn w:val="DefaultParagraphFont"/>
    <w:uiPriority w:val="99"/>
    <w:semiHidden/>
    <w:rsid w:val="00372E0D"/>
    <w:rPr>
      <w:color w:val="808080"/>
    </w:rPr>
  </w:style>
  <w:style w:type="character" w:styleId="FollowedHyperlink">
    <w:name w:val="FollowedHyperlink"/>
    <w:basedOn w:val="DefaultParagraphFont"/>
    <w:uiPriority w:val="99"/>
    <w:semiHidden/>
    <w:unhideWhenUsed/>
    <w:rsid w:val="00DF7AD7"/>
    <w:rPr>
      <w:color w:val="954F72" w:themeColor="followedHyperlink"/>
      <w:u w:val="single"/>
    </w:rPr>
  </w:style>
  <w:style w:type="character" w:customStyle="1" w:styleId="apple-converted-space">
    <w:name w:val="apple-converted-space"/>
    <w:basedOn w:val="DefaultParagraphFont"/>
    <w:rsid w:val="00133F8A"/>
  </w:style>
  <w:style w:type="character" w:customStyle="1" w:styleId="fontstyle01">
    <w:name w:val="fontstyle01"/>
    <w:basedOn w:val="DefaultParagraphFont"/>
    <w:rsid w:val="00C01143"/>
    <w:rPr>
      <w:rFonts w:ascii="MyriadPro-Regular" w:hAnsi="MyriadPro-Regular" w:hint="default"/>
      <w:b w:val="0"/>
      <w:bCs w:val="0"/>
      <w:i w:val="0"/>
      <w:iCs w:val="0"/>
      <w:color w:val="565756"/>
      <w:sz w:val="16"/>
      <w:szCs w:val="16"/>
    </w:rPr>
  </w:style>
  <w:style w:type="character" w:customStyle="1" w:styleId="ssleftalign">
    <w:name w:val="ss_leftalign"/>
    <w:basedOn w:val="DefaultParagraphFont"/>
    <w:rsid w:val="00C0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284">
      <w:bodyDiv w:val="1"/>
      <w:marLeft w:val="0"/>
      <w:marRight w:val="0"/>
      <w:marTop w:val="0"/>
      <w:marBottom w:val="0"/>
      <w:divBdr>
        <w:top w:val="none" w:sz="0" w:space="0" w:color="auto"/>
        <w:left w:val="none" w:sz="0" w:space="0" w:color="auto"/>
        <w:bottom w:val="none" w:sz="0" w:space="0" w:color="auto"/>
        <w:right w:val="none" w:sz="0" w:space="0" w:color="auto"/>
      </w:divBdr>
    </w:div>
    <w:div w:id="7485043">
      <w:bodyDiv w:val="1"/>
      <w:marLeft w:val="0"/>
      <w:marRight w:val="0"/>
      <w:marTop w:val="0"/>
      <w:marBottom w:val="0"/>
      <w:divBdr>
        <w:top w:val="none" w:sz="0" w:space="0" w:color="auto"/>
        <w:left w:val="none" w:sz="0" w:space="0" w:color="auto"/>
        <w:bottom w:val="none" w:sz="0" w:space="0" w:color="auto"/>
        <w:right w:val="none" w:sz="0" w:space="0" w:color="auto"/>
      </w:divBdr>
    </w:div>
    <w:div w:id="35811215">
      <w:bodyDiv w:val="1"/>
      <w:marLeft w:val="0"/>
      <w:marRight w:val="0"/>
      <w:marTop w:val="0"/>
      <w:marBottom w:val="0"/>
      <w:divBdr>
        <w:top w:val="none" w:sz="0" w:space="0" w:color="auto"/>
        <w:left w:val="none" w:sz="0" w:space="0" w:color="auto"/>
        <w:bottom w:val="none" w:sz="0" w:space="0" w:color="auto"/>
        <w:right w:val="none" w:sz="0" w:space="0" w:color="auto"/>
      </w:divBdr>
    </w:div>
    <w:div w:id="39020865">
      <w:bodyDiv w:val="1"/>
      <w:marLeft w:val="0"/>
      <w:marRight w:val="0"/>
      <w:marTop w:val="0"/>
      <w:marBottom w:val="0"/>
      <w:divBdr>
        <w:top w:val="none" w:sz="0" w:space="0" w:color="auto"/>
        <w:left w:val="none" w:sz="0" w:space="0" w:color="auto"/>
        <w:bottom w:val="none" w:sz="0" w:space="0" w:color="auto"/>
        <w:right w:val="none" w:sz="0" w:space="0" w:color="auto"/>
      </w:divBdr>
    </w:div>
    <w:div w:id="91362482">
      <w:bodyDiv w:val="1"/>
      <w:marLeft w:val="0"/>
      <w:marRight w:val="0"/>
      <w:marTop w:val="0"/>
      <w:marBottom w:val="0"/>
      <w:divBdr>
        <w:top w:val="none" w:sz="0" w:space="0" w:color="auto"/>
        <w:left w:val="none" w:sz="0" w:space="0" w:color="auto"/>
        <w:bottom w:val="none" w:sz="0" w:space="0" w:color="auto"/>
        <w:right w:val="none" w:sz="0" w:space="0" w:color="auto"/>
      </w:divBdr>
    </w:div>
    <w:div w:id="112673118">
      <w:bodyDiv w:val="1"/>
      <w:marLeft w:val="0"/>
      <w:marRight w:val="0"/>
      <w:marTop w:val="0"/>
      <w:marBottom w:val="0"/>
      <w:divBdr>
        <w:top w:val="none" w:sz="0" w:space="0" w:color="auto"/>
        <w:left w:val="none" w:sz="0" w:space="0" w:color="auto"/>
        <w:bottom w:val="none" w:sz="0" w:space="0" w:color="auto"/>
        <w:right w:val="none" w:sz="0" w:space="0" w:color="auto"/>
      </w:divBdr>
    </w:div>
    <w:div w:id="141972767">
      <w:bodyDiv w:val="1"/>
      <w:marLeft w:val="0"/>
      <w:marRight w:val="0"/>
      <w:marTop w:val="0"/>
      <w:marBottom w:val="0"/>
      <w:divBdr>
        <w:top w:val="none" w:sz="0" w:space="0" w:color="auto"/>
        <w:left w:val="none" w:sz="0" w:space="0" w:color="auto"/>
        <w:bottom w:val="none" w:sz="0" w:space="0" w:color="auto"/>
        <w:right w:val="none" w:sz="0" w:space="0" w:color="auto"/>
      </w:divBdr>
    </w:div>
    <w:div w:id="158929822">
      <w:bodyDiv w:val="1"/>
      <w:marLeft w:val="0"/>
      <w:marRight w:val="0"/>
      <w:marTop w:val="0"/>
      <w:marBottom w:val="0"/>
      <w:divBdr>
        <w:top w:val="none" w:sz="0" w:space="0" w:color="auto"/>
        <w:left w:val="none" w:sz="0" w:space="0" w:color="auto"/>
        <w:bottom w:val="none" w:sz="0" w:space="0" w:color="auto"/>
        <w:right w:val="none" w:sz="0" w:space="0" w:color="auto"/>
      </w:divBdr>
    </w:div>
    <w:div w:id="159393238">
      <w:bodyDiv w:val="1"/>
      <w:marLeft w:val="0"/>
      <w:marRight w:val="0"/>
      <w:marTop w:val="0"/>
      <w:marBottom w:val="0"/>
      <w:divBdr>
        <w:top w:val="none" w:sz="0" w:space="0" w:color="auto"/>
        <w:left w:val="none" w:sz="0" w:space="0" w:color="auto"/>
        <w:bottom w:val="none" w:sz="0" w:space="0" w:color="auto"/>
        <w:right w:val="none" w:sz="0" w:space="0" w:color="auto"/>
      </w:divBdr>
    </w:div>
    <w:div w:id="189883507">
      <w:bodyDiv w:val="1"/>
      <w:marLeft w:val="0"/>
      <w:marRight w:val="0"/>
      <w:marTop w:val="0"/>
      <w:marBottom w:val="0"/>
      <w:divBdr>
        <w:top w:val="none" w:sz="0" w:space="0" w:color="auto"/>
        <w:left w:val="none" w:sz="0" w:space="0" w:color="auto"/>
        <w:bottom w:val="none" w:sz="0" w:space="0" w:color="auto"/>
        <w:right w:val="none" w:sz="0" w:space="0" w:color="auto"/>
      </w:divBdr>
    </w:div>
    <w:div w:id="205996163">
      <w:bodyDiv w:val="1"/>
      <w:marLeft w:val="0"/>
      <w:marRight w:val="0"/>
      <w:marTop w:val="0"/>
      <w:marBottom w:val="0"/>
      <w:divBdr>
        <w:top w:val="none" w:sz="0" w:space="0" w:color="auto"/>
        <w:left w:val="none" w:sz="0" w:space="0" w:color="auto"/>
        <w:bottom w:val="none" w:sz="0" w:space="0" w:color="auto"/>
        <w:right w:val="none" w:sz="0" w:space="0" w:color="auto"/>
      </w:divBdr>
    </w:div>
    <w:div w:id="261232159">
      <w:bodyDiv w:val="1"/>
      <w:marLeft w:val="0"/>
      <w:marRight w:val="0"/>
      <w:marTop w:val="0"/>
      <w:marBottom w:val="0"/>
      <w:divBdr>
        <w:top w:val="none" w:sz="0" w:space="0" w:color="auto"/>
        <w:left w:val="none" w:sz="0" w:space="0" w:color="auto"/>
        <w:bottom w:val="none" w:sz="0" w:space="0" w:color="auto"/>
        <w:right w:val="none" w:sz="0" w:space="0" w:color="auto"/>
      </w:divBdr>
    </w:div>
    <w:div w:id="399447744">
      <w:bodyDiv w:val="1"/>
      <w:marLeft w:val="0"/>
      <w:marRight w:val="0"/>
      <w:marTop w:val="0"/>
      <w:marBottom w:val="0"/>
      <w:divBdr>
        <w:top w:val="none" w:sz="0" w:space="0" w:color="auto"/>
        <w:left w:val="none" w:sz="0" w:space="0" w:color="auto"/>
        <w:bottom w:val="none" w:sz="0" w:space="0" w:color="auto"/>
        <w:right w:val="none" w:sz="0" w:space="0" w:color="auto"/>
      </w:divBdr>
    </w:div>
    <w:div w:id="444345924">
      <w:bodyDiv w:val="1"/>
      <w:marLeft w:val="0"/>
      <w:marRight w:val="0"/>
      <w:marTop w:val="0"/>
      <w:marBottom w:val="0"/>
      <w:divBdr>
        <w:top w:val="none" w:sz="0" w:space="0" w:color="auto"/>
        <w:left w:val="none" w:sz="0" w:space="0" w:color="auto"/>
        <w:bottom w:val="none" w:sz="0" w:space="0" w:color="auto"/>
        <w:right w:val="none" w:sz="0" w:space="0" w:color="auto"/>
      </w:divBdr>
    </w:div>
    <w:div w:id="483738519">
      <w:bodyDiv w:val="1"/>
      <w:marLeft w:val="0"/>
      <w:marRight w:val="0"/>
      <w:marTop w:val="0"/>
      <w:marBottom w:val="0"/>
      <w:divBdr>
        <w:top w:val="none" w:sz="0" w:space="0" w:color="auto"/>
        <w:left w:val="none" w:sz="0" w:space="0" w:color="auto"/>
        <w:bottom w:val="none" w:sz="0" w:space="0" w:color="auto"/>
        <w:right w:val="none" w:sz="0" w:space="0" w:color="auto"/>
      </w:divBdr>
    </w:div>
    <w:div w:id="544802568">
      <w:bodyDiv w:val="1"/>
      <w:marLeft w:val="0"/>
      <w:marRight w:val="0"/>
      <w:marTop w:val="0"/>
      <w:marBottom w:val="0"/>
      <w:divBdr>
        <w:top w:val="none" w:sz="0" w:space="0" w:color="auto"/>
        <w:left w:val="none" w:sz="0" w:space="0" w:color="auto"/>
        <w:bottom w:val="none" w:sz="0" w:space="0" w:color="auto"/>
        <w:right w:val="none" w:sz="0" w:space="0" w:color="auto"/>
      </w:divBdr>
    </w:div>
    <w:div w:id="568659504">
      <w:bodyDiv w:val="1"/>
      <w:marLeft w:val="0"/>
      <w:marRight w:val="0"/>
      <w:marTop w:val="0"/>
      <w:marBottom w:val="0"/>
      <w:divBdr>
        <w:top w:val="none" w:sz="0" w:space="0" w:color="auto"/>
        <w:left w:val="none" w:sz="0" w:space="0" w:color="auto"/>
        <w:bottom w:val="none" w:sz="0" w:space="0" w:color="auto"/>
        <w:right w:val="none" w:sz="0" w:space="0" w:color="auto"/>
      </w:divBdr>
    </w:div>
    <w:div w:id="607734207">
      <w:bodyDiv w:val="1"/>
      <w:marLeft w:val="0"/>
      <w:marRight w:val="0"/>
      <w:marTop w:val="0"/>
      <w:marBottom w:val="0"/>
      <w:divBdr>
        <w:top w:val="none" w:sz="0" w:space="0" w:color="auto"/>
        <w:left w:val="none" w:sz="0" w:space="0" w:color="auto"/>
        <w:bottom w:val="none" w:sz="0" w:space="0" w:color="auto"/>
        <w:right w:val="none" w:sz="0" w:space="0" w:color="auto"/>
      </w:divBdr>
    </w:div>
    <w:div w:id="618800705">
      <w:bodyDiv w:val="1"/>
      <w:marLeft w:val="0"/>
      <w:marRight w:val="0"/>
      <w:marTop w:val="0"/>
      <w:marBottom w:val="0"/>
      <w:divBdr>
        <w:top w:val="none" w:sz="0" w:space="0" w:color="auto"/>
        <w:left w:val="none" w:sz="0" w:space="0" w:color="auto"/>
        <w:bottom w:val="none" w:sz="0" w:space="0" w:color="auto"/>
        <w:right w:val="none" w:sz="0" w:space="0" w:color="auto"/>
      </w:divBdr>
    </w:div>
    <w:div w:id="660961849">
      <w:bodyDiv w:val="1"/>
      <w:marLeft w:val="0"/>
      <w:marRight w:val="0"/>
      <w:marTop w:val="0"/>
      <w:marBottom w:val="0"/>
      <w:divBdr>
        <w:top w:val="none" w:sz="0" w:space="0" w:color="auto"/>
        <w:left w:val="none" w:sz="0" w:space="0" w:color="auto"/>
        <w:bottom w:val="none" w:sz="0" w:space="0" w:color="auto"/>
        <w:right w:val="none" w:sz="0" w:space="0" w:color="auto"/>
      </w:divBdr>
    </w:div>
    <w:div w:id="668680341">
      <w:bodyDiv w:val="1"/>
      <w:marLeft w:val="0"/>
      <w:marRight w:val="0"/>
      <w:marTop w:val="0"/>
      <w:marBottom w:val="0"/>
      <w:divBdr>
        <w:top w:val="none" w:sz="0" w:space="0" w:color="auto"/>
        <w:left w:val="none" w:sz="0" w:space="0" w:color="auto"/>
        <w:bottom w:val="none" w:sz="0" w:space="0" w:color="auto"/>
        <w:right w:val="none" w:sz="0" w:space="0" w:color="auto"/>
      </w:divBdr>
    </w:div>
    <w:div w:id="773749971">
      <w:bodyDiv w:val="1"/>
      <w:marLeft w:val="0"/>
      <w:marRight w:val="0"/>
      <w:marTop w:val="0"/>
      <w:marBottom w:val="0"/>
      <w:divBdr>
        <w:top w:val="none" w:sz="0" w:space="0" w:color="auto"/>
        <w:left w:val="none" w:sz="0" w:space="0" w:color="auto"/>
        <w:bottom w:val="none" w:sz="0" w:space="0" w:color="auto"/>
        <w:right w:val="none" w:sz="0" w:space="0" w:color="auto"/>
      </w:divBdr>
    </w:div>
    <w:div w:id="807087864">
      <w:bodyDiv w:val="1"/>
      <w:marLeft w:val="0"/>
      <w:marRight w:val="0"/>
      <w:marTop w:val="0"/>
      <w:marBottom w:val="0"/>
      <w:divBdr>
        <w:top w:val="none" w:sz="0" w:space="0" w:color="auto"/>
        <w:left w:val="none" w:sz="0" w:space="0" w:color="auto"/>
        <w:bottom w:val="none" w:sz="0" w:space="0" w:color="auto"/>
        <w:right w:val="none" w:sz="0" w:space="0" w:color="auto"/>
      </w:divBdr>
    </w:div>
    <w:div w:id="901982785">
      <w:bodyDiv w:val="1"/>
      <w:marLeft w:val="0"/>
      <w:marRight w:val="0"/>
      <w:marTop w:val="0"/>
      <w:marBottom w:val="0"/>
      <w:divBdr>
        <w:top w:val="none" w:sz="0" w:space="0" w:color="auto"/>
        <w:left w:val="none" w:sz="0" w:space="0" w:color="auto"/>
        <w:bottom w:val="none" w:sz="0" w:space="0" w:color="auto"/>
        <w:right w:val="none" w:sz="0" w:space="0" w:color="auto"/>
      </w:divBdr>
    </w:div>
    <w:div w:id="905727129">
      <w:bodyDiv w:val="1"/>
      <w:marLeft w:val="0"/>
      <w:marRight w:val="0"/>
      <w:marTop w:val="0"/>
      <w:marBottom w:val="0"/>
      <w:divBdr>
        <w:top w:val="none" w:sz="0" w:space="0" w:color="auto"/>
        <w:left w:val="none" w:sz="0" w:space="0" w:color="auto"/>
        <w:bottom w:val="none" w:sz="0" w:space="0" w:color="auto"/>
        <w:right w:val="none" w:sz="0" w:space="0" w:color="auto"/>
      </w:divBdr>
    </w:div>
    <w:div w:id="907572502">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95258143">
      <w:bodyDiv w:val="1"/>
      <w:marLeft w:val="0"/>
      <w:marRight w:val="0"/>
      <w:marTop w:val="0"/>
      <w:marBottom w:val="0"/>
      <w:divBdr>
        <w:top w:val="none" w:sz="0" w:space="0" w:color="auto"/>
        <w:left w:val="none" w:sz="0" w:space="0" w:color="auto"/>
        <w:bottom w:val="none" w:sz="0" w:space="0" w:color="auto"/>
        <w:right w:val="none" w:sz="0" w:space="0" w:color="auto"/>
      </w:divBdr>
    </w:div>
    <w:div w:id="1007755342">
      <w:bodyDiv w:val="1"/>
      <w:marLeft w:val="0"/>
      <w:marRight w:val="0"/>
      <w:marTop w:val="0"/>
      <w:marBottom w:val="0"/>
      <w:divBdr>
        <w:top w:val="none" w:sz="0" w:space="0" w:color="auto"/>
        <w:left w:val="none" w:sz="0" w:space="0" w:color="auto"/>
        <w:bottom w:val="none" w:sz="0" w:space="0" w:color="auto"/>
        <w:right w:val="none" w:sz="0" w:space="0" w:color="auto"/>
      </w:divBdr>
    </w:div>
    <w:div w:id="1008291184">
      <w:bodyDiv w:val="1"/>
      <w:marLeft w:val="0"/>
      <w:marRight w:val="0"/>
      <w:marTop w:val="0"/>
      <w:marBottom w:val="0"/>
      <w:divBdr>
        <w:top w:val="none" w:sz="0" w:space="0" w:color="auto"/>
        <w:left w:val="none" w:sz="0" w:space="0" w:color="auto"/>
        <w:bottom w:val="none" w:sz="0" w:space="0" w:color="auto"/>
        <w:right w:val="none" w:sz="0" w:space="0" w:color="auto"/>
      </w:divBdr>
    </w:div>
    <w:div w:id="1030839665">
      <w:bodyDiv w:val="1"/>
      <w:marLeft w:val="0"/>
      <w:marRight w:val="0"/>
      <w:marTop w:val="0"/>
      <w:marBottom w:val="0"/>
      <w:divBdr>
        <w:top w:val="none" w:sz="0" w:space="0" w:color="auto"/>
        <w:left w:val="none" w:sz="0" w:space="0" w:color="auto"/>
        <w:bottom w:val="none" w:sz="0" w:space="0" w:color="auto"/>
        <w:right w:val="none" w:sz="0" w:space="0" w:color="auto"/>
      </w:divBdr>
    </w:div>
    <w:div w:id="1056855605">
      <w:bodyDiv w:val="1"/>
      <w:marLeft w:val="0"/>
      <w:marRight w:val="0"/>
      <w:marTop w:val="0"/>
      <w:marBottom w:val="0"/>
      <w:divBdr>
        <w:top w:val="none" w:sz="0" w:space="0" w:color="auto"/>
        <w:left w:val="none" w:sz="0" w:space="0" w:color="auto"/>
        <w:bottom w:val="none" w:sz="0" w:space="0" w:color="auto"/>
        <w:right w:val="none" w:sz="0" w:space="0" w:color="auto"/>
      </w:divBdr>
    </w:div>
    <w:div w:id="1059666367">
      <w:bodyDiv w:val="1"/>
      <w:marLeft w:val="0"/>
      <w:marRight w:val="0"/>
      <w:marTop w:val="0"/>
      <w:marBottom w:val="0"/>
      <w:divBdr>
        <w:top w:val="none" w:sz="0" w:space="0" w:color="auto"/>
        <w:left w:val="none" w:sz="0" w:space="0" w:color="auto"/>
        <w:bottom w:val="none" w:sz="0" w:space="0" w:color="auto"/>
        <w:right w:val="none" w:sz="0" w:space="0" w:color="auto"/>
      </w:divBdr>
    </w:div>
    <w:div w:id="1083114113">
      <w:bodyDiv w:val="1"/>
      <w:marLeft w:val="0"/>
      <w:marRight w:val="0"/>
      <w:marTop w:val="0"/>
      <w:marBottom w:val="0"/>
      <w:divBdr>
        <w:top w:val="none" w:sz="0" w:space="0" w:color="auto"/>
        <w:left w:val="none" w:sz="0" w:space="0" w:color="auto"/>
        <w:bottom w:val="none" w:sz="0" w:space="0" w:color="auto"/>
        <w:right w:val="none" w:sz="0" w:space="0" w:color="auto"/>
      </w:divBdr>
    </w:div>
    <w:div w:id="1094979928">
      <w:bodyDiv w:val="1"/>
      <w:marLeft w:val="0"/>
      <w:marRight w:val="0"/>
      <w:marTop w:val="0"/>
      <w:marBottom w:val="0"/>
      <w:divBdr>
        <w:top w:val="none" w:sz="0" w:space="0" w:color="auto"/>
        <w:left w:val="none" w:sz="0" w:space="0" w:color="auto"/>
        <w:bottom w:val="none" w:sz="0" w:space="0" w:color="auto"/>
        <w:right w:val="none" w:sz="0" w:space="0" w:color="auto"/>
      </w:divBdr>
    </w:div>
    <w:div w:id="1119297453">
      <w:bodyDiv w:val="1"/>
      <w:marLeft w:val="0"/>
      <w:marRight w:val="0"/>
      <w:marTop w:val="0"/>
      <w:marBottom w:val="0"/>
      <w:divBdr>
        <w:top w:val="none" w:sz="0" w:space="0" w:color="auto"/>
        <w:left w:val="none" w:sz="0" w:space="0" w:color="auto"/>
        <w:bottom w:val="none" w:sz="0" w:space="0" w:color="auto"/>
        <w:right w:val="none" w:sz="0" w:space="0" w:color="auto"/>
      </w:divBdr>
    </w:div>
    <w:div w:id="1165852185">
      <w:bodyDiv w:val="1"/>
      <w:marLeft w:val="0"/>
      <w:marRight w:val="0"/>
      <w:marTop w:val="0"/>
      <w:marBottom w:val="0"/>
      <w:divBdr>
        <w:top w:val="none" w:sz="0" w:space="0" w:color="auto"/>
        <w:left w:val="none" w:sz="0" w:space="0" w:color="auto"/>
        <w:bottom w:val="none" w:sz="0" w:space="0" w:color="auto"/>
        <w:right w:val="none" w:sz="0" w:space="0" w:color="auto"/>
      </w:divBdr>
    </w:div>
    <w:div w:id="1193036715">
      <w:bodyDiv w:val="1"/>
      <w:marLeft w:val="0"/>
      <w:marRight w:val="0"/>
      <w:marTop w:val="0"/>
      <w:marBottom w:val="0"/>
      <w:divBdr>
        <w:top w:val="none" w:sz="0" w:space="0" w:color="auto"/>
        <w:left w:val="none" w:sz="0" w:space="0" w:color="auto"/>
        <w:bottom w:val="none" w:sz="0" w:space="0" w:color="auto"/>
        <w:right w:val="none" w:sz="0" w:space="0" w:color="auto"/>
      </w:divBdr>
    </w:div>
    <w:div w:id="1220283274">
      <w:bodyDiv w:val="1"/>
      <w:marLeft w:val="0"/>
      <w:marRight w:val="0"/>
      <w:marTop w:val="0"/>
      <w:marBottom w:val="0"/>
      <w:divBdr>
        <w:top w:val="none" w:sz="0" w:space="0" w:color="auto"/>
        <w:left w:val="none" w:sz="0" w:space="0" w:color="auto"/>
        <w:bottom w:val="none" w:sz="0" w:space="0" w:color="auto"/>
        <w:right w:val="none" w:sz="0" w:space="0" w:color="auto"/>
      </w:divBdr>
    </w:div>
    <w:div w:id="1250964985">
      <w:bodyDiv w:val="1"/>
      <w:marLeft w:val="0"/>
      <w:marRight w:val="0"/>
      <w:marTop w:val="0"/>
      <w:marBottom w:val="0"/>
      <w:divBdr>
        <w:top w:val="none" w:sz="0" w:space="0" w:color="auto"/>
        <w:left w:val="none" w:sz="0" w:space="0" w:color="auto"/>
        <w:bottom w:val="none" w:sz="0" w:space="0" w:color="auto"/>
        <w:right w:val="none" w:sz="0" w:space="0" w:color="auto"/>
      </w:divBdr>
    </w:div>
    <w:div w:id="1262226164">
      <w:bodyDiv w:val="1"/>
      <w:marLeft w:val="0"/>
      <w:marRight w:val="0"/>
      <w:marTop w:val="0"/>
      <w:marBottom w:val="0"/>
      <w:divBdr>
        <w:top w:val="none" w:sz="0" w:space="0" w:color="auto"/>
        <w:left w:val="none" w:sz="0" w:space="0" w:color="auto"/>
        <w:bottom w:val="none" w:sz="0" w:space="0" w:color="auto"/>
        <w:right w:val="none" w:sz="0" w:space="0" w:color="auto"/>
      </w:divBdr>
    </w:div>
    <w:div w:id="1301812223">
      <w:bodyDiv w:val="1"/>
      <w:marLeft w:val="0"/>
      <w:marRight w:val="0"/>
      <w:marTop w:val="0"/>
      <w:marBottom w:val="0"/>
      <w:divBdr>
        <w:top w:val="none" w:sz="0" w:space="0" w:color="auto"/>
        <w:left w:val="none" w:sz="0" w:space="0" w:color="auto"/>
        <w:bottom w:val="none" w:sz="0" w:space="0" w:color="auto"/>
        <w:right w:val="none" w:sz="0" w:space="0" w:color="auto"/>
      </w:divBdr>
    </w:div>
    <w:div w:id="1350990615">
      <w:bodyDiv w:val="1"/>
      <w:marLeft w:val="0"/>
      <w:marRight w:val="0"/>
      <w:marTop w:val="0"/>
      <w:marBottom w:val="0"/>
      <w:divBdr>
        <w:top w:val="none" w:sz="0" w:space="0" w:color="auto"/>
        <w:left w:val="none" w:sz="0" w:space="0" w:color="auto"/>
        <w:bottom w:val="none" w:sz="0" w:space="0" w:color="auto"/>
        <w:right w:val="none" w:sz="0" w:space="0" w:color="auto"/>
      </w:divBdr>
    </w:div>
    <w:div w:id="1434324000">
      <w:bodyDiv w:val="1"/>
      <w:marLeft w:val="0"/>
      <w:marRight w:val="0"/>
      <w:marTop w:val="0"/>
      <w:marBottom w:val="0"/>
      <w:divBdr>
        <w:top w:val="none" w:sz="0" w:space="0" w:color="auto"/>
        <w:left w:val="none" w:sz="0" w:space="0" w:color="auto"/>
        <w:bottom w:val="none" w:sz="0" w:space="0" w:color="auto"/>
        <w:right w:val="none" w:sz="0" w:space="0" w:color="auto"/>
      </w:divBdr>
    </w:div>
    <w:div w:id="1460536138">
      <w:bodyDiv w:val="1"/>
      <w:marLeft w:val="0"/>
      <w:marRight w:val="0"/>
      <w:marTop w:val="0"/>
      <w:marBottom w:val="0"/>
      <w:divBdr>
        <w:top w:val="none" w:sz="0" w:space="0" w:color="auto"/>
        <w:left w:val="none" w:sz="0" w:space="0" w:color="auto"/>
        <w:bottom w:val="none" w:sz="0" w:space="0" w:color="auto"/>
        <w:right w:val="none" w:sz="0" w:space="0" w:color="auto"/>
      </w:divBdr>
    </w:div>
    <w:div w:id="1470902893">
      <w:bodyDiv w:val="1"/>
      <w:marLeft w:val="0"/>
      <w:marRight w:val="0"/>
      <w:marTop w:val="0"/>
      <w:marBottom w:val="0"/>
      <w:divBdr>
        <w:top w:val="none" w:sz="0" w:space="0" w:color="auto"/>
        <w:left w:val="none" w:sz="0" w:space="0" w:color="auto"/>
        <w:bottom w:val="none" w:sz="0" w:space="0" w:color="auto"/>
        <w:right w:val="none" w:sz="0" w:space="0" w:color="auto"/>
      </w:divBdr>
    </w:div>
    <w:div w:id="1553231685">
      <w:bodyDiv w:val="1"/>
      <w:marLeft w:val="0"/>
      <w:marRight w:val="0"/>
      <w:marTop w:val="0"/>
      <w:marBottom w:val="0"/>
      <w:divBdr>
        <w:top w:val="none" w:sz="0" w:space="0" w:color="auto"/>
        <w:left w:val="none" w:sz="0" w:space="0" w:color="auto"/>
        <w:bottom w:val="none" w:sz="0" w:space="0" w:color="auto"/>
        <w:right w:val="none" w:sz="0" w:space="0" w:color="auto"/>
      </w:divBdr>
    </w:div>
    <w:div w:id="1572347639">
      <w:bodyDiv w:val="1"/>
      <w:marLeft w:val="0"/>
      <w:marRight w:val="0"/>
      <w:marTop w:val="0"/>
      <w:marBottom w:val="0"/>
      <w:divBdr>
        <w:top w:val="none" w:sz="0" w:space="0" w:color="auto"/>
        <w:left w:val="none" w:sz="0" w:space="0" w:color="auto"/>
        <w:bottom w:val="none" w:sz="0" w:space="0" w:color="auto"/>
        <w:right w:val="none" w:sz="0" w:space="0" w:color="auto"/>
      </w:divBdr>
    </w:div>
    <w:div w:id="1578058237">
      <w:bodyDiv w:val="1"/>
      <w:marLeft w:val="0"/>
      <w:marRight w:val="0"/>
      <w:marTop w:val="0"/>
      <w:marBottom w:val="0"/>
      <w:divBdr>
        <w:top w:val="none" w:sz="0" w:space="0" w:color="auto"/>
        <w:left w:val="none" w:sz="0" w:space="0" w:color="auto"/>
        <w:bottom w:val="none" w:sz="0" w:space="0" w:color="auto"/>
        <w:right w:val="none" w:sz="0" w:space="0" w:color="auto"/>
      </w:divBdr>
    </w:div>
    <w:div w:id="1578713158">
      <w:bodyDiv w:val="1"/>
      <w:marLeft w:val="0"/>
      <w:marRight w:val="0"/>
      <w:marTop w:val="0"/>
      <w:marBottom w:val="0"/>
      <w:divBdr>
        <w:top w:val="none" w:sz="0" w:space="0" w:color="auto"/>
        <w:left w:val="none" w:sz="0" w:space="0" w:color="auto"/>
        <w:bottom w:val="none" w:sz="0" w:space="0" w:color="auto"/>
        <w:right w:val="none" w:sz="0" w:space="0" w:color="auto"/>
      </w:divBdr>
    </w:div>
    <w:div w:id="1613130845">
      <w:bodyDiv w:val="1"/>
      <w:marLeft w:val="0"/>
      <w:marRight w:val="0"/>
      <w:marTop w:val="0"/>
      <w:marBottom w:val="0"/>
      <w:divBdr>
        <w:top w:val="none" w:sz="0" w:space="0" w:color="auto"/>
        <w:left w:val="none" w:sz="0" w:space="0" w:color="auto"/>
        <w:bottom w:val="none" w:sz="0" w:space="0" w:color="auto"/>
        <w:right w:val="none" w:sz="0" w:space="0" w:color="auto"/>
      </w:divBdr>
    </w:div>
    <w:div w:id="1616669157">
      <w:bodyDiv w:val="1"/>
      <w:marLeft w:val="0"/>
      <w:marRight w:val="0"/>
      <w:marTop w:val="0"/>
      <w:marBottom w:val="0"/>
      <w:divBdr>
        <w:top w:val="none" w:sz="0" w:space="0" w:color="auto"/>
        <w:left w:val="none" w:sz="0" w:space="0" w:color="auto"/>
        <w:bottom w:val="none" w:sz="0" w:space="0" w:color="auto"/>
        <w:right w:val="none" w:sz="0" w:space="0" w:color="auto"/>
      </w:divBdr>
    </w:div>
    <w:div w:id="1682928794">
      <w:bodyDiv w:val="1"/>
      <w:marLeft w:val="0"/>
      <w:marRight w:val="0"/>
      <w:marTop w:val="0"/>
      <w:marBottom w:val="0"/>
      <w:divBdr>
        <w:top w:val="none" w:sz="0" w:space="0" w:color="auto"/>
        <w:left w:val="none" w:sz="0" w:space="0" w:color="auto"/>
        <w:bottom w:val="none" w:sz="0" w:space="0" w:color="auto"/>
        <w:right w:val="none" w:sz="0" w:space="0" w:color="auto"/>
      </w:divBdr>
    </w:div>
    <w:div w:id="1803385112">
      <w:bodyDiv w:val="1"/>
      <w:marLeft w:val="0"/>
      <w:marRight w:val="0"/>
      <w:marTop w:val="0"/>
      <w:marBottom w:val="0"/>
      <w:divBdr>
        <w:top w:val="none" w:sz="0" w:space="0" w:color="auto"/>
        <w:left w:val="none" w:sz="0" w:space="0" w:color="auto"/>
        <w:bottom w:val="none" w:sz="0" w:space="0" w:color="auto"/>
        <w:right w:val="none" w:sz="0" w:space="0" w:color="auto"/>
      </w:divBdr>
    </w:div>
    <w:div w:id="1805612553">
      <w:bodyDiv w:val="1"/>
      <w:marLeft w:val="0"/>
      <w:marRight w:val="0"/>
      <w:marTop w:val="0"/>
      <w:marBottom w:val="0"/>
      <w:divBdr>
        <w:top w:val="none" w:sz="0" w:space="0" w:color="auto"/>
        <w:left w:val="none" w:sz="0" w:space="0" w:color="auto"/>
        <w:bottom w:val="none" w:sz="0" w:space="0" w:color="auto"/>
        <w:right w:val="none" w:sz="0" w:space="0" w:color="auto"/>
      </w:divBdr>
    </w:div>
    <w:div w:id="1931352494">
      <w:bodyDiv w:val="1"/>
      <w:marLeft w:val="0"/>
      <w:marRight w:val="0"/>
      <w:marTop w:val="0"/>
      <w:marBottom w:val="0"/>
      <w:divBdr>
        <w:top w:val="none" w:sz="0" w:space="0" w:color="auto"/>
        <w:left w:val="none" w:sz="0" w:space="0" w:color="auto"/>
        <w:bottom w:val="none" w:sz="0" w:space="0" w:color="auto"/>
        <w:right w:val="none" w:sz="0" w:space="0" w:color="auto"/>
      </w:divBdr>
    </w:div>
    <w:div w:id="2012483436">
      <w:bodyDiv w:val="1"/>
      <w:marLeft w:val="0"/>
      <w:marRight w:val="0"/>
      <w:marTop w:val="0"/>
      <w:marBottom w:val="0"/>
      <w:divBdr>
        <w:top w:val="none" w:sz="0" w:space="0" w:color="auto"/>
        <w:left w:val="none" w:sz="0" w:space="0" w:color="auto"/>
        <w:bottom w:val="none" w:sz="0" w:space="0" w:color="auto"/>
        <w:right w:val="none" w:sz="0" w:space="0" w:color="auto"/>
      </w:divBdr>
    </w:div>
    <w:div w:id="21220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flintwaterstudy.org/wp-content/uploads/2015/11/Miguels-Memo.pdf" TargetMode="External"/><Relationship Id="rId18" Type="http://schemas.openxmlformats.org/officeDocument/2006/relationships/hyperlink" Target="https://www.ncbi.nlm.nih.gov/pmc/articles/PMC3681240/" TargetMode="External"/><Relationship Id="rId26" Type="http://schemas.openxmlformats.org/officeDocument/2006/relationships/hyperlink" Target="https://www.fbi.gov/investigate/civil-rights/hate-crimes" TargetMode="External"/><Relationship Id="rId39" Type="http://schemas.openxmlformats.org/officeDocument/2006/relationships/hyperlink" Target="https://www.manhattan-institute.org/html/overcriminalizing-america-overview-and-model-legislation-states-11399.html" TargetMode="External"/><Relationship Id="rId21" Type="http://schemas.openxmlformats.org/officeDocument/2006/relationships/hyperlink" Target="https://www.apa.org/news/press/releases/stress/2017/uncertainty-health-care.pdf" TargetMode="External"/><Relationship Id="rId34" Type="http://schemas.openxmlformats.org/officeDocument/2006/relationships/hyperlink" Target="https://www.npr.org/templates/story/story.php?storyId=1953700" TargetMode="External"/><Relationship Id="rId42" Type="http://schemas.openxmlformats.org/officeDocument/2006/relationships/hyperlink" Target="https://www.bbc.com/news/world-us-canada-31688942" TargetMode="External"/><Relationship Id="rId47" Type="http://schemas.openxmlformats.org/officeDocument/2006/relationships/hyperlink" Target="https://www.nytimes.com/aponline/2020/08/04/us/ap-us-george-floyd-minneapolis-police.html" TargetMode="External"/><Relationship Id="rId50" Type="http://schemas.openxmlformats.org/officeDocument/2006/relationships/hyperlink" Target="https://www.nytimes.com/2020/08/10/nyregion/defund-police-nyc-council.html" TargetMode="External"/><Relationship Id="rId7" Type="http://schemas.openxmlformats.org/officeDocument/2006/relationships/hyperlink" Target="https://thehill.com/opinion/white-house/489968-governors-should-focus-on-tackling-coronavirus-rather-than-shift-blame" TargetMode="External"/><Relationship Id="rId2" Type="http://schemas.openxmlformats.org/officeDocument/2006/relationships/hyperlink" Target="https://www.washingtonpost.com/outlook/2020/06/05/police-violently-attack-protesters/" TargetMode="External"/><Relationship Id="rId16" Type="http://schemas.openxmlformats.org/officeDocument/2006/relationships/hyperlink" Target="https://www.nytimes.com/2019/11/06/us/politics/flint-michigan-schools.html?searchResultPosition=1" TargetMode="External"/><Relationship Id="rId29" Type="http://schemas.openxmlformats.org/officeDocument/2006/relationships/hyperlink" Target="https://news.gallup.com/poll/1660/immigration.aspx" TargetMode="External"/><Relationship Id="rId11" Type="http://schemas.openxmlformats.org/officeDocument/2006/relationships/hyperlink" Target="https://www.mlive.com/news/flint/2014/04/closing_the_valve_on_history_f.html" TargetMode="External"/><Relationship Id="rId24" Type="http://schemas.openxmlformats.org/officeDocument/2006/relationships/hyperlink" Target="https://www.mlive.com/news/detroit/2011/11/text_of_detroit_mayor_dave_bin.html" TargetMode="External"/><Relationship Id="rId32" Type="http://schemas.openxmlformats.org/officeDocument/2006/relationships/hyperlink" Target="https://www.rev.com/blog/transcripts/reverend-al-sharpton-george-floyd-funeral-eulogy-transcript-june-9" TargetMode="External"/><Relationship Id="rId37" Type="http://schemas.openxmlformats.org/officeDocument/2006/relationships/hyperlink" Target="https://www.huffpost.com/entry/a-hand-up-is-not-a-handou_b_4798243" TargetMode="External"/><Relationship Id="rId40" Type="http://schemas.openxmlformats.org/officeDocument/2006/relationships/hyperlink" Target="https://nlchp.org/wp-content/uploads/2019/02/No_Safe_Place.pdf" TargetMode="External"/><Relationship Id="rId45" Type="http://schemas.openxmlformats.org/officeDocument/2006/relationships/hyperlink" Target="https://www.nytimes.com/2020/05/31/nyregion/bill-de-blasio-nypd-reform.html" TargetMode="External"/><Relationship Id="rId5" Type="http://schemas.openxmlformats.org/officeDocument/2006/relationships/hyperlink" Target="https://www.washingtonpost.com/news/national/wp/2018/09/12/feature/residents-see-a-failure-at-all-levels-of-government/" TargetMode="External"/><Relationship Id="rId15" Type="http://schemas.openxmlformats.org/officeDocument/2006/relationships/hyperlink" Target="https://www.cdc.gov/nceh/lead/data/definitions.htm" TargetMode="External"/><Relationship Id="rId23" Type="http://schemas.openxmlformats.org/officeDocument/2006/relationships/hyperlink" Target="https://www.hamiltonproject.org/assets/files/who_poor_2017_annual_report.pdf" TargetMode="External"/><Relationship Id="rId28" Type="http://schemas.openxmlformats.org/officeDocument/2006/relationships/hyperlink" Target="https://gothamist.com/news/please-get-these-men-out-upper-west-siders-campaign-to-eject-homeless-residents?fbclid=IwAR3xbxr4v5MU4UZK-ULG6U2Wi4Telz8AuU5_qaZ03fhNbUkV-dwld7Qc3DM" TargetMode="External"/><Relationship Id="rId36" Type="http://schemas.openxmlformats.org/officeDocument/2006/relationships/hyperlink" Target="https://www.theatlantic.com/business/archive/2018/03/welfare-childhood/555119/" TargetMode="External"/><Relationship Id="rId49" Type="http://schemas.openxmlformats.org/officeDocument/2006/relationships/hyperlink" Target="https://www.nbcdfw.com/news/local/dallas-budget-plan-juggles-public-safety-and-calls-for-defunding-police/2422298/" TargetMode="External"/><Relationship Id="rId10" Type="http://schemas.openxmlformats.org/officeDocument/2006/relationships/hyperlink" Target="http://theweeklychallenger.com/what-is-public-safety/" TargetMode="External"/><Relationship Id="rId19" Type="http://schemas.openxmlformats.org/officeDocument/2006/relationships/hyperlink" Target="https://www.heritage.org/government-regulation/report/coming-clean-regulatory-costs-and-benefits" TargetMode="External"/><Relationship Id="rId31" Type="http://schemas.openxmlformats.org/officeDocument/2006/relationships/hyperlink" Target="https://www.adl.org/media/12249/download" TargetMode="External"/><Relationship Id="rId44" Type="http://schemas.openxmlformats.org/officeDocument/2006/relationships/hyperlink" Target="https://www.nydailynews.com/new-york/nyc-crime/ny-dermot-shea-letitia-james-hearing-protests-20200622-n6yg4p3ghnb23hfgqb5ufb4cmi-story.html" TargetMode="External"/><Relationship Id="rId4" Type="http://schemas.openxmlformats.org/officeDocument/2006/relationships/hyperlink" Target="https://www.michigan.gov/documents/snyder/Prepared+remarks_511427_7.pdf?20160120074639" TargetMode="External"/><Relationship Id="rId9" Type="http://schemas.openxmlformats.org/officeDocument/2006/relationships/hyperlink" Target="https://www.usatoday.com/story/opinion/policing/2020/06/12/after-floyd-video-changed-police-reformist-abolitionist/3177414001/" TargetMode="External"/><Relationship Id="rId14" Type="http://schemas.openxmlformats.org/officeDocument/2006/relationships/hyperlink" Target="https://www.epa.gov/sites/production/files/2016-06/documents/npwdr_complete_table.pdf" TargetMode="External"/><Relationship Id="rId22" Type="http://schemas.openxmlformats.org/officeDocument/2006/relationships/hyperlink" Target="https://thehill.com/hilltv/what-americas-thinking/428958-poll-voters-want-the-government-to-provide-healthcare-for" TargetMode="External"/><Relationship Id="rId27" Type="http://schemas.openxmlformats.org/officeDocument/2006/relationships/hyperlink" Target="https://time.com/4842910/donald-trump-lesbian-gay-bisexual-lgbt-poll-safe/" TargetMode="External"/><Relationship Id="rId30" Type="http://schemas.openxmlformats.org/officeDocument/2006/relationships/hyperlink" Target="https://www.adl.org/media/6950/download" TargetMode="External"/><Relationship Id="rId35" Type="http://schemas.openxmlformats.org/officeDocument/2006/relationships/hyperlink" Target="https://www.nytimes.com/1996/08/30/us/clinton-s-speech-accepting-the-democratic-nomination-for-president.html" TargetMode="External"/><Relationship Id="rId43" Type="http://schemas.openxmlformats.org/officeDocument/2006/relationships/hyperlink" Target="https://www.nytimes.com/2011/09/22/us/california-police-charged-in-%20killing.html?scp=4&amp;sq=%22kelly%20thomas%22&amp;st=cse" TargetMode="External"/><Relationship Id="rId48" Type="http://schemas.openxmlformats.org/officeDocument/2006/relationships/hyperlink" Target="https://www.nytimes.com/2020/07/12/nyregion/camden-police.html" TargetMode="External"/><Relationship Id="rId8" Type="http://schemas.openxmlformats.org/officeDocument/2006/relationships/hyperlink" Target="https://www.usatoday.com/story/opinion/policing/2020/06/12/after-floyd-video-changed-police-reformist-abolitionist/3177414001/" TargetMode="External"/><Relationship Id="rId3" Type="http://schemas.openxmlformats.org/officeDocument/2006/relationships/hyperlink" Target="https://www.nytimes.com/2020/05/31/us/police-tactics-floyd-protests.html" TargetMode="External"/><Relationship Id="rId12" Type="http://schemas.openxmlformats.org/officeDocument/2006/relationships/hyperlink" Target="https://www.cnn.com/2016/03/04/us/flint-water-crisis-fast-facts/index.html" TargetMode="External"/><Relationship Id="rId17" Type="http://schemas.openxmlformats.org/officeDocument/2006/relationships/hyperlink" Target="https://files.hudexchange.info/resources/documents/2019-AHAR-Part-1.pdf" TargetMode="External"/><Relationship Id="rId25" Type="http://schemas.openxmlformats.org/officeDocument/2006/relationships/hyperlink" Target="https://www.washingtonpost.com/posteverything/wp/2015/07/24/why-the-americans-with-disabilities-act-mattered/" TargetMode="External"/><Relationship Id="rId33" Type="http://schemas.openxmlformats.org/officeDocument/2006/relationships/hyperlink" Target="https://ideas.time.com/2012/09/07/the-myth-of-bootstrapping/" TargetMode="External"/><Relationship Id="rId38" Type="http://schemas.openxmlformats.org/officeDocument/2006/relationships/hyperlink" Target="https://www.pewresearch.org/fact-tank/2014/08/25/in-search-of-libertarians/" TargetMode="External"/><Relationship Id="rId46" Type="http://schemas.openxmlformats.org/officeDocument/2006/relationships/hyperlink" Target="https://www.washingtonpost.com/opinions/the-supreme-court-invented-qualified-immunity-now-a-judges-blistering-opinion-shows-why-it-must-go/2020/08/05/f72778e6-d74a-11ea-930e-d88518c57dcc_story.html" TargetMode="External"/><Relationship Id="rId20" Type="http://schemas.openxmlformats.org/officeDocument/2006/relationships/hyperlink" Target="https://www.kxlf.com/news/national/coronavirus/poll-72-of-fans-say-they-wont-feel-safe-at-a-sporting-event-until-a-covid-19-vaccine-is-ready" TargetMode="External"/><Relationship Id="rId41" Type="http://schemas.openxmlformats.org/officeDocument/2006/relationships/hyperlink" Target="https://www.cnn.com/2014/06/20/us/albuquerque-police-investigation/index.html" TargetMode="External"/><Relationship Id="rId1" Type="http://schemas.openxmlformats.org/officeDocument/2006/relationships/hyperlink" Target="https://www.pbs.org/newshour/show/2-views-on-the-future-of-american-policing" TargetMode="External"/><Relationship Id="rId6" Type="http://schemas.openxmlformats.org/officeDocument/2006/relationships/hyperlink" Target="https://www.wsj.com/articles/how-washington-failed-to-build-a-robust-coronavirus-testing-system-11584552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6C39-EC96-6D41-A130-EF2C56B5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19377</Words>
  <Characters>98049</Characters>
  <Application>Microsoft Office Word</Application>
  <DocSecurity>0</DocSecurity>
  <Lines>1380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Bernardo</dc:creator>
  <cp:keywords/>
  <dc:description/>
  <cp:lastModifiedBy>Barry Friedman</cp:lastModifiedBy>
  <cp:revision>6</cp:revision>
  <dcterms:created xsi:type="dcterms:W3CDTF">2021-01-09T14:45:00Z</dcterms:created>
  <dcterms:modified xsi:type="dcterms:W3CDTF">2021-01-09T14:51:00Z</dcterms:modified>
</cp:coreProperties>
</file>