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04B62" w14:textId="77777777" w:rsidR="00032316" w:rsidRPr="00D464FE" w:rsidRDefault="004B7169" w:rsidP="00D464FE">
      <w:pPr>
        <w:jc w:val="center"/>
        <w:rPr>
          <w:rFonts w:ascii="Century Schoolbook" w:hAnsi="Century Schoolbook"/>
          <w:b/>
          <w:smallCaps/>
          <w:sz w:val="28"/>
          <w:szCs w:val="28"/>
        </w:rPr>
      </w:pPr>
      <w:r w:rsidRPr="00D464FE">
        <w:rPr>
          <w:rFonts w:ascii="Century Schoolbook" w:hAnsi="Century Schoolbook"/>
          <w:b/>
          <w:smallCaps/>
          <w:sz w:val="28"/>
          <w:szCs w:val="28"/>
        </w:rPr>
        <w:t xml:space="preserve">The Supreme Court and American Life:  </w:t>
      </w:r>
      <w:r w:rsidR="00D464FE" w:rsidRPr="00D464FE">
        <w:rPr>
          <w:rFonts w:ascii="Century Schoolbook" w:hAnsi="Century Schoolbook"/>
          <w:b/>
          <w:smallCaps/>
          <w:sz w:val="28"/>
          <w:szCs w:val="28"/>
        </w:rPr>
        <w:br/>
      </w:r>
      <w:r w:rsidRPr="00D464FE">
        <w:rPr>
          <w:rFonts w:ascii="Century Schoolbook" w:hAnsi="Century Schoolbook"/>
          <w:b/>
          <w:smallCaps/>
          <w:sz w:val="28"/>
          <w:szCs w:val="28"/>
        </w:rPr>
        <w:t>Continuity or Disruption in the Law</w:t>
      </w:r>
      <w:r w:rsidR="00D464FE" w:rsidRPr="00D464FE">
        <w:rPr>
          <w:rFonts w:ascii="Century Schoolbook" w:hAnsi="Century Schoolbook"/>
          <w:b/>
          <w:smallCaps/>
          <w:sz w:val="28"/>
          <w:szCs w:val="28"/>
        </w:rPr>
        <w:t>?</w:t>
      </w:r>
    </w:p>
    <w:p w14:paraId="41B89D35" w14:textId="77777777" w:rsidR="00D464FE" w:rsidRPr="00D464FE" w:rsidRDefault="00D464FE" w:rsidP="00D464FE">
      <w:pPr>
        <w:jc w:val="center"/>
        <w:rPr>
          <w:rFonts w:ascii="Century Schoolbook" w:hAnsi="Century Schoolbook"/>
          <w:sz w:val="28"/>
          <w:szCs w:val="28"/>
        </w:rPr>
      </w:pPr>
    </w:p>
    <w:p w14:paraId="6273D358" w14:textId="77777777" w:rsidR="00F14EB4" w:rsidRDefault="00F14EB4" w:rsidP="004B7169">
      <w:pPr>
        <w:pStyle w:val="Heading1"/>
      </w:pPr>
      <w:r>
        <w:t>A New Justice, a New Court</w:t>
      </w:r>
    </w:p>
    <w:p w14:paraId="107FAFB0" w14:textId="77777777" w:rsidR="00F14EB4" w:rsidRDefault="00AB4E7C" w:rsidP="00F14EB4">
      <w:pPr>
        <w:pStyle w:val="Heading2"/>
      </w:pPr>
      <w:r>
        <w:t xml:space="preserve">New </w:t>
      </w:r>
      <w:r w:rsidR="00F14EB4">
        <w:t>Coalitions and Conflicts</w:t>
      </w:r>
    </w:p>
    <w:p w14:paraId="0D83A8D0" w14:textId="77777777" w:rsidR="00F14EB4" w:rsidRDefault="00F14EB4" w:rsidP="000F3903">
      <w:pPr>
        <w:pStyle w:val="Heading2"/>
        <w:keepNext w:val="0"/>
        <w:keepLines w:val="0"/>
        <w:widowControl w:val="0"/>
      </w:pPr>
      <w:r>
        <w:t>The Direction and Speed of Change</w:t>
      </w:r>
      <w:r w:rsidR="00AB4E7C">
        <w:t xml:space="preserve"> at the Court</w:t>
      </w:r>
    </w:p>
    <w:p w14:paraId="0EEFFE0B" w14:textId="77777777" w:rsidR="000F3903" w:rsidRPr="000F3903" w:rsidRDefault="000F3903" w:rsidP="000F3903"/>
    <w:p w14:paraId="27F1B49A" w14:textId="77777777" w:rsidR="004B7169" w:rsidRPr="004B7169" w:rsidRDefault="004B7169" w:rsidP="004B7169">
      <w:pPr>
        <w:pStyle w:val="Heading1"/>
      </w:pPr>
      <w:r w:rsidRPr="004B7169">
        <w:t>Emerging Themes for the New Supreme Court</w:t>
      </w:r>
    </w:p>
    <w:p w14:paraId="7EAA5228" w14:textId="77777777" w:rsidR="004B7169" w:rsidRDefault="004B7169" w:rsidP="004B7169">
      <w:pPr>
        <w:pStyle w:val="Heading2"/>
      </w:pPr>
      <w:r>
        <w:t>The Docket</w:t>
      </w:r>
    </w:p>
    <w:p w14:paraId="671EBD0B" w14:textId="77777777" w:rsidR="00561B4C" w:rsidRDefault="00561B4C" w:rsidP="000F3903">
      <w:pPr>
        <w:pStyle w:val="Heading3"/>
        <w:keepNext w:val="0"/>
        <w:keepLines w:val="0"/>
        <w:widowControl w:val="0"/>
      </w:pPr>
      <w:r>
        <w:t xml:space="preserve">Religion </w:t>
      </w:r>
    </w:p>
    <w:p w14:paraId="21473A38" w14:textId="77777777" w:rsidR="00561B4C" w:rsidRDefault="00D46BD8" w:rsidP="000F3903">
      <w:pPr>
        <w:pStyle w:val="Heading4"/>
        <w:keepNext w:val="0"/>
        <w:keepLines w:val="0"/>
        <w:widowControl w:val="0"/>
      </w:pPr>
      <w:r>
        <w:t>Free Exercise Clause</w:t>
      </w:r>
    </w:p>
    <w:p w14:paraId="44914D69" w14:textId="77777777" w:rsidR="00D46BD8" w:rsidRDefault="00D46BD8" w:rsidP="000F3903">
      <w:pPr>
        <w:pStyle w:val="Heading4"/>
        <w:keepNext w:val="0"/>
        <w:keepLines w:val="0"/>
        <w:widowControl w:val="0"/>
      </w:pPr>
      <w:r>
        <w:t>Establishment Clause</w:t>
      </w:r>
    </w:p>
    <w:p w14:paraId="15539189" w14:textId="77777777" w:rsidR="00D46BD8" w:rsidRDefault="00D46BD8" w:rsidP="000F3903">
      <w:pPr>
        <w:pStyle w:val="Heading3"/>
        <w:keepNext w:val="0"/>
        <w:keepLines w:val="0"/>
        <w:widowControl w:val="0"/>
      </w:pPr>
      <w:r>
        <w:t>Speech</w:t>
      </w:r>
    </w:p>
    <w:p w14:paraId="4202E6D2" w14:textId="77777777" w:rsidR="00D46BD8" w:rsidRDefault="00D46BD8" w:rsidP="000F3903">
      <w:pPr>
        <w:pStyle w:val="Heading3"/>
        <w:keepNext w:val="0"/>
        <w:keepLines w:val="0"/>
        <w:widowControl w:val="0"/>
      </w:pPr>
      <w:r>
        <w:t>Administrative Law and the Administrative State</w:t>
      </w:r>
    </w:p>
    <w:p w14:paraId="045DED05" w14:textId="77777777" w:rsidR="00D46BD8" w:rsidRDefault="00D46BD8" w:rsidP="000F3903">
      <w:pPr>
        <w:pStyle w:val="Heading4"/>
        <w:keepNext w:val="0"/>
        <w:keepLines w:val="0"/>
        <w:widowControl w:val="0"/>
      </w:pPr>
      <w:r>
        <w:t>Nondelegation</w:t>
      </w:r>
    </w:p>
    <w:p w14:paraId="225A8D6B" w14:textId="77777777" w:rsidR="00D46BD8" w:rsidRPr="00D46BD8" w:rsidRDefault="00D46BD8" w:rsidP="000F3903">
      <w:pPr>
        <w:pStyle w:val="Heading4"/>
        <w:keepNext w:val="0"/>
        <w:keepLines w:val="0"/>
        <w:widowControl w:val="0"/>
      </w:pPr>
      <w:r>
        <w:t>Major Questions</w:t>
      </w:r>
    </w:p>
    <w:p w14:paraId="06F008FB" w14:textId="77777777" w:rsidR="00D46BD8" w:rsidRDefault="00D46BD8" w:rsidP="000F3903">
      <w:pPr>
        <w:pStyle w:val="Heading3"/>
        <w:keepNext w:val="0"/>
        <w:keepLines w:val="0"/>
        <w:widowControl w:val="0"/>
      </w:pPr>
      <w:r>
        <w:t>Criminal Law and Criminal Procedure</w:t>
      </w:r>
    </w:p>
    <w:p w14:paraId="4195471F" w14:textId="77777777" w:rsidR="00D46BD8" w:rsidRPr="00D46BD8" w:rsidRDefault="00D46BD8" w:rsidP="000F3903">
      <w:pPr>
        <w:pStyle w:val="Heading3"/>
        <w:keepNext w:val="0"/>
        <w:keepLines w:val="0"/>
        <w:widowControl w:val="0"/>
      </w:pPr>
      <w:r>
        <w:t>Reproductive Rights</w:t>
      </w:r>
    </w:p>
    <w:p w14:paraId="16D6441C" w14:textId="77777777" w:rsidR="004B7169" w:rsidRDefault="004B7169" w:rsidP="000F3903">
      <w:pPr>
        <w:pStyle w:val="Heading2"/>
        <w:keepNext w:val="0"/>
        <w:keepLines w:val="0"/>
        <w:widowControl w:val="0"/>
      </w:pPr>
      <w:r>
        <w:t>The Shadow Docket</w:t>
      </w:r>
    </w:p>
    <w:p w14:paraId="34FFA377" w14:textId="77777777" w:rsidR="0055551E" w:rsidRDefault="0055551E" w:rsidP="000F3903">
      <w:pPr>
        <w:pStyle w:val="Heading3"/>
        <w:keepNext w:val="0"/>
        <w:keepLines w:val="0"/>
        <w:widowControl w:val="0"/>
      </w:pPr>
      <w:r>
        <w:t>The Rise(?) of the Shadow Docket</w:t>
      </w:r>
    </w:p>
    <w:p w14:paraId="4E2ED609" w14:textId="77777777" w:rsidR="0055551E" w:rsidRPr="000F3903" w:rsidRDefault="00A44FAB" w:rsidP="000F3903">
      <w:pPr>
        <w:pStyle w:val="Heading3"/>
        <w:keepNext w:val="0"/>
        <w:keepLines w:val="0"/>
        <w:widowControl w:val="0"/>
      </w:pPr>
      <w:r w:rsidRPr="000F3903">
        <w:rPr>
          <w:i/>
        </w:rPr>
        <w:t>NFIB v. OSHA</w:t>
      </w:r>
    </w:p>
    <w:p w14:paraId="75D5EDE2" w14:textId="77777777" w:rsidR="00A44FAB" w:rsidRPr="00A44FAB" w:rsidRDefault="00A44FAB" w:rsidP="00A44FAB"/>
    <w:p w14:paraId="2B13F668" w14:textId="77777777" w:rsidR="004B7169" w:rsidRDefault="004B7169" w:rsidP="004B7169">
      <w:pPr>
        <w:pStyle w:val="Heading1"/>
      </w:pPr>
      <w:r>
        <w:t xml:space="preserve">The Court and </w:t>
      </w:r>
      <w:r w:rsidR="00F14EB4">
        <w:t>“High Politics”</w:t>
      </w:r>
    </w:p>
    <w:p w14:paraId="37E0BEA3" w14:textId="77777777" w:rsidR="00F14EB4" w:rsidRDefault="00F14EB4" w:rsidP="004B7169">
      <w:pPr>
        <w:pStyle w:val="Heading2"/>
      </w:pPr>
      <w:r>
        <w:t xml:space="preserve">The Other Branches of Government </w:t>
      </w:r>
    </w:p>
    <w:p w14:paraId="43FE384C" w14:textId="77777777" w:rsidR="004B7169" w:rsidRDefault="004B7169" w:rsidP="000F3903">
      <w:pPr>
        <w:pStyle w:val="Heading3"/>
        <w:keepNext w:val="0"/>
        <w:keepLines w:val="0"/>
        <w:widowControl w:val="0"/>
      </w:pPr>
      <w:r>
        <w:t>Confront</w:t>
      </w:r>
      <w:r w:rsidR="000F3903">
        <w:t>ing the Court</w:t>
      </w:r>
    </w:p>
    <w:p w14:paraId="0AC2A796" w14:textId="77777777" w:rsidR="00F14EB4" w:rsidRDefault="000F3903" w:rsidP="000F3903">
      <w:pPr>
        <w:pStyle w:val="Heading3"/>
        <w:keepNext w:val="0"/>
        <w:keepLines w:val="0"/>
        <w:widowControl w:val="0"/>
      </w:pPr>
      <w:r>
        <w:t>Cooperating with the Court</w:t>
      </w:r>
    </w:p>
    <w:p w14:paraId="68A3CF26" w14:textId="77777777" w:rsidR="000F3903" w:rsidRPr="000F3903" w:rsidRDefault="000F3903" w:rsidP="000F3903">
      <w:pPr>
        <w:pStyle w:val="Heading3"/>
        <w:keepNext w:val="0"/>
        <w:keepLines w:val="0"/>
        <w:widowControl w:val="0"/>
      </w:pPr>
      <w:r>
        <w:t>C</w:t>
      </w:r>
      <w:r w:rsidR="006C7C82">
        <w:t>ontain</w:t>
      </w:r>
      <w:r>
        <w:t>ing the Court</w:t>
      </w:r>
    </w:p>
    <w:p w14:paraId="6F4EE4B4" w14:textId="77777777" w:rsidR="000F3903" w:rsidRDefault="000F3903" w:rsidP="000F3903">
      <w:pPr>
        <w:pStyle w:val="Heading2"/>
        <w:keepNext w:val="0"/>
        <w:keepLines w:val="0"/>
        <w:widowControl w:val="0"/>
      </w:pPr>
      <w:r>
        <w:t>The States</w:t>
      </w:r>
    </w:p>
    <w:p w14:paraId="40A8CFEA" w14:textId="77777777" w:rsidR="000F3903" w:rsidRDefault="000F3903" w:rsidP="000F3903">
      <w:pPr>
        <w:pStyle w:val="Heading3"/>
        <w:keepNext w:val="0"/>
        <w:keepLines w:val="0"/>
        <w:widowControl w:val="0"/>
      </w:pPr>
      <w:r>
        <w:t>A</w:t>
      </w:r>
      <w:r w:rsidR="006C7C82">
        <w:t>nother</w:t>
      </w:r>
      <w:r>
        <w:t xml:space="preserve"> Federalism Revival?</w:t>
      </w:r>
    </w:p>
    <w:p w14:paraId="273D2E08" w14:textId="77777777" w:rsidR="000F3903" w:rsidRPr="000F3903" w:rsidRDefault="000F3903" w:rsidP="000F3903">
      <w:pPr>
        <w:pStyle w:val="Heading3"/>
        <w:keepNext w:val="0"/>
        <w:keepLines w:val="0"/>
        <w:widowControl w:val="0"/>
      </w:pPr>
      <w:r>
        <w:t xml:space="preserve">Empowering </w:t>
      </w:r>
      <w:r w:rsidR="006C7C82">
        <w:t>and</w:t>
      </w:r>
      <w:r>
        <w:t xml:space="preserve"> Disempowering States</w:t>
      </w:r>
    </w:p>
    <w:p w14:paraId="711BC391" w14:textId="77777777" w:rsidR="00F14EB4" w:rsidRDefault="000F3903" w:rsidP="000F3903">
      <w:pPr>
        <w:pStyle w:val="Heading2"/>
        <w:keepNext w:val="0"/>
        <w:keepLines w:val="0"/>
        <w:widowControl w:val="0"/>
      </w:pPr>
      <w:r>
        <w:t>The Lower Courts</w:t>
      </w:r>
    </w:p>
    <w:p w14:paraId="512A89A3" w14:textId="77777777" w:rsidR="000F3903" w:rsidRDefault="000F3903" w:rsidP="000F3903">
      <w:pPr>
        <w:pStyle w:val="Heading3"/>
        <w:keepNext w:val="0"/>
        <w:keepLines w:val="0"/>
        <w:widowControl w:val="0"/>
      </w:pPr>
      <w:r>
        <w:t>The Court as Supervisor</w:t>
      </w:r>
    </w:p>
    <w:p w14:paraId="67EF04B5" w14:textId="77777777" w:rsidR="000F3903" w:rsidRPr="000F3903" w:rsidRDefault="000F3903" w:rsidP="000F3903">
      <w:pPr>
        <w:pStyle w:val="Heading3"/>
        <w:keepNext w:val="0"/>
        <w:keepLines w:val="0"/>
        <w:widowControl w:val="0"/>
      </w:pPr>
      <w:r>
        <w:t>The Court as Instigator</w:t>
      </w:r>
    </w:p>
    <w:p w14:paraId="5794936E" w14:textId="77777777" w:rsidR="004B7169" w:rsidRPr="004B7169" w:rsidRDefault="004B7169" w:rsidP="004B7169"/>
    <w:sectPr w:rsidR="004B7169" w:rsidRPr="004B7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61A01"/>
    <w:multiLevelType w:val="multilevel"/>
    <w:tmpl w:val="F8CE7DE8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 w16cid:durableId="921254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169"/>
    <w:rsid w:val="000F3903"/>
    <w:rsid w:val="004B7169"/>
    <w:rsid w:val="0055551E"/>
    <w:rsid w:val="00561B4C"/>
    <w:rsid w:val="006C7C82"/>
    <w:rsid w:val="007135A6"/>
    <w:rsid w:val="00A44FAB"/>
    <w:rsid w:val="00AB309A"/>
    <w:rsid w:val="00AB4E7C"/>
    <w:rsid w:val="00B10D30"/>
    <w:rsid w:val="00B5243E"/>
    <w:rsid w:val="00D1140D"/>
    <w:rsid w:val="00D464FE"/>
    <w:rsid w:val="00D46BD8"/>
    <w:rsid w:val="00F1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6B400"/>
  <w15:chartTrackingRefBased/>
  <w15:docId w15:val="{BC49FF54-0648-4BEC-B052-DAEA6217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169"/>
    <w:pPr>
      <w:keepNext/>
      <w:keepLines/>
      <w:numPr>
        <w:numId w:val="1"/>
      </w:numPr>
      <w:spacing w:before="240" w:after="0"/>
      <w:outlineLvl w:val="0"/>
    </w:pPr>
    <w:rPr>
      <w:rFonts w:ascii="Century Schoolbook" w:eastAsiaTheme="majorEastAsia" w:hAnsi="Century Schoolbook" w:cstheme="majorBid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7169"/>
    <w:pPr>
      <w:keepNext/>
      <w:keepLines/>
      <w:numPr>
        <w:ilvl w:val="1"/>
        <w:numId w:val="1"/>
      </w:numPr>
      <w:spacing w:before="40" w:after="0"/>
      <w:outlineLvl w:val="1"/>
    </w:pPr>
    <w:rPr>
      <w:rFonts w:ascii="Century Schoolbook" w:eastAsiaTheme="majorEastAsia" w:hAnsi="Century Schoolbook" w:cstheme="majorBidi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1B4C"/>
    <w:pPr>
      <w:keepNext/>
      <w:keepLines/>
      <w:numPr>
        <w:ilvl w:val="2"/>
        <w:numId w:val="1"/>
      </w:numPr>
      <w:spacing w:before="40" w:after="0"/>
      <w:outlineLvl w:val="2"/>
    </w:pPr>
    <w:rPr>
      <w:rFonts w:ascii="Century Schoolbook" w:eastAsiaTheme="majorEastAsia" w:hAnsi="Century Schoolbook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6BD8"/>
    <w:pPr>
      <w:keepNext/>
      <w:keepLines/>
      <w:numPr>
        <w:ilvl w:val="3"/>
        <w:numId w:val="1"/>
      </w:numPr>
      <w:spacing w:before="40" w:after="0"/>
      <w:outlineLvl w:val="3"/>
    </w:pPr>
    <w:rPr>
      <w:rFonts w:ascii="Century Schoolbook" w:eastAsiaTheme="majorEastAsia" w:hAnsi="Century Schoolbook" w:cstheme="majorBidi"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716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716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716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716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16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1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B7169"/>
    <w:rPr>
      <w:rFonts w:ascii="Century Schoolbook" w:eastAsiaTheme="majorEastAsia" w:hAnsi="Century Schoolbook" w:cstheme="majorBidi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B7169"/>
    <w:rPr>
      <w:rFonts w:ascii="Century Schoolbook" w:eastAsiaTheme="majorEastAsia" w:hAnsi="Century Schoolbook" w:cstheme="majorBidi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61B4C"/>
    <w:rPr>
      <w:rFonts w:ascii="Century Schoolbook" w:eastAsiaTheme="majorEastAsia" w:hAnsi="Century Schoolbook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46BD8"/>
    <w:rPr>
      <w:rFonts w:ascii="Century Schoolbook" w:eastAsiaTheme="majorEastAsia" w:hAnsi="Century Schoolbook" w:cstheme="majorBidi"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B716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4B716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4B716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4B716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16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 School of Law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McKenzie, Troy</dc:creator>
  <cp:keywords/>
  <dc:description/>
  <cp:lastModifiedBy>Patricia Baquero</cp:lastModifiedBy>
  <cp:revision>2</cp:revision>
  <dcterms:created xsi:type="dcterms:W3CDTF">2022-04-27T21:03:00Z</dcterms:created>
  <dcterms:modified xsi:type="dcterms:W3CDTF">2022-04-27T21:03:00Z</dcterms:modified>
</cp:coreProperties>
</file>