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D976D" w14:textId="0C17D966" w:rsidR="00C346C5" w:rsidRDefault="00C346C5" w:rsidP="001E1997">
      <w:pPr>
        <w:pStyle w:val="FootnoteText"/>
      </w:pPr>
    </w:p>
    <w:p w14:paraId="023FC771" w14:textId="77777777" w:rsidR="001F0D59" w:rsidRDefault="001F0D59" w:rsidP="001E1997">
      <w:pPr>
        <w:pStyle w:val="FootnoteText"/>
      </w:pPr>
    </w:p>
    <w:p w14:paraId="22670678" w14:textId="77777777" w:rsidR="00C346C5" w:rsidRDefault="00C346C5">
      <w:pPr>
        <w:pStyle w:val="Title"/>
        <w:tabs>
          <w:tab w:val="left" w:pos="0"/>
        </w:tabs>
      </w:pPr>
    </w:p>
    <w:p w14:paraId="656FE336" w14:textId="77777777" w:rsidR="00C346C5" w:rsidRDefault="00C346C5">
      <w:pPr>
        <w:pStyle w:val="Title"/>
        <w:tabs>
          <w:tab w:val="left" w:pos="0"/>
        </w:tabs>
      </w:pPr>
    </w:p>
    <w:p w14:paraId="106C829C" w14:textId="77777777" w:rsidR="00C346C5" w:rsidRDefault="00C346C5">
      <w:pPr>
        <w:pStyle w:val="Title"/>
        <w:tabs>
          <w:tab w:val="left" w:pos="0"/>
        </w:tabs>
      </w:pPr>
    </w:p>
    <w:p w14:paraId="2DDB550B" w14:textId="77777777" w:rsidR="00C346C5" w:rsidRDefault="00C346C5">
      <w:pPr>
        <w:pStyle w:val="Title"/>
        <w:tabs>
          <w:tab w:val="left" w:pos="0"/>
        </w:tabs>
      </w:pPr>
    </w:p>
    <w:p w14:paraId="525A4D94" w14:textId="77777777" w:rsidR="00C346C5" w:rsidRDefault="00C346C5">
      <w:pPr>
        <w:pStyle w:val="Title"/>
        <w:tabs>
          <w:tab w:val="left" w:pos="0"/>
        </w:tabs>
      </w:pPr>
      <w:bookmarkStart w:id="0" w:name="_GoBack"/>
      <w:bookmarkEnd w:id="0"/>
    </w:p>
    <w:p w14:paraId="6D5F04A6" w14:textId="77777777" w:rsidR="00C346C5" w:rsidRDefault="00C346C5">
      <w:pPr>
        <w:pStyle w:val="Title"/>
        <w:tabs>
          <w:tab w:val="left" w:pos="0"/>
        </w:tabs>
      </w:pPr>
    </w:p>
    <w:p w14:paraId="714244FF" w14:textId="79B19BE8" w:rsidR="00C346C5" w:rsidRDefault="00C41C39">
      <w:pPr>
        <w:pStyle w:val="Title"/>
        <w:tabs>
          <w:tab w:val="left" w:pos="0"/>
        </w:tabs>
        <w:rPr>
          <w:b w:val="0"/>
          <w:bCs w:val="0"/>
          <w:sz w:val="26"/>
        </w:rPr>
      </w:pPr>
      <w:bookmarkStart w:id="1" w:name="_Toc174707537"/>
      <w:bookmarkStart w:id="2" w:name="_Toc175055032"/>
      <w:bookmarkStart w:id="3" w:name="_Toc175068316"/>
      <w:r>
        <w:t>Bankruptcy Goes Private</w:t>
      </w:r>
      <w:bookmarkEnd w:id="1"/>
      <w:bookmarkEnd w:id="2"/>
      <w:bookmarkEnd w:id="3"/>
    </w:p>
    <w:p w14:paraId="165DCBAC" w14:textId="3DB36E65" w:rsidR="00C346C5" w:rsidRDefault="00C346C5">
      <w:pPr>
        <w:pStyle w:val="Title"/>
        <w:tabs>
          <w:tab w:val="left" w:pos="0"/>
        </w:tabs>
        <w:rPr>
          <w:b w:val="0"/>
          <w:bCs w:val="0"/>
          <w:sz w:val="26"/>
        </w:rPr>
      </w:pPr>
      <w:bookmarkStart w:id="4" w:name="_Toc174707538"/>
      <w:bookmarkStart w:id="5" w:name="_Toc175055033"/>
      <w:bookmarkStart w:id="6" w:name="_Toc175068317"/>
      <w:r>
        <w:rPr>
          <w:b w:val="0"/>
          <w:bCs w:val="0"/>
          <w:sz w:val="26"/>
        </w:rPr>
        <w:t>Mark J. Roe</w:t>
      </w:r>
      <w:r w:rsidR="00277F20">
        <w:rPr>
          <w:b w:val="0"/>
          <w:bCs w:val="0"/>
          <w:sz w:val="26"/>
        </w:rPr>
        <w:t xml:space="preserve"> and Michael Simkovic</w:t>
      </w:r>
      <w:bookmarkEnd w:id="4"/>
      <w:bookmarkEnd w:id="5"/>
      <w:bookmarkEnd w:id="6"/>
    </w:p>
    <w:p w14:paraId="275B41A7" w14:textId="77777777" w:rsidR="00C346C5" w:rsidRDefault="00C346C5">
      <w:pPr>
        <w:pStyle w:val="Heading3"/>
        <w:rPr>
          <w:b w:val="0"/>
          <w:bCs w:val="0"/>
          <w:sz w:val="26"/>
        </w:rPr>
      </w:pPr>
    </w:p>
    <w:p w14:paraId="72F27809" w14:textId="69E37689" w:rsidR="00C346C5" w:rsidRDefault="00C346C5">
      <w:pPr>
        <w:pStyle w:val="Heading3"/>
        <w:rPr>
          <w:b w:val="0"/>
          <w:bCs w:val="0"/>
          <w:sz w:val="26"/>
        </w:rPr>
      </w:pPr>
      <w:r>
        <w:rPr>
          <w:b w:val="0"/>
          <w:bCs w:val="0"/>
          <w:sz w:val="26"/>
        </w:rPr>
        <w:fldChar w:fldCharType="begin"/>
      </w:r>
      <w:r>
        <w:rPr>
          <w:b w:val="0"/>
          <w:bCs w:val="0"/>
          <w:sz w:val="26"/>
        </w:rPr>
        <w:instrText xml:space="preserve"> TIME \@ "MMMM d, yyyy" </w:instrText>
      </w:r>
      <w:r>
        <w:rPr>
          <w:b w:val="0"/>
          <w:bCs w:val="0"/>
          <w:sz w:val="26"/>
        </w:rPr>
        <w:fldChar w:fldCharType="separate"/>
      </w:r>
      <w:bookmarkStart w:id="7" w:name="_Toc174707539"/>
      <w:bookmarkStart w:id="8" w:name="_Toc175055034"/>
      <w:bookmarkStart w:id="9" w:name="_Toc175068318"/>
      <w:r w:rsidR="000B5B00">
        <w:rPr>
          <w:b w:val="0"/>
          <w:bCs w:val="0"/>
          <w:noProof/>
          <w:sz w:val="26"/>
        </w:rPr>
        <w:t>September 13, 2024</w:t>
      </w:r>
      <w:bookmarkEnd w:id="7"/>
      <w:bookmarkEnd w:id="8"/>
      <w:bookmarkEnd w:id="9"/>
      <w:r>
        <w:rPr>
          <w:b w:val="0"/>
          <w:bCs w:val="0"/>
          <w:sz w:val="26"/>
        </w:rPr>
        <w:fldChar w:fldCharType="end"/>
      </w:r>
    </w:p>
    <w:p w14:paraId="071039A5" w14:textId="77777777" w:rsidR="0052352F" w:rsidRDefault="0052352F">
      <w:pPr>
        <w:pStyle w:val="Heading3"/>
        <w:jc w:val="right"/>
        <w:rPr>
          <w:b w:val="0"/>
          <w:bCs w:val="0"/>
          <w:i/>
          <w:iCs/>
          <w:sz w:val="16"/>
        </w:rPr>
        <w:sectPr w:rsidR="0052352F" w:rsidSect="006107E2">
          <w:headerReference w:type="even" r:id="rId9"/>
          <w:headerReference w:type="default" r:id="rId10"/>
          <w:footerReference w:type="even" r:id="rId11"/>
          <w:footerReference w:type="default" r:id="rId12"/>
          <w:pgSz w:w="12240" w:h="15840"/>
          <w:pgMar w:top="2160" w:right="2448" w:bottom="1584" w:left="2448" w:header="1440" w:footer="720" w:gutter="0"/>
          <w:pgNumType w:start="1"/>
          <w:cols w:space="720"/>
          <w:titlePg/>
          <w:docGrid w:linePitch="272"/>
        </w:sectPr>
      </w:pPr>
      <w:bookmarkStart w:id="10" w:name="_Toc174707540"/>
    </w:p>
    <w:p w14:paraId="547329A2" w14:textId="77777777" w:rsidR="001D1CE6" w:rsidRDefault="001D1CE6">
      <w:pPr>
        <w:pStyle w:val="Heading3"/>
        <w:jc w:val="right"/>
        <w:rPr>
          <w:b w:val="0"/>
          <w:bCs w:val="0"/>
          <w:i/>
          <w:iCs/>
          <w:sz w:val="16"/>
        </w:rPr>
      </w:pPr>
    </w:p>
    <w:p w14:paraId="66DA5489" w14:textId="77777777" w:rsidR="001D1CE6" w:rsidRDefault="001D1CE6">
      <w:pPr>
        <w:pStyle w:val="Heading3"/>
        <w:jc w:val="right"/>
        <w:rPr>
          <w:b w:val="0"/>
          <w:bCs w:val="0"/>
          <w:i/>
          <w:iCs/>
          <w:sz w:val="16"/>
        </w:rPr>
      </w:pPr>
    </w:p>
    <w:p w14:paraId="0DF12019" w14:textId="77777777" w:rsidR="001D1CE6" w:rsidRDefault="001D1CE6">
      <w:pPr>
        <w:pStyle w:val="Heading3"/>
        <w:jc w:val="right"/>
        <w:rPr>
          <w:b w:val="0"/>
          <w:bCs w:val="0"/>
          <w:i/>
          <w:iCs/>
          <w:sz w:val="16"/>
        </w:rPr>
      </w:pPr>
    </w:p>
    <w:p w14:paraId="38B78116" w14:textId="77777777" w:rsidR="001D1CE6" w:rsidRDefault="001D1CE6">
      <w:pPr>
        <w:pStyle w:val="Heading3"/>
        <w:jc w:val="right"/>
        <w:rPr>
          <w:b w:val="0"/>
          <w:bCs w:val="0"/>
          <w:i/>
          <w:iCs/>
          <w:sz w:val="16"/>
        </w:rPr>
      </w:pPr>
    </w:p>
    <w:p w14:paraId="1643FDC7" w14:textId="77777777" w:rsidR="001D1CE6" w:rsidRDefault="001D1CE6">
      <w:pPr>
        <w:pStyle w:val="Heading3"/>
        <w:jc w:val="right"/>
        <w:rPr>
          <w:b w:val="0"/>
          <w:bCs w:val="0"/>
          <w:i/>
          <w:iCs/>
          <w:sz w:val="16"/>
        </w:rPr>
      </w:pPr>
    </w:p>
    <w:p w14:paraId="58CBE000" w14:textId="2846574D" w:rsidR="00C346C5" w:rsidRDefault="009F082E">
      <w:pPr>
        <w:pStyle w:val="Heading3"/>
        <w:jc w:val="right"/>
        <w:rPr>
          <w:b w:val="0"/>
          <w:bCs w:val="0"/>
          <w:i/>
          <w:iCs/>
          <w:sz w:val="16"/>
        </w:rPr>
      </w:pPr>
      <w:bookmarkStart w:id="11" w:name="_Toc175055035"/>
      <w:bookmarkStart w:id="12" w:name="_Toc175068319"/>
      <w:r>
        <w:rPr>
          <w:b w:val="0"/>
          <w:bCs w:val="0"/>
          <w:i/>
          <w:iCs/>
          <w:sz w:val="16"/>
        </w:rPr>
        <w:t>D</w:t>
      </w:r>
      <w:r w:rsidR="00C346C5">
        <w:rPr>
          <w:b w:val="0"/>
          <w:bCs w:val="0"/>
          <w:i/>
          <w:iCs/>
          <w:sz w:val="16"/>
        </w:rPr>
        <w:t xml:space="preserve">raft: </w:t>
      </w:r>
      <w:r w:rsidR="00CE2F7A">
        <w:rPr>
          <w:b w:val="0"/>
          <w:bCs w:val="0"/>
          <w:i/>
          <w:iCs/>
          <w:sz w:val="16"/>
        </w:rPr>
        <w:t>August</w:t>
      </w:r>
      <w:r w:rsidR="004571F1">
        <w:rPr>
          <w:b w:val="0"/>
          <w:bCs w:val="0"/>
          <w:i/>
          <w:iCs/>
          <w:sz w:val="16"/>
        </w:rPr>
        <w:t xml:space="preserve"> </w:t>
      </w:r>
      <w:r w:rsidR="00111BF1">
        <w:rPr>
          <w:b w:val="0"/>
          <w:bCs w:val="0"/>
          <w:i/>
          <w:iCs/>
          <w:sz w:val="16"/>
        </w:rPr>
        <w:t>30</w:t>
      </w:r>
      <w:r w:rsidR="004571F1">
        <w:rPr>
          <w:b w:val="0"/>
          <w:bCs w:val="0"/>
          <w:i/>
          <w:iCs/>
          <w:sz w:val="16"/>
        </w:rPr>
        <w:t>, 2024</w:t>
      </w:r>
      <w:bookmarkEnd w:id="10"/>
      <w:bookmarkEnd w:id="11"/>
      <w:bookmarkEnd w:id="12"/>
      <w:r w:rsidR="004D5C54">
        <w:rPr>
          <w:b w:val="0"/>
          <w:bCs w:val="0"/>
          <w:i/>
          <w:iCs/>
          <w:sz w:val="16"/>
        </w:rPr>
        <w:t>, v1.</w:t>
      </w:r>
      <w:r w:rsidR="00111BF1">
        <w:rPr>
          <w:b w:val="0"/>
          <w:bCs w:val="0"/>
          <w:i/>
          <w:iCs/>
          <w:sz w:val="16"/>
        </w:rPr>
        <w:t>8</w:t>
      </w:r>
    </w:p>
    <w:p w14:paraId="205D4036" w14:textId="77777777" w:rsidR="00C346C5" w:rsidRDefault="00C346C5">
      <w:pPr>
        <w:jc w:val="center"/>
        <w:rPr>
          <w:sz w:val="26"/>
        </w:rPr>
      </w:pPr>
    </w:p>
    <w:p w14:paraId="5946A904" w14:textId="77777777" w:rsidR="004B6E3E" w:rsidRDefault="004B6E3E" w:rsidP="007F7FA3">
      <w:pPr>
        <w:pStyle w:val="ChapterTitle"/>
      </w:pPr>
    </w:p>
    <w:p w14:paraId="48EA9FCE" w14:textId="77777777" w:rsidR="004B6E3E" w:rsidRDefault="004B6E3E" w:rsidP="007F7FA3">
      <w:pPr>
        <w:pStyle w:val="ChapterTitle"/>
      </w:pPr>
    </w:p>
    <w:p w14:paraId="3995856A" w14:textId="706DD77B" w:rsidR="00355A65" w:rsidRDefault="00C41C39" w:rsidP="00355A65">
      <w:pPr>
        <w:pStyle w:val="Title"/>
        <w:tabs>
          <w:tab w:val="left" w:pos="0"/>
        </w:tabs>
        <w:rPr>
          <w:b w:val="0"/>
          <w:bCs w:val="0"/>
          <w:sz w:val="26"/>
        </w:rPr>
      </w:pPr>
      <w:bookmarkStart w:id="13" w:name="_Toc174707541"/>
      <w:bookmarkStart w:id="14" w:name="_Toc175055036"/>
      <w:bookmarkStart w:id="15" w:name="_Toc175068320"/>
      <w:r>
        <w:t>Bankruptcy Goes Private</w:t>
      </w:r>
      <w:bookmarkEnd w:id="13"/>
      <w:bookmarkEnd w:id="14"/>
      <w:bookmarkEnd w:id="15"/>
    </w:p>
    <w:p w14:paraId="0A84DA64" w14:textId="77777777" w:rsidR="00C346C5" w:rsidRDefault="00C346C5">
      <w:pPr>
        <w:ind w:left="720"/>
        <w:jc w:val="center"/>
      </w:pPr>
    </w:p>
    <w:p w14:paraId="25BAF609" w14:textId="2D3038AA" w:rsidR="00C346C5" w:rsidRPr="008F14BE" w:rsidRDefault="00C346C5">
      <w:pPr>
        <w:jc w:val="center"/>
        <w:rPr>
          <w:sz w:val="24"/>
        </w:rPr>
      </w:pPr>
      <w:r w:rsidRPr="008F14BE">
        <w:rPr>
          <w:sz w:val="24"/>
        </w:rPr>
        <w:t>Mark J. Roe</w:t>
      </w:r>
      <w:r w:rsidR="004B6E3E" w:rsidRPr="008F14BE">
        <w:rPr>
          <w:sz w:val="24"/>
        </w:rPr>
        <w:t xml:space="preserve"> &amp; Michael Simkovic</w:t>
      </w:r>
    </w:p>
    <w:p w14:paraId="107D8A98" w14:textId="77777777" w:rsidR="00C346C5" w:rsidRPr="008F14BE" w:rsidRDefault="00C346C5">
      <w:pPr>
        <w:jc w:val="center"/>
        <w:rPr>
          <w:sz w:val="22"/>
        </w:rPr>
      </w:pPr>
    </w:p>
    <w:p w14:paraId="3B3A9C18" w14:textId="77777777" w:rsidR="00C346C5" w:rsidRDefault="00C346C5">
      <w:pPr>
        <w:jc w:val="center"/>
        <w:rPr>
          <w:sz w:val="22"/>
        </w:rPr>
      </w:pPr>
      <w:r>
        <w:rPr>
          <w:sz w:val="22"/>
        </w:rPr>
        <w:t>Abstract</w:t>
      </w:r>
    </w:p>
    <w:p w14:paraId="52832B5F" w14:textId="77777777" w:rsidR="00C346C5" w:rsidRDefault="00C346C5" w:rsidP="001E1997">
      <w:pPr>
        <w:pStyle w:val="FootnoteText"/>
      </w:pPr>
    </w:p>
    <w:p w14:paraId="1895F896" w14:textId="0782CAFF" w:rsidR="008F14BE" w:rsidRPr="00CD509D" w:rsidRDefault="008F14BE" w:rsidP="007F7FA3">
      <w:pPr>
        <w:pStyle w:val="Abstract"/>
        <w:rPr>
          <w:iCs/>
        </w:rPr>
      </w:pPr>
      <w:r>
        <w:t>In the 1980s and 1990s, large firms filing bankruptcy were typically publicly traded corporations with well</w:t>
      </w:r>
      <w:r w:rsidR="00B65650">
        <w:t xml:space="preserve"> </w:t>
      </w:r>
      <w:r>
        <w:t xml:space="preserve">distributed transparent information about their business operations. Most of these public firm filers emerged from bankruptcy as publicly traded firms. This </w:t>
      </w:r>
      <w:r w:rsidR="00C82694">
        <w:t xml:space="preserve">is </w:t>
      </w:r>
      <w:r w:rsidR="00F92AA9">
        <w:t xml:space="preserve">no </w:t>
      </w:r>
      <w:r>
        <w:t xml:space="preserve">longer so. Firms that are publicly traded when they file bankruptcy increasingly emerge from bankruptcy as privately held firms that do not report financial information. Others emerge as wholly owned subsidiaries of much larger firms; they also do not typically report much about the previously bankrupt business separately from the larger corporate group. Thus, a wide class of large bankrupt firms </w:t>
      </w:r>
      <w:r w:rsidR="00617D97">
        <w:t xml:space="preserve">now </w:t>
      </w:r>
      <w:r>
        <w:t>emerge without separately traded equity. Here, we document for the first time that bankruptcy is increasingly functioning as a going</w:t>
      </w:r>
      <w:r w:rsidR="00944A26">
        <w:t xml:space="preserve"> </w:t>
      </w:r>
      <w:r>
        <w:t xml:space="preserve">private transaction for firms that enter bankruptcy as publicly traded companies.  This trend toward going private in bankruptcy combines with the trend for more of the large filers being private when they file to </w:t>
      </w:r>
      <w:r w:rsidR="005702FB">
        <w:t xml:space="preserve">produce </w:t>
      </w:r>
      <w:r>
        <w:t>a major overall shift: public firm</w:t>
      </w:r>
      <w:r w:rsidR="00CE6568">
        <w:t xml:space="preserve"> bankruptcies</w:t>
      </w:r>
      <w:r w:rsidR="00563161">
        <w:t xml:space="preserve">—long a main </w:t>
      </w:r>
      <w:r w:rsidR="00CE6568">
        <w:t xml:space="preserve">focus </w:t>
      </w:r>
      <w:r w:rsidR="00563161">
        <w:t>of academic bankruptcy discussion—</w:t>
      </w:r>
      <w:r>
        <w:t>are disappearing from the bankruptcy process.</w:t>
      </w:r>
    </w:p>
    <w:p w14:paraId="4C6E479E" w14:textId="26BB7CD3" w:rsidR="008F14BE" w:rsidRDefault="008F14BE" w:rsidP="007F7FA3">
      <w:pPr>
        <w:pStyle w:val="Abstract"/>
      </w:pPr>
      <w:r>
        <w:t>The going private trend for bankruptcy has important implications for the information</w:t>
      </w:r>
      <w:r w:rsidR="00944A26">
        <w:t xml:space="preserve"> </w:t>
      </w:r>
      <w:r>
        <w:t xml:space="preserve">generating function of the bankruptcy process, for the advantages enjoyed by insiders investing in distressed firms, for the approaches used to resolve distressed firms, and, for </w:t>
      </w:r>
      <w:r w:rsidR="003A184B">
        <w:t xml:space="preserve">political </w:t>
      </w:r>
      <w:r>
        <w:t xml:space="preserve">critics, for the perceived legitimacy and openness of the bankruptcy process. Much bankruptcy thinking, doctrine, and practice is adapted to restructuring </w:t>
      </w:r>
      <w:r w:rsidR="00804632">
        <w:t>a</w:t>
      </w:r>
      <w:r>
        <w:t xml:space="preserve"> bankrupt large public firm,</w:t>
      </w:r>
      <w:r w:rsidR="00944A26">
        <w:t xml:space="preserve"> </w:t>
      </w:r>
      <w:r w:rsidR="00804632">
        <w:t xml:space="preserve">and </w:t>
      </w:r>
      <w:r>
        <w:t>aiming to keep it viable as a public firm. But</w:t>
      </w:r>
      <w:r w:rsidR="00944A26">
        <w:t>, increasingly, that situation</w:t>
      </w:r>
      <w:r>
        <w:t xml:space="preserve"> no longer describes the large firm chapter 11 restructuring process, </w:t>
      </w:r>
      <w:r w:rsidR="00557B66">
        <w:t>since</w:t>
      </w:r>
      <w:r w:rsidR="00804632">
        <w:t xml:space="preserve"> </w:t>
      </w:r>
      <w:r w:rsidR="00DF6DC5">
        <w:t xml:space="preserve">large filers are </w:t>
      </w:r>
      <w:r w:rsidR="00557B66">
        <w:t xml:space="preserve"> often </w:t>
      </w:r>
      <w:r w:rsidR="00DF6DC5">
        <w:t>private</w:t>
      </w:r>
      <w:r w:rsidR="00E75813">
        <w:t>,</w:t>
      </w:r>
      <w:r w:rsidR="00DF6DC5">
        <w:t xml:space="preserve"> and public filers  go private during </w:t>
      </w:r>
      <w:r w:rsidR="00804632">
        <w:t>bankruptcy</w:t>
      </w:r>
      <w:r>
        <w:t xml:space="preserve">.                                                                  </w:t>
      </w:r>
    </w:p>
    <w:p w14:paraId="5BA17AB7" w14:textId="77777777" w:rsidR="008F14BE" w:rsidRDefault="008F14BE" w:rsidP="007F7FA3">
      <w:pPr>
        <w:pStyle w:val="Abstract"/>
      </w:pPr>
    </w:p>
    <w:p w14:paraId="2138BC21" w14:textId="77777777" w:rsidR="008F14BE" w:rsidRDefault="008F14BE" w:rsidP="007F7FA3">
      <w:pPr>
        <w:pStyle w:val="Abstract"/>
      </w:pPr>
    </w:p>
    <w:p w14:paraId="3BDA0B90" w14:textId="66CFA5A8" w:rsidR="008C085D" w:rsidRPr="00214959" w:rsidRDefault="008C085D" w:rsidP="007F7FA3">
      <w:pPr>
        <w:pStyle w:val="Abstract"/>
      </w:pPr>
    </w:p>
    <w:p w14:paraId="7BC04F05" w14:textId="28B00AB1" w:rsidR="00214959" w:rsidRPr="00214959" w:rsidRDefault="008C085D" w:rsidP="007F7FA3">
      <w:pPr>
        <w:pStyle w:val="Abstract"/>
      </w:pPr>
      <w:r>
        <w:t xml:space="preserve"> </w:t>
      </w:r>
    </w:p>
    <w:p w14:paraId="660A268F" w14:textId="7B56E931" w:rsidR="009F082E" w:rsidRDefault="0036383C" w:rsidP="007F7FA3">
      <w:pPr>
        <w:pStyle w:val="Abstract"/>
        <w:sectPr w:rsidR="009F082E" w:rsidSect="006107E2">
          <w:pgSz w:w="12240" w:h="15840"/>
          <w:pgMar w:top="2160" w:right="2448" w:bottom="1584" w:left="2448" w:header="1440" w:footer="720" w:gutter="0"/>
          <w:pgNumType w:start="1"/>
          <w:cols w:space="720"/>
          <w:docGrid w:linePitch="272"/>
        </w:sectPr>
      </w:pPr>
      <w:r>
        <w:t>.</w:t>
      </w:r>
      <w:r w:rsidR="004A46E1">
        <w:t xml:space="preserve"> </w:t>
      </w:r>
    </w:p>
    <w:p w14:paraId="783A85D2" w14:textId="3C8CBC81" w:rsidR="00315EE0" w:rsidRDefault="00C41C39" w:rsidP="00315EE0">
      <w:pPr>
        <w:pStyle w:val="Title"/>
        <w:tabs>
          <w:tab w:val="left" w:pos="0"/>
        </w:tabs>
        <w:rPr>
          <w:b w:val="0"/>
          <w:bCs w:val="0"/>
          <w:sz w:val="26"/>
        </w:rPr>
      </w:pPr>
      <w:bookmarkStart w:id="16" w:name="_Toc174707542"/>
      <w:bookmarkStart w:id="17" w:name="_Toc175055037"/>
      <w:bookmarkStart w:id="18" w:name="_Toc175068321"/>
      <w:r>
        <w:lastRenderedPageBreak/>
        <w:t>Bankruptcy Goes Private</w:t>
      </w:r>
      <w:bookmarkEnd w:id="16"/>
      <w:bookmarkEnd w:id="17"/>
      <w:bookmarkEnd w:id="18"/>
    </w:p>
    <w:p w14:paraId="24E77A83" w14:textId="77777777" w:rsidR="004B6E3E" w:rsidRDefault="004B6E3E" w:rsidP="004B6E3E">
      <w:pPr>
        <w:ind w:left="720"/>
        <w:jc w:val="center"/>
      </w:pPr>
    </w:p>
    <w:p w14:paraId="5F53B633" w14:textId="380A2FB5" w:rsidR="004B6E3E" w:rsidRPr="008F14BE" w:rsidRDefault="004B6E3E" w:rsidP="004B6E3E">
      <w:pPr>
        <w:jc w:val="center"/>
        <w:rPr>
          <w:sz w:val="24"/>
        </w:rPr>
      </w:pPr>
      <w:r w:rsidRPr="008F14BE">
        <w:rPr>
          <w:sz w:val="24"/>
        </w:rPr>
        <w:t>Mark J. Roe &amp; Michael Simkovic</w:t>
      </w:r>
      <w:r w:rsidR="00B914FD" w:rsidRPr="00137655">
        <w:rPr>
          <w:rStyle w:val="FootnoteReference"/>
        </w:rPr>
        <w:footnoteReference w:customMarkFollows="1" w:id="1"/>
        <w:sym w:font="Symbol" w:char="F02A"/>
      </w:r>
    </w:p>
    <w:p w14:paraId="2D10D975" w14:textId="0BC2A697" w:rsidR="00C346C5" w:rsidRPr="00E32270" w:rsidRDefault="00C346C5" w:rsidP="00E32270"/>
    <w:p w14:paraId="7A731F10" w14:textId="77777777" w:rsidR="00C346C5" w:rsidRDefault="00C346C5"/>
    <w:p w14:paraId="2D7BA68B" w14:textId="1C6947B0" w:rsidR="00C346C5" w:rsidRDefault="00C346C5">
      <w:pPr>
        <w:jc w:val="center"/>
        <w:rPr>
          <w:sz w:val="22"/>
        </w:rPr>
      </w:pPr>
      <w:r>
        <w:rPr>
          <w:sz w:val="22"/>
        </w:rPr>
        <w:t>Table of Contents</w:t>
      </w:r>
    </w:p>
    <w:p w14:paraId="48E91B03" w14:textId="77777777" w:rsidR="00F32B41" w:rsidRDefault="00F32B41">
      <w:pPr>
        <w:jc w:val="center"/>
        <w:rPr>
          <w:sz w:val="22"/>
        </w:rPr>
      </w:pPr>
    </w:p>
    <w:sdt>
      <w:sdtPr>
        <w:id w:val="-1237165983"/>
        <w:docPartObj>
          <w:docPartGallery w:val="Table of Contents"/>
          <w:docPartUnique/>
        </w:docPartObj>
      </w:sdtPr>
      <w:sdtEndPr>
        <w:rPr>
          <w:b/>
          <w:bCs/>
          <w:noProof/>
        </w:rPr>
      </w:sdtEndPr>
      <w:sdtContent>
        <w:p w14:paraId="52E0AC9C" w14:textId="2B6A51C6" w:rsidR="007A338A" w:rsidRPr="007A338A" w:rsidRDefault="00EE0FD8" w:rsidP="007A338A">
          <w:pPr>
            <w:pStyle w:val="TOC11"/>
            <w:tabs>
              <w:tab w:val="right" w:leader="dot" w:pos="7334"/>
            </w:tabs>
            <w:spacing w:after="60"/>
            <w:rPr>
              <w:rFonts w:asciiTheme="minorHAnsi" w:eastAsiaTheme="minorEastAsia" w:hAnsiTheme="minorHAnsi" w:cstheme="minorBidi"/>
              <w:noProof/>
              <w:kern w:val="2"/>
              <w:sz w:val="17"/>
              <w:szCs w:val="17"/>
              <w14:ligatures w14:val="standardContextual"/>
            </w:rPr>
          </w:pPr>
          <w:r w:rsidRPr="00A33557">
            <w:rPr>
              <w:rFonts w:asciiTheme="majorHAnsi" w:eastAsiaTheme="majorEastAsia" w:hAnsiTheme="majorHAnsi" w:cstheme="majorBidi"/>
              <w:color w:val="2F5496" w:themeColor="accent1" w:themeShade="BF"/>
              <w:sz w:val="32"/>
              <w:szCs w:val="32"/>
            </w:rPr>
            <w:fldChar w:fldCharType="begin"/>
          </w:r>
          <w:r w:rsidRPr="00A33557">
            <w:instrText xml:space="preserve"> TOC \o "1-3" \h \z \u </w:instrText>
          </w:r>
          <w:r w:rsidRPr="00A33557">
            <w:rPr>
              <w:rFonts w:asciiTheme="majorHAnsi" w:eastAsiaTheme="majorEastAsia" w:hAnsiTheme="majorHAnsi" w:cstheme="majorBidi"/>
              <w:color w:val="2F5496" w:themeColor="accent1" w:themeShade="BF"/>
              <w:sz w:val="32"/>
              <w:szCs w:val="32"/>
            </w:rPr>
            <w:fldChar w:fldCharType="separate"/>
          </w:r>
          <w:hyperlink w:anchor="_Toc175068322" w:history="1">
            <w:r w:rsidR="007A338A" w:rsidRPr="007A338A">
              <w:rPr>
                <w:rStyle w:val="Hyperlink"/>
                <w:noProof/>
                <w:sz w:val="17"/>
                <w:szCs w:val="17"/>
              </w:rPr>
              <w:t>Introduction</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_Toc175068322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1</w:t>
            </w:r>
            <w:r w:rsidR="007A338A" w:rsidRPr="007A338A">
              <w:rPr>
                <w:noProof/>
                <w:webHidden/>
                <w:sz w:val="17"/>
                <w:szCs w:val="17"/>
              </w:rPr>
              <w:fldChar w:fldCharType="end"/>
            </w:r>
          </w:hyperlink>
        </w:p>
        <w:p w14:paraId="104AC8A6" w14:textId="7E5A539A" w:rsidR="007A338A" w:rsidRPr="007A338A" w:rsidRDefault="00025272" w:rsidP="007A338A">
          <w:pPr>
            <w:pStyle w:val="TOC11"/>
            <w:tabs>
              <w:tab w:val="left" w:pos="40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3" w:history="1">
            <w:r w:rsidR="007A338A" w:rsidRPr="007A338A">
              <w:rPr>
                <w:rStyle w:val="Hyperlink"/>
                <w:noProof/>
                <w:sz w:val="17"/>
                <w:szCs w:val="17"/>
              </w:rPr>
              <w:t>I.</w:t>
            </w:r>
            <w:r w:rsidR="007A338A">
              <w:rPr>
                <w:rStyle w:val="Hyperlink"/>
                <w:noProof/>
                <w:sz w:val="17"/>
                <w:szCs w:val="17"/>
              </w:rPr>
              <w:t xml:space="preserve">  </w:t>
            </w:r>
            <w:r w:rsidR="007A338A" w:rsidRPr="007A338A">
              <w:rPr>
                <w:rStyle w:val="Hyperlink"/>
                <w:noProof/>
                <w:sz w:val="17"/>
                <w:szCs w:val="17"/>
              </w:rPr>
              <w:t>What Happens to Public Firms in Bankruptcy?</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_Toc175068323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3</w:t>
            </w:r>
            <w:r w:rsidR="007A338A" w:rsidRPr="007A338A">
              <w:rPr>
                <w:noProof/>
                <w:webHidden/>
                <w:sz w:val="17"/>
                <w:szCs w:val="17"/>
              </w:rPr>
              <w:fldChar w:fldCharType="end"/>
            </w:r>
          </w:hyperlink>
        </w:p>
        <w:p w14:paraId="200031F8" w14:textId="524F971D" w:rsidR="007A338A" w:rsidRPr="007A338A" w:rsidRDefault="00025272" w:rsidP="007A338A">
          <w:pPr>
            <w:pStyle w:val="TOC2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4" w:history="1">
            <w:r w:rsidR="007A338A" w:rsidRPr="007A338A">
              <w:rPr>
                <w:rStyle w:val="Hyperlink"/>
                <w:noProof/>
                <w:sz w:val="17"/>
                <w:szCs w:val="17"/>
              </w:rPr>
              <w:t>A.</w:t>
            </w:r>
            <w:r w:rsidR="007A338A">
              <w:rPr>
                <w:rStyle w:val="Hyperlink"/>
                <w:noProof/>
                <w:sz w:val="17"/>
                <w:szCs w:val="17"/>
              </w:rPr>
              <w:t xml:space="preserve"> </w:t>
            </w:r>
            <w:r w:rsidR="007A338A" w:rsidRPr="007A338A">
              <w:rPr>
                <w:rStyle w:val="Hyperlink"/>
                <w:noProof/>
                <w:sz w:val="17"/>
                <w:szCs w:val="17"/>
              </w:rPr>
              <w:t>The Four Decade Arc</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_Toc175068324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3</w:t>
            </w:r>
            <w:r w:rsidR="007A338A" w:rsidRPr="007A338A">
              <w:rPr>
                <w:noProof/>
                <w:webHidden/>
                <w:sz w:val="17"/>
                <w:szCs w:val="17"/>
              </w:rPr>
              <w:fldChar w:fldCharType="end"/>
            </w:r>
          </w:hyperlink>
        </w:p>
        <w:p w14:paraId="4289AA45" w14:textId="42858422" w:rsidR="007A338A" w:rsidRPr="007A338A" w:rsidRDefault="00025272" w:rsidP="007A338A">
          <w:pPr>
            <w:pStyle w:val="TOC2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5" w:history="1">
            <w:r w:rsidR="007A338A" w:rsidRPr="007A338A">
              <w:rPr>
                <w:rStyle w:val="Hyperlink"/>
                <w:noProof/>
                <w:sz w:val="17"/>
                <w:szCs w:val="17"/>
              </w:rPr>
              <w:t>B.</w:t>
            </w:r>
            <w:r w:rsidR="007A338A">
              <w:rPr>
                <w:rStyle w:val="Hyperlink"/>
                <w:noProof/>
                <w:sz w:val="17"/>
                <w:szCs w:val="17"/>
              </w:rPr>
              <w:t xml:space="preserve"> </w:t>
            </w:r>
            <w:r w:rsidR="007A338A" w:rsidRPr="007A338A">
              <w:rPr>
                <w:rStyle w:val="Hyperlink"/>
                <w:noProof/>
                <w:sz w:val="17"/>
                <w:szCs w:val="17"/>
              </w:rPr>
              <w:t>The Data</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_Toc175068325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3</w:t>
            </w:r>
            <w:r w:rsidR="007A338A" w:rsidRPr="007A338A">
              <w:rPr>
                <w:noProof/>
                <w:webHidden/>
                <w:sz w:val="17"/>
                <w:szCs w:val="17"/>
              </w:rPr>
              <w:fldChar w:fldCharType="end"/>
            </w:r>
          </w:hyperlink>
        </w:p>
        <w:p w14:paraId="3655F53B" w14:textId="673B7333" w:rsidR="007A338A" w:rsidRPr="007A338A" w:rsidRDefault="00025272" w:rsidP="007A338A">
          <w:pPr>
            <w:pStyle w:val="TOC1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6" w:history="1">
            <w:r w:rsidR="007A338A" w:rsidRPr="007A338A">
              <w:rPr>
                <w:rStyle w:val="Hyperlink"/>
                <w:noProof/>
                <w:sz w:val="17"/>
                <w:szCs w:val="17"/>
              </w:rPr>
              <w:t>II.</w:t>
            </w:r>
            <w:r w:rsidR="007A338A">
              <w:rPr>
                <w:rStyle w:val="Hyperlink"/>
                <w:noProof/>
                <w:sz w:val="17"/>
                <w:szCs w:val="17"/>
              </w:rPr>
              <w:t xml:space="preserve">  </w:t>
            </w:r>
            <w:r w:rsidR="007A338A" w:rsidRPr="007A338A">
              <w:rPr>
                <w:rStyle w:val="Hyperlink"/>
                <w:noProof/>
                <w:sz w:val="17"/>
                <w:szCs w:val="17"/>
              </w:rPr>
              <w:t>Are the Large Filers Still Public Firms?</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_Toc175068326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6</w:t>
            </w:r>
            <w:r w:rsidR="007A338A" w:rsidRPr="007A338A">
              <w:rPr>
                <w:noProof/>
                <w:webHidden/>
                <w:sz w:val="17"/>
                <w:szCs w:val="17"/>
              </w:rPr>
              <w:fldChar w:fldCharType="end"/>
            </w:r>
          </w:hyperlink>
        </w:p>
        <w:p w14:paraId="1AAD9BF2" w14:textId="23DCCEEB" w:rsidR="007A338A" w:rsidRPr="007A338A" w:rsidRDefault="00025272" w:rsidP="007A338A">
          <w:pPr>
            <w:pStyle w:val="TOC1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7" w:history="1">
            <w:r w:rsidR="007A338A" w:rsidRPr="007A338A">
              <w:rPr>
                <w:rStyle w:val="Hyperlink"/>
                <w:noProof/>
                <w:sz w:val="17"/>
                <w:szCs w:val="17"/>
              </w:rPr>
              <w:t>III.</w:t>
            </w:r>
            <w:r w:rsidR="007A338A">
              <w:rPr>
                <w:rStyle w:val="Hyperlink"/>
                <w:noProof/>
                <w:sz w:val="17"/>
                <w:szCs w:val="17"/>
              </w:rPr>
              <w:t xml:space="preserve"> </w:t>
            </w:r>
            <w:r w:rsidR="007A338A" w:rsidRPr="007A338A">
              <w:rPr>
                <w:rStyle w:val="Hyperlink"/>
                <w:noProof/>
                <w:sz w:val="17"/>
                <w:szCs w:val="17"/>
              </w:rPr>
              <w:t>Public Firms Going Private in Bankruptcy: Characteristics and Trends</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_Toc175068327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10</w:t>
            </w:r>
            <w:r w:rsidR="007A338A" w:rsidRPr="007A338A">
              <w:rPr>
                <w:noProof/>
                <w:webHidden/>
                <w:sz w:val="17"/>
                <w:szCs w:val="17"/>
              </w:rPr>
              <w:fldChar w:fldCharType="end"/>
            </w:r>
          </w:hyperlink>
        </w:p>
        <w:p w14:paraId="11445FA5" w14:textId="01B07D27" w:rsidR="007A338A" w:rsidRPr="007A338A" w:rsidRDefault="00025272" w:rsidP="007A338A">
          <w:pPr>
            <w:pStyle w:val="TOC1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8" w:history="1">
            <w:r w:rsidR="007A338A" w:rsidRPr="007A338A">
              <w:rPr>
                <w:rStyle w:val="Hyperlink"/>
                <w:noProof/>
                <w:sz w:val="17"/>
                <w:szCs w:val="17"/>
              </w:rPr>
              <w:t>IV.</w:t>
            </w:r>
            <w:r w:rsidR="007A338A">
              <w:rPr>
                <w:rStyle w:val="Hyperlink"/>
                <w:noProof/>
                <w:sz w:val="17"/>
                <w:szCs w:val="17"/>
              </w:rPr>
              <w:t xml:space="preserve"> </w:t>
            </w:r>
            <w:r w:rsidR="007A338A" w:rsidRPr="007A338A">
              <w:rPr>
                <w:rStyle w:val="Hyperlink"/>
                <w:noProof/>
                <w:sz w:val="17"/>
                <w:szCs w:val="17"/>
              </w:rPr>
              <w:t>The Consequences of a Shift in Corporate Bankruptcy from Publicly Traded to Privately Held Firms</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_Toc175068328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16</w:t>
            </w:r>
            <w:r w:rsidR="007A338A" w:rsidRPr="007A338A">
              <w:rPr>
                <w:noProof/>
                <w:webHidden/>
                <w:sz w:val="17"/>
                <w:szCs w:val="17"/>
              </w:rPr>
              <w:fldChar w:fldCharType="end"/>
            </w:r>
          </w:hyperlink>
        </w:p>
        <w:p w14:paraId="0715F06C" w14:textId="6ABDF41E" w:rsidR="007A338A" w:rsidRPr="007A338A" w:rsidRDefault="00025272" w:rsidP="007A338A">
          <w:pPr>
            <w:pStyle w:val="TOC21"/>
            <w:tabs>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29" w:history="1">
            <w:r w:rsidR="007A338A" w:rsidRPr="007A338A">
              <w:rPr>
                <w:rStyle w:val="Hyperlink"/>
                <w:noProof/>
                <w:sz w:val="17"/>
                <w:szCs w:val="17"/>
              </w:rPr>
              <w:t>A.</w:t>
            </w:r>
            <w:r w:rsidR="007A338A">
              <w:rPr>
                <w:rStyle w:val="Hyperlink"/>
                <w:noProof/>
                <w:sz w:val="17"/>
                <w:szCs w:val="17"/>
              </w:rPr>
              <w:t xml:space="preserve"> </w:t>
            </w:r>
            <w:r w:rsidR="007A338A" w:rsidRPr="007A338A">
              <w:rPr>
                <w:rStyle w:val="Hyperlink"/>
                <w:noProof/>
                <w:sz w:val="17"/>
                <w:szCs w:val="17"/>
              </w:rPr>
              <w:t>The Overall Shift</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_Toc175068329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16</w:t>
            </w:r>
            <w:r w:rsidR="007A338A" w:rsidRPr="007A338A">
              <w:rPr>
                <w:noProof/>
                <w:webHidden/>
                <w:sz w:val="17"/>
                <w:szCs w:val="17"/>
              </w:rPr>
              <w:fldChar w:fldCharType="end"/>
            </w:r>
          </w:hyperlink>
        </w:p>
        <w:p w14:paraId="6FB50A8A" w14:textId="144B1086" w:rsidR="007A338A" w:rsidRPr="007A338A" w:rsidRDefault="00025272" w:rsidP="007A338A">
          <w:pPr>
            <w:pStyle w:val="TOC21"/>
            <w:tabs>
              <w:tab w:val="left" w:pos="720"/>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30" w:history="1">
            <w:r w:rsidR="007A338A" w:rsidRPr="007A338A">
              <w:rPr>
                <w:rStyle w:val="Hyperlink"/>
                <w:noProof/>
                <w:sz w:val="17"/>
                <w:szCs w:val="17"/>
              </w:rPr>
              <w:t>B.</w:t>
            </w:r>
            <w:r w:rsidR="007A338A">
              <w:rPr>
                <w:rStyle w:val="Hyperlink"/>
                <w:noProof/>
                <w:sz w:val="17"/>
                <w:szCs w:val="17"/>
              </w:rPr>
              <w:t xml:space="preserve"> </w:t>
            </w:r>
            <w:r w:rsidR="007A338A" w:rsidRPr="007A338A">
              <w:rPr>
                <w:rStyle w:val="Hyperlink"/>
                <w:noProof/>
                <w:sz w:val="17"/>
                <w:szCs w:val="17"/>
              </w:rPr>
              <w:t>The Case Management Consequences of the Overall Shift</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_Toc175068330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16</w:t>
            </w:r>
            <w:r w:rsidR="007A338A" w:rsidRPr="007A338A">
              <w:rPr>
                <w:noProof/>
                <w:webHidden/>
                <w:sz w:val="17"/>
                <w:szCs w:val="17"/>
              </w:rPr>
              <w:fldChar w:fldCharType="end"/>
            </w:r>
          </w:hyperlink>
        </w:p>
        <w:p w14:paraId="0F624FE4" w14:textId="1EC5A532" w:rsidR="007A338A" w:rsidRPr="007A338A" w:rsidRDefault="00025272" w:rsidP="007A338A">
          <w:pPr>
            <w:pStyle w:val="TOC11"/>
            <w:tabs>
              <w:tab w:val="right" w:leader="dot" w:pos="7334"/>
            </w:tabs>
            <w:spacing w:after="60"/>
            <w:rPr>
              <w:rFonts w:asciiTheme="minorHAnsi" w:eastAsiaTheme="minorEastAsia" w:hAnsiTheme="minorHAnsi" w:cstheme="minorBidi"/>
              <w:noProof/>
              <w:kern w:val="2"/>
              <w:sz w:val="17"/>
              <w:szCs w:val="17"/>
              <w14:ligatures w14:val="standardContextual"/>
            </w:rPr>
          </w:pPr>
          <w:hyperlink w:anchor="_Toc175068331" w:history="1">
            <w:r w:rsidR="007A338A" w:rsidRPr="007A338A">
              <w:rPr>
                <w:rStyle w:val="Hyperlink"/>
                <w:noProof/>
                <w:sz w:val="17"/>
                <w:szCs w:val="17"/>
              </w:rPr>
              <w:t>Conclusion</w:t>
            </w:r>
            <w:r w:rsidR="007A338A" w:rsidRPr="007A338A">
              <w:rPr>
                <w:noProof/>
                <w:webHidden/>
                <w:sz w:val="17"/>
                <w:szCs w:val="17"/>
              </w:rPr>
              <w:tab/>
            </w:r>
            <w:r w:rsidR="007A338A" w:rsidRPr="007A338A">
              <w:rPr>
                <w:noProof/>
                <w:webHidden/>
                <w:sz w:val="17"/>
                <w:szCs w:val="17"/>
              </w:rPr>
              <w:fldChar w:fldCharType="begin"/>
            </w:r>
            <w:r w:rsidR="007A338A" w:rsidRPr="007A338A">
              <w:rPr>
                <w:noProof/>
                <w:webHidden/>
                <w:sz w:val="17"/>
                <w:szCs w:val="17"/>
              </w:rPr>
              <w:instrText xml:space="preserve"> PAGEREF _Toc175068331 \h </w:instrText>
            </w:r>
            <w:r w:rsidR="007A338A" w:rsidRPr="007A338A">
              <w:rPr>
                <w:noProof/>
                <w:webHidden/>
                <w:sz w:val="17"/>
                <w:szCs w:val="17"/>
              </w:rPr>
            </w:r>
            <w:r w:rsidR="007A338A" w:rsidRPr="007A338A">
              <w:rPr>
                <w:noProof/>
                <w:webHidden/>
                <w:sz w:val="17"/>
                <w:szCs w:val="17"/>
              </w:rPr>
              <w:fldChar w:fldCharType="separate"/>
            </w:r>
            <w:r w:rsidR="00286BE7">
              <w:rPr>
                <w:noProof/>
                <w:webHidden/>
                <w:sz w:val="17"/>
                <w:szCs w:val="17"/>
              </w:rPr>
              <w:t>22</w:t>
            </w:r>
            <w:r w:rsidR="007A338A" w:rsidRPr="007A338A">
              <w:rPr>
                <w:noProof/>
                <w:webHidden/>
                <w:sz w:val="17"/>
                <w:szCs w:val="17"/>
              </w:rPr>
              <w:fldChar w:fldCharType="end"/>
            </w:r>
          </w:hyperlink>
        </w:p>
        <w:p w14:paraId="254724BC" w14:textId="74BF74C4" w:rsidR="00EE0FD8" w:rsidRDefault="00EE0FD8" w:rsidP="007A338A">
          <w:pPr>
            <w:spacing w:after="60"/>
          </w:pPr>
          <w:r w:rsidRPr="00A33557">
            <w:rPr>
              <w:b/>
              <w:bCs/>
              <w:noProof/>
              <w:sz w:val="17"/>
              <w:szCs w:val="17"/>
            </w:rPr>
            <w:fldChar w:fldCharType="end"/>
          </w:r>
        </w:p>
      </w:sdtContent>
    </w:sdt>
    <w:p w14:paraId="20565C18" w14:textId="77777777" w:rsidR="00EE0FD8" w:rsidRDefault="00EE0FD8" w:rsidP="00C41C39">
      <w:pPr>
        <w:rPr>
          <w:rFonts w:ascii="Calibri" w:hAnsi="Calibri" w:cs="Calibri"/>
          <w:sz w:val="22"/>
          <w:szCs w:val="22"/>
        </w:rPr>
      </w:pPr>
    </w:p>
    <w:p w14:paraId="1375F65D" w14:textId="4F22A7B4" w:rsidR="00EE0FD8" w:rsidRDefault="00EE0FD8" w:rsidP="00EE0FD8">
      <w:pPr>
        <w:jc w:val="center"/>
        <w:rPr>
          <w:sz w:val="22"/>
          <w:szCs w:val="22"/>
        </w:rPr>
      </w:pPr>
      <w:r>
        <w:rPr>
          <w:sz w:val="22"/>
          <w:szCs w:val="22"/>
        </w:rPr>
        <w:t>Figures and Tables</w:t>
      </w:r>
    </w:p>
    <w:p w14:paraId="17EB4D7A" w14:textId="77777777" w:rsidR="00A33557" w:rsidRDefault="00A33557" w:rsidP="00EE0FD8">
      <w:pPr>
        <w:jc w:val="center"/>
        <w:rPr>
          <w:sz w:val="22"/>
          <w:szCs w:val="22"/>
        </w:rPr>
      </w:pPr>
    </w:p>
    <w:p w14:paraId="78FFFC59" w14:textId="55F1FEB0" w:rsidR="00936E18" w:rsidRPr="0080796D" w:rsidRDefault="00936E18" w:rsidP="00624A1C">
      <w:pPr>
        <w:tabs>
          <w:tab w:val="right" w:leader="dot" w:pos="7330"/>
        </w:tabs>
        <w:spacing w:after="40"/>
        <w:rPr>
          <w:sz w:val="17"/>
          <w:szCs w:val="17"/>
        </w:rPr>
      </w:pPr>
      <w:r w:rsidRPr="0080796D">
        <w:rPr>
          <w:sz w:val="17"/>
          <w:szCs w:val="17"/>
        </w:rPr>
        <w:t xml:space="preserve">Figure 1: </w:t>
      </w:r>
      <w:bookmarkStart w:id="19" w:name="_Hlk175068098"/>
      <w:r w:rsidRPr="0080796D">
        <w:rPr>
          <w:sz w:val="17"/>
          <w:szCs w:val="17"/>
        </w:rPr>
        <w:t>Decreasing portion of public firm filers that emerged as public firms, by decade</w:t>
      </w:r>
      <w:bookmarkEnd w:id="19"/>
      <w:r w:rsidRPr="0080796D">
        <w:rPr>
          <w:sz w:val="17"/>
          <w:szCs w:val="17"/>
        </w:rPr>
        <w:tab/>
      </w:r>
      <w:r w:rsidR="00B65650">
        <w:rPr>
          <w:sz w:val="17"/>
          <w:szCs w:val="17"/>
        </w:rPr>
        <w:fldChar w:fldCharType="begin"/>
      </w:r>
      <w:r w:rsidR="00B65650">
        <w:rPr>
          <w:sz w:val="17"/>
          <w:szCs w:val="17"/>
        </w:rPr>
        <w:instrText xml:space="preserve"> PAGEREF Figure1 \h </w:instrText>
      </w:r>
      <w:r w:rsidR="00B65650">
        <w:rPr>
          <w:sz w:val="17"/>
          <w:szCs w:val="17"/>
        </w:rPr>
      </w:r>
      <w:r w:rsidR="00B65650">
        <w:rPr>
          <w:sz w:val="17"/>
          <w:szCs w:val="17"/>
        </w:rPr>
        <w:fldChar w:fldCharType="separate"/>
      </w:r>
      <w:r w:rsidR="00B65650">
        <w:rPr>
          <w:noProof/>
          <w:sz w:val="17"/>
          <w:szCs w:val="17"/>
        </w:rPr>
        <w:t>4</w:t>
      </w:r>
      <w:r w:rsidR="00B65650">
        <w:rPr>
          <w:sz w:val="17"/>
          <w:szCs w:val="17"/>
        </w:rPr>
        <w:fldChar w:fldCharType="end"/>
      </w:r>
    </w:p>
    <w:p w14:paraId="0ED84178" w14:textId="3441DC62" w:rsidR="00D362F2" w:rsidRPr="00A11961" w:rsidRDefault="00936E18" w:rsidP="00A11961">
      <w:pPr>
        <w:tabs>
          <w:tab w:val="right" w:leader="dot" w:pos="7330"/>
        </w:tabs>
        <w:spacing w:after="40"/>
        <w:rPr>
          <w:sz w:val="17"/>
          <w:szCs w:val="17"/>
        </w:rPr>
      </w:pPr>
      <w:r w:rsidRPr="0080796D">
        <w:rPr>
          <w:sz w:val="17"/>
          <w:szCs w:val="17"/>
        </w:rPr>
        <w:t xml:space="preserve">Figure 2: </w:t>
      </w:r>
      <w:bookmarkStart w:id="20" w:name="_Hlk175068133"/>
      <w:r>
        <w:rPr>
          <w:sz w:val="17"/>
          <w:szCs w:val="17"/>
        </w:rPr>
        <w:t xml:space="preserve">Decreasing </w:t>
      </w:r>
      <w:r w:rsidRPr="0080796D">
        <w:rPr>
          <w:sz w:val="17"/>
          <w:szCs w:val="17"/>
        </w:rPr>
        <w:t>public firm filers emerg</w:t>
      </w:r>
      <w:r>
        <w:rPr>
          <w:sz w:val="17"/>
          <w:szCs w:val="17"/>
        </w:rPr>
        <w:t xml:space="preserve">ing </w:t>
      </w:r>
      <w:r w:rsidRPr="0080796D">
        <w:rPr>
          <w:sz w:val="17"/>
          <w:szCs w:val="17"/>
        </w:rPr>
        <w:t xml:space="preserve">in public, standalone firms, </w:t>
      </w:r>
      <w:r>
        <w:rPr>
          <w:sz w:val="17"/>
          <w:szCs w:val="17"/>
        </w:rPr>
        <w:t xml:space="preserve">by assets, </w:t>
      </w:r>
      <w:r w:rsidRPr="0080796D">
        <w:rPr>
          <w:sz w:val="17"/>
          <w:szCs w:val="17"/>
        </w:rPr>
        <w:t>by decade</w:t>
      </w:r>
      <w:bookmarkEnd w:id="20"/>
      <w:r w:rsidRPr="0080796D">
        <w:rPr>
          <w:sz w:val="17"/>
          <w:szCs w:val="17"/>
        </w:rPr>
        <w:tab/>
      </w:r>
      <w:r w:rsidR="00B65650">
        <w:rPr>
          <w:sz w:val="17"/>
          <w:szCs w:val="17"/>
        </w:rPr>
        <w:fldChar w:fldCharType="begin"/>
      </w:r>
      <w:r w:rsidR="00B65650">
        <w:rPr>
          <w:sz w:val="17"/>
          <w:szCs w:val="17"/>
        </w:rPr>
        <w:instrText xml:space="preserve"> PAGEREF Figure2 \h </w:instrText>
      </w:r>
      <w:r w:rsidR="00B65650">
        <w:rPr>
          <w:sz w:val="17"/>
          <w:szCs w:val="17"/>
        </w:rPr>
      </w:r>
      <w:r w:rsidR="00B65650">
        <w:rPr>
          <w:sz w:val="17"/>
          <w:szCs w:val="17"/>
        </w:rPr>
        <w:fldChar w:fldCharType="separate"/>
      </w:r>
      <w:r w:rsidR="00B65650">
        <w:rPr>
          <w:noProof/>
          <w:sz w:val="17"/>
          <w:szCs w:val="17"/>
        </w:rPr>
        <w:t>5</w:t>
      </w:r>
      <w:r w:rsidR="00B65650">
        <w:rPr>
          <w:sz w:val="17"/>
          <w:szCs w:val="17"/>
        </w:rPr>
        <w:fldChar w:fldCharType="end"/>
      </w:r>
    </w:p>
    <w:p w14:paraId="32DF5739" w14:textId="75C83B6B" w:rsidR="007A338A" w:rsidRDefault="00936E18" w:rsidP="00624A1C">
      <w:pPr>
        <w:tabs>
          <w:tab w:val="right" w:leader="dot" w:pos="7330"/>
        </w:tabs>
        <w:spacing w:after="40"/>
        <w:rPr>
          <w:sz w:val="17"/>
          <w:szCs w:val="17"/>
        </w:rPr>
      </w:pPr>
      <w:r w:rsidRPr="0080796D">
        <w:rPr>
          <w:sz w:val="17"/>
          <w:szCs w:val="17"/>
        </w:rPr>
        <w:t xml:space="preserve">Figure 3: </w:t>
      </w:r>
      <w:r w:rsidR="00D362F2">
        <w:rPr>
          <w:sz w:val="17"/>
          <w:szCs w:val="17"/>
        </w:rPr>
        <w:t xml:space="preserve">The </w:t>
      </w:r>
      <w:r w:rsidR="00D35723">
        <w:rPr>
          <w:sz w:val="17"/>
          <w:szCs w:val="17"/>
        </w:rPr>
        <w:t>d</w:t>
      </w:r>
      <w:r w:rsidR="00D362F2">
        <w:rPr>
          <w:sz w:val="17"/>
          <w:szCs w:val="17"/>
        </w:rPr>
        <w:t xml:space="preserve">ecrease in </w:t>
      </w:r>
      <w:r w:rsidR="00D35723">
        <w:rPr>
          <w:sz w:val="17"/>
          <w:szCs w:val="17"/>
        </w:rPr>
        <w:t>a</w:t>
      </w:r>
      <w:r w:rsidR="00D362F2">
        <w:rPr>
          <w:sz w:val="17"/>
          <w:szCs w:val="17"/>
        </w:rPr>
        <w:t xml:space="preserve">verage </w:t>
      </w:r>
      <w:r w:rsidR="00D35723">
        <w:rPr>
          <w:sz w:val="17"/>
          <w:szCs w:val="17"/>
        </w:rPr>
        <w:t>t</w:t>
      </w:r>
      <w:r w:rsidR="00D362F2">
        <w:rPr>
          <w:sz w:val="17"/>
          <w:szCs w:val="17"/>
        </w:rPr>
        <w:t xml:space="preserve">ime </w:t>
      </w:r>
      <w:r w:rsidR="00D35723">
        <w:rPr>
          <w:sz w:val="17"/>
          <w:szCs w:val="17"/>
        </w:rPr>
        <w:t>f</w:t>
      </w:r>
      <w:r w:rsidR="00D362F2">
        <w:rPr>
          <w:sz w:val="17"/>
          <w:szCs w:val="17"/>
        </w:rPr>
        <w:t xml:space="preserve">rom </w:t>
      </w:r>
      <w:r w:rsidR="00D35723">
        <w:rPr>
          <w:sz w:val="17"/>
          <w:szCs w:val="17"/>
        </w:rPr>
        <w:t>f</w:t>
      </w:r>
      <w:r w:rsidR="00D362F2">
        <w:rPr>
          <w:sz w:val="17"/>
          <w:szCs w:val="17"/>
        </w:rPr>
        <w:t xml:space="preserve">iling to </w:t>
      </w:r>
      <w:r w:rsidR="00D35723">
        <w:rPr>
          <w:sz w:val="17"/>
          <w:szCs w:val="17"/>
        </w:rPr>
        <w:t>c</w:t>
      </w:r>
      <w:r w:rsidR="00D362F2">
        <w:rPr>
          <w:sz w:val="17"/>
          <w:szCs w:val="17"/>
        </w:rPr>
        <w:t>onfirmation, 1980-2021</w:t>
      </w:r>
      <w:r w:rsidRPr="0080796D">
        <w:rPr>
          <w:sz w:val="17"/>
          <w:szCs w:val="17"/>
        </w:rPr>
        <w:tab/>
      </w:r>
      <w:r w:rsidR="00B65650">
        <w:rPr>
          <w:sz w:val="17"/>
          <w:szCs w:val="17"/>
        </w:rPr>
        <w:fldChar w:fldCharType="begin"/>
      </w:r>
      <w:r w:rsidR="00B65650">
        <w:rPr>
          <w:sz w:val="17"/>
          <w:szCs w:val="17"/>
        </w:rPr>
        <w:instrText xml:space="preserve"> PAGEREF Figure3 \h </w:instrText>
      </w:r>
      <w:r w:rsidR="00B65650">
        <w:rPr>
          <w:sz w:val="17"/>
          <w:szCs w:val="17"/>
        </w:rPr>
      </w:r>
      <w:r w:rsidR="00B65650">
        <w:rPr>
          <w:sz w:val="17"/>
          <w:szCs w:val="17"/>
        </w:rPr>
        <w:fldChar w:fldCharType="separate"/>
      </w:r>
      <w:r w:rsidR="00B65650">
        <w:rPr>
          <w:noProof/>
          <w:sz w:val="17"/>
          <w:szCs w:val="17"/>
        </w:rPr>
        <w:t>6</w:t>
      </w:r>
      <w:r w:rsidR="00B65650">
        <w:rPr>
          <w:sz w:val="17"/>
          <w:szCs w:val="17"/>
        </w:rPr>
        <w:fldChar w:fldCharType="end"/>
      </w:r>
    </w:p>
    <w:p w14:paraId="108572A9" w14:textId="4D2AE480" w:rsidR="00D362F2" w:rsidRDefault="00D362F2" w:rsidP="00D362F2">
      <w:pPr>
        <w:tabs>
          <w:tab w:val="right" w:leader="dot" w:pos="7330"/>
        </w:tabs>
        <w:spacing w:after="40"/>
        <w:rPr>
          <w:sz w:val="17"/>
          <w:szCs w:val="17"/>
        </w:rPr>
      </w:pPr>
      <w:r w:rsidRPr="0080796D">
        <w:rPr>
          <w:sz w:val="17"/>
          <w:szCs w:val="17"/>
        </w:rPr>
        <w:t xml:space="preserve">Figure </w:t>
      </w:r>
      <w:r>
        <w:rPr>
          <w:sz w:val="17"/>
          <w:szCs w:val="17"/>
        </w:rPr>
        <w:t>4</w:t>
      </w:r>
      <w:r w:rsidRPr="0080796D">
        <w:rPr>
          <w:sz w:val="17"/>
          <w:szCs w:val="17"/>
        </w:rPr>
        <w:t xml:space="preserve">: Increasing </w:t>
      </w:r>
      <w:r>
        <w:rPr>
          <w:sz w:val="17"/>
          <w:szCs w:val="17"/>
        </w:rPr>
        <w:t xml:space="preserve">number of private firms as a </w:t>
      </w:r>
      <w:r w:rsidRPr="0080796D">
        <w:rPr>
          <w:sz w:val="17"/>
          <w:szCs w:val="17"/>
        </w:rPr>
        <w:t xml:space="preserve">portion of </w:t>
      </w:r>
      <w:r>
        <w:rPr>
          <w:sz w:val="17"/>
          <w:szCs w:val="17"/>
        </w:rPr>
        <w:t>l</w:t>
      </w:r>
      <w:r w:rsidRPr="0080796D">
        <w:rPr>
          <w:sz w:val="17"/>
          <w:szCs w:val="17"/>
        </w:rPr>
        <w:t xml:space="preserve">arge </w:t>
      </w:r>
      <w:r>
        <w:rPr>
          <w:sz w:val="17"/>
          <w:szCs w:val="17"/>
        </w:rPr>
        <w:t>f</w:t>
      </w:r>
      <w:r w:rsidRPr="0080796D">
        <w:rPr>
          <w:sz w:val="17"/>
          <w:szCs w:val="17"/>
        </w:rPr>
        <w:t xml:space="preserve">ilers, by </w:t>
      </w:r>
      <w:r>
        <w:rPr>
          <w:sz w:val="17"/>
          <w:szCs w:val="17"/>
        </w:rPr>
        <w:t>d</w:t>
      </w:r>
      <w:r w:rsidRPr="0080796D">
        <w:rPr>
          <w:sz w:val="17"/>
          <w:szCs w:val="17"/>
        </w:rPr>
        <w:t>ecade</w:t>
      </w:r>
      <w:r w:rsidRPr="0080796D">
        <w:rPr>
          <w:sz w:val="17"/>
          <w:szCs w:val="17"/>
        </w:rPr>
        <w:tab/>
      </w:r>
      <w:r w:rsidR="00B65650">
        <w:rPr>
          <w:sz w:val="17"/>
          <w:szCs w:val="17"/>
        </w:rPr>
        <w:fldChar w:fldCharType="begin"/>
      </w:r>
      <w:r w:rsidR="00B65650">
        <w:rPr>
          <w:sz w:val="17"/>
          <w:szCs w:val="17"/>
        </w:rPr>
        <w:instrText xml:space="preserve"> PAGEREF Figure4 \h </w:instrText>
      </w:r>
      <w:r w:rsidR="00B65650">
        <w:rPr>
          <w:sz w:val="17"/>
          <w:szCs w:val="17"/>
        </w:rPr>
      </w:r>
      <w:r w:rsidR="00B65650">
        <w:rPr>
          <w:sz w:val="17"/>
          <w:szCs w:val="17"/>
        </w:rPr>
        <w:fldChar w:fldCharType="separate"/>
      </w:r>
      <w:r w:rsidR="00B65650">
        <w:rPr>
          <w:noProof/>
          <w:sz w:val="17"/>
          <w:szCs w:val="17"/>
        </w:rPr>
        <w:t>8</w:t>
      </w:r>
      <w:r w:rsidR="00B65650">
        <w:rPr>
          <w:sz w:val="17"/>
          <w:szCs w:val="17"/>
        </w:rPr>
        <w:fldChar w:fldCharType="end"/>
      </w:r>
    </w:p>
    <w:p w14:paraId="3B18456F" w14:textId="516CBE28" w:rsidR="00936E18" w:rsidRDefault="00936E18" w:rsidP="00624A1C">
      <w:pPr>
        <w:tabs>
          <w:tab w:val="right" w:leader="dot" w:pos="7330"/>
        </w:tabs>
        <w:spacing w:after="40"/>
        <w:rPr>
          <w:sz w:val="17"/>
          <w:szCs w:val="17"/>
        </w:rPr>
      </w:pPr>
      <w:r w:rsidRPr="0080796D">
        <w:rPr>
          <w:sz w:val="17"/>
          <w:szCs w:val="17"/>
        </w:rPr>
        <w:t xml:space="preserve">Figure </w:t>
      </w:r>
      <w:r w:rsidR="000709A8">
        <w:rPr>
          <w:sz w:val="17"/>
          <w:szCs w:val="17"/>
        </w:rPr>
        <w:t>5</w:t>
      </w:r>
      <w:r w:rsidRPr="0080796D">
        <w:rPr>
          <w:sz w:val="17"/>
          <w:szCs w:val="17"/>
        </w:rPr>
        <w:t xml:space="preserve">: </w:t>
      </w:r>
      <w:bookmarkStart w:id="21" w:name="_Hlk175068217"/>
      <w:r>
        <w:rPr>
          <w:sz w:val="17"/>
          <w:szCs w:val="17"/>
        </w:rPr>
        <w:t xml:space="preserve">Increasing private assets as a portion of assets of large filers, </w:t>
      </w:r>
      <w:r w:rsidRPr="0080796D">
        <w:rPr>
          <w:sz w:val="17"/>
          <w:szCs w:val="17"/>
        </w:rPr>
        <w:t xml:space="preserve">by </w:t>
      </w:r>
      <w:r w:rsidR="009615EE">
        <w:rPr>
          <w:sz w:val="17"/>
          <w:szCs w:val="17"/>
        </w:rPr>
        <w:t>d</w:t>
      </w:r>
      <w:r w:rsidRPr="0080796D">
        <w:rPr>
          <w:sz w:val="17"/>
          <w:szCs w:val="17"/>
        </w:rPr>
        <w:t>ecade</w:t>
      </w:r>
      <w:bookmarkEnd w:id="21"/>
      <w:r w:rsidRPr="0080796D">
        <w:rPr>
          <w:sz w:val="17"/>
          <w:szCs w:val="17"/>
        </w:rPr>
        <w:tab/>
      </w:r>
      <w:r w:rsidR="00B65650">
        <w:rPr>
          <w:sz w:val="17"/>
          <w:szCs w:val="17"/>
        </w:rPr>
        <w:fldChar w:fldCharType="begin"/>
      </w:r>
      <w:r w:rsidR="00B65650">
        <w:rPr>
          <w:sz w:val="17"/>
          <w:szCs w:val="17"/>
        </w:rPr>
        <w:instrText xml:space="preserve"> PAGEREF Figure5 \h </w:instrText>
      </w:r>
      <w:r w:rsidR="00B65650">
        <w:rPr>
          <w:sz w:val="17"/>
          <w:szCs w:val="17"/>
        </w:rPr>
      </w:r>
      <w:r w:rsidR="00B65650">
        <w:rPr>
          <w:sz w:val="17"/>
          <w:szCs w:val="17"/>
        </w:rPr>
        <w:fldChar w:fldCharType="separate"/>
      </w:r>
      <w:r w:rsidR="00B65650">
        <w:rPr>
          <w:noProof/>
          <w:sz w:val="17"/>
          <w:szCs w:val="17"/>
        </w:rPr>
        <w:t>9</w:t>
      </w:r>
      <w:r w:rsidR="00B65650">
        <w:rPr>
          <w:sz w:val="17"/>
          <w:szCs w:val="17"/>
        </w:rPr>
        <w:fldChar w:fldCharType="end"/>
      </w:r>
    </w:p>
    <w:p w14:paraId="274AA98F" w14:textId="77777777" w:rsidR="00A33557" w:rsidRPr="0080796D" w:rsidRDefault="00A33557" w:rsidP="0058599B">
      <w:pPr>
        <w:tabs>
          <w:tab w:val="right" w:leader="dot" w:pos="7330"/>
        </w:tabs>
        <w:spacing w:after="40"/>
        <w:rPr>
          <w:sz w:val="17"/>
          <w:szCs w:val="17"/>
        </w:rPr>
      </w:pPr>
    </w:p>
    <w:p w14:paraId="228981F3" w14:textId="30CABCA3" w:rsidR="00A33557" w:rsidRPr="0080796D" w:rsidRDefault="00A33557" w:rsidP="00624A1C">
      <w:pPr>
        <w:keepNext/>
        <w:widowControl w:val="0"/>
        <w:tabs>
          <w:tab w:val="right" w:leader="dot" w:pos="7330"/>
        </w:tabs>
        <w:autoSpaceDE w:val="0"/>
        <w:autoSpaceDN w:val="0"/>
        <w:adjustRightInd w:val="0"/>
        <w:spacing w:after="40"/>
        <w:rPr>
          <w:sz w:val="17"/>
          <w:szCs w:val="17"/>
        </w:rPr>
      </w:pPr>
      <w:r w:rsidRPr="0080796D">
        <w:rPr>
          <w:sz w:val="17"/>
          <w:szCs w:val="17"/>
        </w:rPr>
        <w:t>Table 1: Early Predictors of Emergence as a Publicly Traded Company</w:t>
      </w:r>
      <w:r w:rsidRPr="0080796D">
        <w:rPr>
          <w:sz w:val="17"/>
          <w:szCs w:val="17"/>
        </w:rPr>
        <w:tab/>
      </w:r>
      <w:r w:rsidR="00B65650">
        <w:rPr>
          <w:sz w:val="17"/>
          <w:szCs w:val="17"/>
        </w:rPr>
        <w:fldChar w:fldCharType="begin"/>
      </w:r>
      <w:r w:rsidR="00B65650">
        <w:rPr>
          <w:sz w:val="17"/>
          <w:szCs w:val="17"/>
        </w:rPr>
        <w:instrText xml:space="preserve"> PAGEREF Table1 \h </w:instrText>
      </w:r>
      <w:r w:rsidR="00B65650">
        <w:rPr>
          <w:sz w:val="17"/>
          <w:szCs w:val="17"/>
        </w:rPr>
      </w:r>
      <w:r w:rsidR="00B65650">
        <w:rPr>
          <w:sz w:val="17"/>
          <w:szCs w:val="17"/>
        </w:rPr>
        <w:fldChar w:fldCharType="separate"/>
      </w:r>
      <w:r w:rsidR="00B65650">
        <w:rPr>
          <w:noProof/>
          <w:sz w:val="17"/>
          <w:szCs w:val="17"/>
        </w:rPr>
        <w:t>11</w:t>
      </w:r>
      <w:r w:rsidR="00B65650">
        <w:rPr>
          <w:sz w:val="17"/>
          <w:szCs w:val="17"/>
        </w:rPr>
        <w:fldChar w:fldCharType="end"/>
      </w:r>
    </w:p>
    <w:p w14:paraId="104B0492" w14:textId="6943B246" w:rsidR="00A33557" w:rsidRPr="0080796D" w:rsidRDefault="00A33557" w:rsidP="00624A1C">
      <w:pPr>
        <w:keepNext/>
        <w:widowControl w:val="0"/>
        <w:tabs>
          <w:tab w:val="right" w:leader="dot" w:pos="7330"/>
        </w:tabs>
        <w:autoSpaceDE w:val="0"/>
        <w:autoSpaceDN w:val="0"/>
        <w:adjustRightInd w:val="0"/>
        <w:spacing w:after="40"/>
        <w:rPr>
          <w:sz w:val="17"/>
          <w:szCs w:val="17"/>
        </w:rPr>
      </w:pPr>
      <w:r w:rsidRPr="0080796D">
        <w:rPr>
          <w:sz w:val="17"/>
          <w:szCs w:val="17"/>
        </w:rPr>
        <w:t>Table 2: Late Predictors and Correlates of Emergence as a Publicly Traded Company</w:t>
      </w:r>
      <w:r w:rsidRPr="0080796D">
        <w:rPr>
          <w:sz w:val="17"/>
          <w:szCs w:val="17"/>
        </w:rPr>
        <w:tab/>
      </w:r>
      <w:r w:rsidR="00B65650">
        <w:rPr>
          <w:sz w:val="17"/>
          <w:szCs w:val="17"/>
        </w:rPr>
        <w:fldChar w:fldCharType="begin"/>
      </w:r>
      <w:r w:rsidR="00B65650">
        <w:rPr>
          <w:sz w:val="17"/>
          <w:szCs w:val="17"/>
        </w:rPr>
        <w:instrText xml:space="preserve"> PAGEREF Table2 \h </w:instrText>
      </w:r>
      <w:r w:rsidR="00B65650">
        <w:rPr>
          <w:sz w:val="17"/>
          <w:szCs w:val="17"/>
        </w:rPr>
      </w:r>
      <w:r w:rsidR="00B65650">
        <w:rPr>
          <w:sz w:val="17"/>
          <w:szCs w:val="17"/>
        </w:rPr>
        <w:fldChar w:fldCharType="separate"/>
      </w:r>
      <w:r w:rsidR="00B65650">
        <w:rPr>
          <w:noProof/>
          <w:sz w:val="17"/>
          <w:szCs w:val="17"/>
        </w:rPr>
        <w:t>12</w:t>
      </w:r>
      <w:r w:rsidR="00B65650">
        <w:rPr>
          <w:sz w:val="17"/>
          <w:szCs w:val="17"/>
        </w:rPr>
        <w:fldChar w:fldCharType="end"/>
      </w:r>
    </w:p>
    <w:p w14:paraId="003E93AF" w14:textId="77777777" w:rsidR="00A33557" w:rsidRPr="00EE0FD8" w:rsidRDefault="00A33557" w:rsidP="00EE0FD8">
      <w:pPr>
        <w:jc w:val="center"/>
        <w:rPr>
          <w:sz w:val="22"/>
          <w:szCs w:val="22"/>
        </w:rPr>
      </w:pPr>
    </w:p>
    <w:p w14:paraId="4E1DE48E" w14:textId="77777777" w:rsidR="00C41C39" w:rsidRPr="00C41C39" w:rsidRDefault="00C41C39" w:rsidP="00C41C39">
      <w:pPr>
        <w:rPr>
          <w:rFonts w:ascii="Calibri" w:hAnsi="Calibri" w:cs="Calibri"/>
          <w:sz w:val="22"/>
          <w:szCs w:val="22"/>
        </w:rPr>
      </w:pPr>
      <w:r w:rsidRPr="00C41C39">
        <w:rPr>
          <w:rFonts w:ascii="Calibri" w:hAnsi="Calibri" w:cs="Calibri"/>
          <w:sz w:val="22"/>
          <w:szCs w:val="22"/>
        </w:rPr>
        <w:t> </w:t>
      </w:r>
    </w:p>
    <w:p w14:paraId="5C3E37D9" w14:textId="77777777" w:rsidR="00C346C5" w:rsidRPr="008F14BE" w:rsidRDefault="00C346C5"/>
    <w:p w14:paraId="59F15E04" w14:textId="77777777" w:rsidR="00C346C5" w:rsidRDefault="00C346C5" w:rsidP="00AF5AC3">
      <w:pPr>
        <w:pStyle w:val="Heading1"/>
      </w:pPr>
      <w:bookmarkStart w:id="22" w:name="_Toc175068322"/>
      <w:r>
        <w:t>Introduction</w:t>
      </w:r>
      <w:bookmarkStart w:id="23" w:name="Intro"/>
      <w:bookmarkEnd w:id="22"/>
      <w:bookmarkEnd w:id="23"/>
    </w:p>
    <w:p w14:paraId="6C884395" w14:textId="77777777" w:rsidR="00E32270" w:rsidRDefault="00E32270" w:rsidP="007F7FA3">
      <w:pPr>
        <w:pStyle w:val="Document"/>
      </w:pPr>
    </w:p>
    <w:p w14:paraId="29468AAC" w14:textId="02043A49" w:rsidR="00A60C9E" w:rsidRDefault="009C61E1" w:rsidP="007F7FA3">
      <w:pPr>
        <w:pStyle w:val="Paragraphformat"/>
      </w:pPr>
      <w:r>
        <w:t>When the Bankruptcy Code</w:t>
      </w:r>
      <w:r w:rsidR="00F30D8A">
        <w:t xml:space="preserve"> was enacted in 1978, </w:t>
      </w:r>
      <w:r w:rsidR="000C784F">
        <w:t xml:space="preserve">large firms filing </w:t>
      </w:r>
      <w:r w:rsidR="00F54A71">
        <w:t xml:space="preserve">for </w:t>
      </w:r>
      <w:r w:rsidR="000C784F">
        <w:t>bankruptcy were typically publicly traded corporations with well</w:t>
      </w:r>
      <w:r w:rsidR="00D35723">
        <w:t xml:space="preserve"> </w:t>
      </w:r>
      <w:r w:rsidR="000C784F">
        <w:t>distributed</w:t>
      </w:r>
      <w:r w:rsidR="00B01D99">
        <w:t>,</w:t>
      </w:r>
      <w:r w:rsidR="000C784F">
        <w:t xml:space="preserve"> transparent information about their business operations. </w:t>
      </w:r>
      <w:r w:rsidR="00243992">
        <w:t>Such p</w:t>
      </w:r>
      <w:r w:rsidR="00F54A71">
        <w:t xml:space="preserve">ublic firms </w:t>
      </w:r>
      <w:r w:rsidR="00804632">
        <w:t>accounted for most</w:t>
      </w:r>
      <w:r w:rsidR="00F54A71">
        <w:t xml:space="preserve"> large filers </w:t>
      </w:r>
      <w:r w:rsidR="00287A36">
        <w:t xml:space="preserve">during the ensuing </w:t>
      </w:r>
      <w:r w:rsidR="00E8201F">
        <w:t>decades.</w:t>
      </w:r>
      <w:r w:rsidR="00F54A71">
        <w:t xml:space="preserve"> And </w:t>
      </w:r>
      <w:r w:rsidR="000C784F">
        <w:t xml:space="preserve">these public firm filers </w:t>
      </w:r>
      <w:r w:rsidR="00D221A7">
        <w:t xml:space="preserve">typically </w:t>
      </w:r>
      <w:r w:rsidR="000C784F">
        <w:t xml:space="preserve">emerged from bankruptcy as publicly traded firms. </w:t>
      </w:r>
      <w:r w:rsidR="00F54A71">
        <w:t>But t</w:t>
      </w:r>
      <w:r w:rsidR="000C784F">
        <w:t xml:space="preserve">his </w:t>
      </w:r>
      <w:r w:rsidR="00C47B29">
        <w:t xml:space="preserve">is </w:t>
      </w:r>
      <w:r w:rsidR="000C784F">
        <w:t xml:space="preserve">no longer so. Firms that </w:t>
      </w:r>
      <w:r w:rsidR="00D3149B">
        <w:t xml:space="preserve">file as </w:t>
      </w:r>
      <w:r w:rsidR="00286F7D">
        <w:t>publicly traded</w:t>
      </w:r>
      <w:r w:rsidR="00631BC9">
        <w:t>, SEC-registered</w:t>
      </w:r>
      <w:r w:rsidR="00D3149B">
        <w:t xml:space="preserve"> firms, </w:t>
      </w:r>
      <w:r w:rsidR="000C784F">
        <w:t xml:space="preserve">increasingly </w:t>
      </w:r>
      <w:r w:rsidR="00D221A7">
        <w:t>go private in bankruptcy.</w:t>
      </w:r>
      <w:r w:rsidR="00FC337C">
        <w:t xml:space="preserve"> They no longer </w:t>
      </w:r>
      <w:r w:rsidR="00987EC1">
        <w:t xml:space="preserve">report financial information to the public markets. </w:t>
      </w:r>
      <w:r w:rsidR="00FC337C">
        <w:t xml:space="preserve">Other </w:t>
      </w:r>
      <w:r w:rsidR="00542F1E">
        <w:t xml:space="preserve">public firm filers are repositioned </w:t>
      </w:r>
      <w:r w:rsidR="000C784F">
        <w:t xml:space="preserve">as wholly owned subsidiaries of larger firms which do not report financial information about the </w:t>
      </w:r>
      <w:r w:rsidR="00286F7D">
        <w:t>previously bankrupt</w:t>
      </w:r>
      <w:r w:rsidR="000C784F">
        <w:t xml:space="preserve"> business separately from the larger corporate </w:t>
      </w:r>
      <w:r w:rsidR="000C784F">
        <w:lastRenderedPageBreak/>
        <w:t xml:space="preserve">group. The </w:t>
      </w:r>
      <w:r w:rsidR="00286F7D">
        <w:t>previously bankrupt</w:t>
      </w:r>
      <w:r w:rsidR="000C784F">
        <w:t xml:space="preserve"> private or acquired firms do not retain separately traded equity. </w:t>
      </w:r>
    </w:p>
    <w:p w14:paraId="3A5C058B" w14:textId="6EBD0DB5" w:rsidR="00F20957" w:rsidRDefault="00E32270" w:rsidP="007F7FA3">
      <w:pPr>
        <w:pStyle w:val="Document"/>
      </w:pPr>
      <w:r>
        <w:t xml:space="preserve">Over the </w:t>
      </w:r>
      <w:r w:rsidR="00FE6A54">
        <w:t>p</w:t>
      </w:r>
      <w:r>
        <w:t xml:space="preserve">ast two decades, </w:t>
      </w:r>
      <w:r w:rsidR="00020C14">
        <w:t>i</w:t>
      </w:r>
      <w:r w:rsidR="00F20957">
        <w:t xml:space="preserve">nstitutional providers of capital—venture capital, private equity, and bank </w:t>
      </w:r>
      <w:r w:rsidR="003E31DD">
        <w:t xml:space="preserve">and private </w:t>
      </w:r>
      <w:r w:rsidR="00F20957">
        <w:t>lenders—have grown.</w:t>
      </w:r>
      <w:r w:rsidR="0071478B" w:rsidRPr="00225374">
        <w:rPr>
          <w:rStyle w:val="FootnoteReference"/>
        </w:rPr>
        <w:footnoteReference w:id="2"/>
      </w:r>
      <w:r w:rsidR="00F20957">
        <w:t xml:space="preserve"> </w:t>
      </w:r>
      <w:r w:rsidR="003E31DD">
        <w:t>Syndicated loans emerged as an alternative to the bond market.</w:t>
      </w:r>
      <w:r w:rsidR="00BB2EAB" w:rsidRPr="00225374">
        <w:rPr>
          <w:rStyle w:val="FootnoteReference"/>
        </w:rPr>
        <w:footnoteReference w:id="3"/>
      </w:r>
      <w:r w:rsidR="003E31DD">
        <w:t xml:space="preserve"> </w:t>
      </w:r>
      <w:r w:rsidR="00222B0F">
        <w:t>Private credit emerged as an alternative to both.</w:t>
      </w:r>
      <w:r w:rsidR="003B64B1">
        <w:t xml:space="preserve"> </w:t>
      </w:r>
    </w:p>
    <w:p w14:paraId="46A24194" w14:textId="0A28E6C1" w:rsidR="003A140A" w:rsidRDefault="006E191C" w:rsidP="007F7FA3">
      <w:pPr>
        <w:pStyle w:val="Document"/>
      </w:pPr>
      <w:r>
        <w:t xml:space="preserve">We present </w:t>
      </w:r>
      <w:r w:rsidR="00827D2B">
        <w:t xml:space="preserve">new </w:t>
      </w:r>
      <w:r>
        <w:t xml:space="preserve">evidence </w:t>
      </w:r>
      <w:r w:rsidR="00BB461A">
        <w:t>here of a</w:t>
      </w:r>
      <w:r>
        <w:t xml:space="preserve"> dramatic shift in </w:t>
      </w:r>
      <w:r w:rsidR="00BB461A">
        <w:t xml:space="preserve">the structure of </w:t>
      </w:r>
      <w:r>
        <w:t xml:space="preserve">corporate bankruptcy. </w:t>
      </w:r>
      <w:r w:rsidR="00E32270">
        <w:t>First</w:t>
      </w:r>
      <w:r w:rsidR="00AF1120">
        <w:t xml:space="preserve">, </w:t>
      </w:r>
      <w:r w:rsidR="00EE7F70">
        <w:t xml:space="preserve">public firms that filed in the 1980s and 1990s typically emerged from bankruptcy as public firms. Not so today. Today, they are </w:t>
      </w:r>
      <w:r w:rsidR="003A140A">
        <w:t xml:space="preserve">typically </w:t>
      </w:r>
      <w:r w:rsidR="00EE7F70">
        <w:t>“taken private” in bankruptcy</w:t>
      </w:r>
      <w:r w:rsidR="003A140A">
        <w:t xml:space="preserve">. And of those that are not “taken private” </w:t>
      </w:r>
      <w:r w:rsidR="00D64438">
        <w:t>many become</w:t>
      </w:r>
      <w:r w:rsidR="003A140A">
        <w:t xml:space="preserve"> </w:t>
      </w:r>
      <w:r w:rsidR="00286F7D">
        <w:t>wholly owned</w:t>
      </w:r>
      <w:r w:rsidR="003A140A">
        <w:t xml:space="preserve"> subsidiaries of other larger firms. Very few public firm filers emerge today as public firms, in contrast to 1980s and 1990s</w:t>
      </w:r>
      <w:r w:rsidR="003B115D">
        <w:t>’ large firm bankruptcies</w:t>
      </w:r>
      <w:r w:rsidR="003A140A">
        <w:t>, when public filers emerged as public firms.</w:t>
      </w:r>
      <w:r w:rsidR="00452EA1">
        <w:t xml:space="preserve"> </w:t>
      </w:r>
      <w:r w:rsidR="00D64438">
        <w:t xml:space="preserve">Firms are </w:t>
      </w:r>
      <w:r w:rsidR="003B115D">
        <w:t>going</w:t>
      </w:r>
      <w:r w:rsidR="001C1D3F">
        <w:t xml:space="preserve"> </w:t>
      </w:r>
      <w:r w:rsidR="003B115D">
        <w:t>private in bankruptcy</w:t>
      </w:r>
      <w:r w:rsidR="00D64438">
        <w:t xml:space="preserve">. And </w:t>
      </w:r>
      <w:r w:rsidR="008A1A33">
        <w:t xml:space="preserve">private firms now dominate the </w:t>
      </w:r>
      <w:r w:rsidR="00452EA1">
        <w:t>large filers</w:t>
      </w:r>
      <w:r w:rsidR="008A1A33">
        <w:t>. Once</w:t>
      </w:r>
      <w:r w:rsidR="00B567EB">
        <w:t xml:space="preserve">, forty years ago, the </w:t>
      </w:r>
      <w:r w:rsidR="008A1A33">
        <w:t>typical filer was a public compan</w:t>
      </w:r>
      <w:r w:rsidR="00B567EB">
        <w:t>y</w:t>
      </w:r>
      <w:r w:rsidR="008A1A33">
        <w:t>; today the typical large filer is a</w:t>
      </w:r>
      <w:r w:rsidR="00452EA1">
        <w:t xml:space="preserve"> sponsor-backed</w:t>
      </w:r>
      <w:r w:rsidR="00813872">
        <w:t xml:space="preserve"> private firm</w:t>
      </w:r>
      <w:r w:rsidR="00D64438">
        <w:t xml:space="preserve">. These trends have coalesced </w:t>
      </w:r>
      <w:r w:rsidR="004E06FB">
        <w:t>to create</w:t>
      </w:r>
      <w:r w:rsidR="00087ED5">
        <w:t xml:space="preserve"> a new large firm bankruptcy process that is </w:t>
      </w:r>
      <w:r w:rsidR="0029775C">
        <w:t>no longer dominated by public firms.</w:t>
      </w:r>
    </w:p>
    <w:p w14:paraId="441E9A82" w14:textId="7134C807" w:rsidR="009E04E9" w:rsidRDefault="00D201DF" w:rsidP="007F7FA3">
      <w:pPr>
        <w:pStyle w:val="Document"/>
      </w:pPr>
      <w:r>
        <w:t xml:space="preserve">The combined impact </w:t>
      </w:r>
      <w:r w:rsidR="00E042B1">
        <w:t>reduce</w:t>
      </w:r>
      <w:r w:rsidR="0005141C">
        <w:t>s</w:t>
      </w:r>
      <w:r w:rsidR="00E042B1">
        <w:t xml:space="preserve"> the breadth and depth of </w:t>
      </w:r>
      <w:r w:rsidR="00286F7D">
        <w:t>publicly available</w:t>
      </w:r>
      <w:r w:rsidR="00E042B1">
        <w:t xml:space="preserve"> information about bankrupt firms</w:t>
      </w:r>
      <w:r w:rsidR="005214F2">
        <w:t>: public firms go private in bankruptcy</w:t>
      </w:r>
      <w:r w:rsidR="00295DB5">
        <w:t xml:space="preserve"> and</w:t>
      </w:r>
      <w:r w:rsidR="005214F2">
        <w:t xml:space="preserve"> fewer of the larger bankruptcies are public to begin with. And </w:t>
      </w:r>
      <w:r w:rsidR="00750610">
        <w:t xml:space="preserve">many of </w:t>
      </w:r>
      <w:r w:rsidR="005214F2">
        <w:t xml:space="preserve">those public </w:t>
      </w:r>
      <w:r w:rsidR="00E32270">
        <w:t xml:space="preserve">firms that </w:t>
      </w:r>
      <w:r w:rsidR="005214F2">
        <w:t>do not go fully private in bankruptcy</w:t>
      </w:r>
      <w:r w:rsidR="00750610">
        <w:t xml:space="preserve"> emerge as </w:t>
      </w:r>
      <w:r w:rsidR="00E32270">
        <w:t xml:space="preserve">wholly owned subsidiaries of larger firms which do not </w:t>
      </w:r>
      <w:r w:rsidR="00750610">
        <w:t xml:space="preserve">separately </w:t>
      </w:r>
      <w:r w:rsidR="00E32270">
        <w:t xml:space="preserve">report financial information </w:t>
      </w:r>
      <w:r w:rsidR="00750610">
        <w:t xml:space="preserve">about the </w:t>
      </w:r>
      <w:r w:rsidR="00286F7D">
        <w:t>formerly bankrupt</w:t>
      </w:r>
      <w:r w:rsidR="00750610">
        <w:t xml:space="preserve"> firm’s operations.</w:t>
      </w:r>
      <w:r w:rsidR="00E32270">
        <w:t xml:space="preserve"> </w:t>
      </w:r>
    </w:p>
    <w:p w14:paraId="6FBFD593" w14:textId="6C764F25" w:rsidR="00510D91" w:rsidRDefault="00E32270" w:rsidP="007F7FA3">
      <w:pPr>
        <w:pStyle w:val="Paragraphformat"/>
      </w:pPr>
      <w:r>
        <w:t>Here, we document for the first time that bankruptcy is increasingly functioning as a going</w:t>
      </w:r>
      <w:r w:rsidR="009D27EE">
        <w:t xml:space="preserve"> </w:t>
      </w:r>
      <w:r>
        <w:t>private transaction.</w:t>
      </w:r>
      <w:r w:rsidR="00F85FF6">
        <w:t xml:space="preserve"> </w:t>
      </w:r>
      <w:r>
        <w:t>The disappearance of public firms in bankruptcy</w:t>
      </w:r>
      <w:r w:rsidR="00F506D7">
        <w:t>—</w:t>
      </w:r>
      <w:r w:rsidR="00F85FF6">
        <w:t>and the concomitant disappearance of mandated disclosure</w:t>
      </w:r>
      <w:r w:rsidR="00F506D7">
        <w:t>—</w:t>
      </w:r>
      <w:r w:rsidR="00F85FF6">
        <w:t xml:space="preserve">potentially </w:t>
      </w:r>
      <w:r>
        <w:t xml:space="preserve">has </w:t>
      </w:r>
      <w:r w:rsidR="00147E25">
        <w:t>profound</w:t>
      </w:r>
      <w:r>
        <w:t xml:space="preserve"> implications for the information</w:t>
      </w:r>
      <w:r w:rsidR="009D27EE">
        <w:t xml:space="preserve"> </w:t>
      </w:r>
      <w:r>
        <w:t xml:space="preserve">generating function of the bankruptcy process, for the advantages enjoyed by insiders investing in distressed firms, for the approaches used to resolve distressed firms, </w:t>
      </w:r>
      <w:r w:rsidR="003A652B">
        <w:t xml:space="preserve">and even </w:t>
      </w:r>
      <w:r>
        <w:t>for the perceived legitimacy of the bankruptcy process.</w:t>
      </w:r>
      <w:r w:rsidR="00132DCE">
        <w:t xml:space="preserve"> </w:t>
      </w:r>
    </w:p>
    <w:p w14:paraId="4E7F29D3" w14:textId="13CF5130" w:rsidR="00564E2B" w:rsidRDefault="003A652B" w:rsidP="007F7FA3">
      <w:pPr>
        <w:pStyle w:val="Paragraphformat"/>
      </w:pPr>
      <w:r>
        <w:t xml:space="preserve">Valuation of the bankrupt debtor is central to the </w:t>
      </w:r>
      <w:r w:rsidR="00F506D7">
        <w:t xml:space="preserve">restructuring </w:t>
      </w:r>
      <w:r>
        <w:t>process</w:t>
      </w:r>
      <w:r w:rsidR="00282307">
        <w:t xml:space="preserve">. That valuation is done by the parties or, if the parties fail to agree to a plan </w:t>
      </w:r>
      <w:r w:rsidR="009B1DD6">
        <w:t xml:space="preserve">or a sale, </w:t>
      </w:r>
      <w:r w:rsidR="00282307">
        <w:t xml:space="preserve">by the court. </w:t>
      </w:r>
      <w:r w:rsidR="001437C9">
        <w:t>Public information has long played a role</w:t>
      </w:r>
      <w:r w:rsidR="003571F2">
        <w:t xml:space="preserve"> in plan formation, sales, and court</w:t>
      </w:r>
      <w:r w:rsidR="009D27EE">
        <w:t xml:space="preserve"> </w:t>
      </w:r>
      <w:r w:rsidR="003571F2">
        <w:t>led valuations</w:t>
      </w:r>
      <w:r w:rsidR="00425E03">
        <w:t>.</w:t>
      </w:r>
      <w:r w:rsidR="001437C9">
        <w:t xml:space="preserve"> </w:t>
      </w:r>
      <w:r w:rsidR="00282307">
        <w:t xml:space="preserve">But with less public information available, that </w:t>
      </w:r>
      <w:r w:rsidR="001437C9">
        <w:t xml:space="preserve">informational shrinkage </w:t>
      </w:r>
      <w:r w:rsidR="00282307">
        <w:t xml:space="preserve">could degrade the </w:t>
      </w:r>
      <w:r w:rsidR="009D27EE">
        <w:t xml:space="preserve">capacities of </w:t>
      </w:r>
      <w:r w:rsidR="000364C1">
        <w:t>parties</w:t>
      </w:r>
      <w:r w:rsidR="009B1DD6">
        <w:t>, potential buyers,</w:t>
      </w:r>
      <w:r w:rsidR="000364C1">
        <w:t xml:space="preserve"> and the courts to value </w:t>
      </w:r>
      <w:r w:rsidR="009B1DD6">
        <w:t xml:space="preserve">firms </w:t>
      </w:r>
      <w:r w:rsidR="000364C1">
        <w:t xml:space="preserve">quickly and accurately, thereby disrupting the bankruptcy process. </w:t>
      </w:r>
      <w:r w:rsidR="009B1DD6">
        <w:t xml:space="preserve">When firms emerge from bankruptcy as publicly traded firms, the prices of their debt and equity, and </w:t>
      </w:r>
      <w:r w:rsidR="005B128A">
        <w:t xml:space="preserve">fundamental </w:t>
      </w:r>
      <w:r w:rsidR="009B1DD6">
        <w:t xml:space="preserve">publicly available financial information, provide </w:t>
      </w:r>
      <w:r w:rsidR="00EB6624">
        <w:t>feed</w:t>
      </w:r>
      <w:r w:rsidR="00DF3BF9">
        <w:t xml:space="preserve">back to the judge and the parties </w:t>
      </w:r>
      <w:r w:rsidR="009B1DD6">
        <w:t xml:space="preserve">on </w:t>
      </w:r>
      <w:r w:rsidR="00DF3BF9">
        <w:t>how well the bankruptcy valuation process worked</w:t>
      </w:r>
      <w:r w:rsidR="009B1DD6">
        <w:t xml:space="preserve">. If, soon after emergence, new equity prices skyrocket or plummet compared to their purported value </w:t>
      </w:r>
      <w:r w:rsidR="009B1DD6">
        <w:lastRenderedPageBreak/>
        <w:t>under the plan, the parties and the court understand that they missed the mark</w:t>
      </w:r>
      <w:r w:rsidR="00DF3BF9">
        <w:t xml:space="preserve"> and, presumably, courts and parties aim to do better the next time. But with </w:t>
      </w:r>
      <w:r w:rsidR="000866CF">
        <w:t xml:space="preserve">public firms going private, </w:t>
      </w:r>
      <w:r w:rsidR="009B1DD6">
        <w:t xml:space="preserve">this </w:t>
      </w:r>
      <w:r w:rsidR="000866CF">
        <w:t>feedback disappears.</w:t>
      </w:r>
      <w:r w:rsidR="000364C1">
        <w:t xml:space="preserve"> </w:t>
      </w:r>
    </w:p>
    <w:p w14:paraId="1954AE85" w14:textId="4D4FCC58" w:rsidR="003652C7" w:rsidRDefault="000364C1" w:rsidP="007F7FA3">
      <w:pPr>
        <w:pStyle w:val="Paragraphformat"/>
      </w:pPr>
      <w:r>
        <w:t xml:space="preserve">And </w:t>
      </w:r>
      <w:r w:rsidR="009C0A39">
        <w:t xml:space="preserve">the </w:t>
      </w:r>
      <w:r w:rsidR="00915E05">
        <w:t>privat</w:t>
      </w:r>
      <w:r w:rsidR="00050AD7">
        <w:t>izing</w:t>
      </w:r>
      <w:r w:rsidR="00915E05">
        <w:t xml:space="preserve"> </w:t>
      </w:r>
      <w:r w:rsidR="009C0A39">
        <w:t xml:space="preserve">process could further </w:t>
      </w:r>
      <w:r w:rsidR="003652C7">
        <w:t>empower</w:t>
      </w:r>
      <w:r w:rsidR="009C0A39">
        <w:t xml:space="preserve"> insiders, who are better informed</w:t>
      </w:r>
      <w:r w:rsidR="009B1DD6">
        <w:t xml:space="preserve"> and less reliant on public disclosures. </w:t>
      </w:r>
      <w:r w:rsidR="00564E2B">
        <w:t xml:space="preserve">Insiders can </w:t>
      </w:r>
      <w:r w:rsidR="009B1DD6">
        <w:t>turn an information edge into large profits, at the expense of less well-informed or smaller creditors</w:t>
      </w:r>
      <w:r w:rsidR="002C3F52">
        <w:t>. That</w:t>
      </w:r>
      <w:r w:rsidR="009B1DD6">
        <w:t xml:space="preserve"> risks delegitimizing </w:t>
      </w:r>
      <w:r w:rsidR="00050AD7">
        <w:t xml:space="preserve">large firm bankruptcies </w:t>
      </w:r>
      <w:r w:rsidR="009C0A39">
        <w:t xml:space="preserve">in the eyes of political players, because </w:t>
      </w:r>
      <w:r w:rsidR="00050AD7">
        <w:t xml:space="preserve">big-firm bankruptcy </w:t>
      </w:r>
      <w:r w:rsidR="009C0A39">
        <w:t xml:space="preserve">would seem more than ever to </w:t>
      </w:r>
      <w:r w:rsidR="001A3FB5">
        <w:t xml:space="preserve">be one of backroom deals. </w:t>
      </w:r>
    </w:p>
    <w:p w14:paraId="3D1BABBF" w14:textId="735EF273" w:rsidR="00827D2B" w:rsidRDefault="00132DCE" w:rsidP="007F7FA3">
      <w:pPr>
        <w:pStyle w:val="Paragraphformat"/>
      </w:pPr>
      <w:r>
        <w:t xml:space="preserve">As bankruptcy increasingly </w:t>
      </w:r>
      <w:r w:rsidR="00503075">
        <w:t xml:space="preserve">goes </w:t>
      </w:r>
      <w:r>
        <w:t>private</w:t>
      </w:r>
      <w:r w:rsidR="00503075">
        <w:t xml:space="preserve">, </w:t>
      </w:r>
      <w:r>
        <w:t xml:space="preserve">information asymmetries </w:t>
      </w:r>
      <w:r w:rsidR="00503075">
        <w:t>widen</w:t>
      </w:r>
      <w:r w:rsidR="009E7731">
        <w:t xml:space="preserve"> and </w:t>
      </w:r>
      <w:r w:rsidR="00147E25">
        <w:t>markets</w:t>
      </w:r>
      <w:r>
        <w:t xml:space="preserve"> for </w:t>
      </w:r>
      <w:r w:rsidR="009E7731">
        <w:t xml:space="preserve">the restructured firm’s </w:t>
      </w:r>
      <w:r>
        <w:t xml:space="preserve">securities and options </w:t>
      </w:r>
      <w:r w:rsidR="00113BD9">
        <w:t xml:space="preserve">shrink </w:t>
      </w:r>
      <w:r w:rsidR="009E7731">
        <w:t xml:space="preserve">or disappear. </w:t>
      </w:r>
      <w:r w:rsidR="00113BD9">
        <w:t xml:space="preserve">This new environment will present challenges and opportunities for bankruptcy </w:t>
      </w:r>
      <w:r>
        <w:t xml:space="preserve">judges, practitioners, and reformers </w:t>
      </w:r>
      <w:r w:rsidR="00113BD9">
        <w:t>to develop new approaches to managing a bankruptcy process with vastly less reliable public information than originally envisaged</w:t>
      </w:r>
      <w:r>
        <w:t>.</w:t>
      </w:r>
    </w:p>
    <w:p w14:paraId="581C3F3D" w14:textId="77777777" w:rsidR="00B81034" w:rsidRDefault="00B81034" w:rsidP="007F7FA3">
      <w:pPr>
        <w:pStyle w:val="Paragraphformat"/>
      </w:pPr>
    </w:p>
    <w:p w14:paraId="7B3CEF4F" w14:textId="77777777" w:rsidR="00BF7DAE" w:rsidRDefault="00BF7DAE" w:rsidP="007F7FA3">
      <w:pPr>
        <w:pStyle w:val="Paragraphformat"/>
      </w:pPr>
    </w:p>
    <w:p w14:paraId="2FF7079F" w14:textId="77777777" w:rsidR="000005C6" w:rsidRDefault="000005C6" w:rsidP="007F7FA3">
      <w:pPr>
        <w:pStyle w:val="Document"/>
      </w:pPr>
    </w:p>
    <w:p w14:paraId="0F70775D" w14:textId="3A51E8F1" w:rsidR="004A3FA4" w:rsidRPr="00CF35E2" w:rsidRDefault="00DE6FF5" w:rsidP="00AF5AC3">
      <w:pPr>
        <w:pStyle w:val="Heading1"/>
      </w:pPr>
      <w:bookmarkStart w:id="24" w:name="_Toc175068323"/>
      <w:r>
        <w:t xml:space="preserve">I.  </w:t>
      </w:r>
      <w:r w:rsidR="004A3FA4" w:rsidRPr="00CF35E2">
        <w:t>What Happens to Public Firms in Bankruptcy?</w:t>
      </w:r>
      <w:bookmarkEnd w:id="24"/>
    </w:p>
    <w:p w14:paraId="66B31389" w14:textId="77777777" w:rsidR="00355832" w:rsidRDefault="00355832" w:rsidP="00DD46FD">
      <w:pPr>
        <w:pStyle w:val="Heading2"/>
        <w:numPr>
          <w:ilvl w:val="0"/>
          <w:numId w:val="0"/>
        </w:numPr>
        <w:ind w:left="907"/>
      </w:pPr>
    </w:p>
    <w:p w14:paraId="42E3BFBB" w14:textId="77777777" w:rsidR="00A37515" w:rsidRDefault="00355832" w:rsidP="00DD46FD">
      <w:pPr>
        <w:pStyle w:val="Heading2"/>
      </w:pPr>
      <w:bookmarkStart w:id="25" w:name="_Toc175068324"/>
      <w:r>
        <w:t xml:space="preserve">The </w:t>
      </w:r>
      <w:r w:rsidR="00A37515">
        <w:t>Four Decade Arc</w:t>
      </w:r>
      <w:bookmarkEnd w:id="25"/>
    </w:p>
    <w:p w14:paraId="3769BEDF" w14:textId="77777777" w:rsidR="00A37515" w:rsidRDefault="00A37515" w:rsidP="00A37515">
      <w:pPr>
        <w:pStyle w:val="ListParagraph"/>
      </w:pPr>
    </w:p>
    <w:p w14:paraId="68838D24" w14:textId="77777777" w:rsidR="007E6CFB" w:rsidRDefault="002B3896" w:rsidP="007F7FA3">
      <w:pPr>
        <w:pStyle w:val="Document"/>
      </w:pPr>
      <w:r>
        <w:t>Large firms that filed for bankruptcy in the 1980s and 1990s were disproportionately public firms with widely distributed stock.  The</w:t>
      </w:r>
      <w:r w:rsidR="00F91035">
        <w:t>y filed for bankruptcy, restructured in lengthy, often multi-year process</w:t>
      </w:r>
      <w:r w:rsidR="00612D6B">
        <w:t>es</w:t>
      </w:r>
      <w:r w:rsidR="00F91035">
        <w:t xml:space="preserve">, and then emerged two or three years later as public firms. </w:t>
      </w:r>
      <w:r w:rsidR="00BA2FFA">
        <w:t xml:space="preserve">Today, the process is different. </w:t>
      </w:r>
      <w:r w:rsidR="00BE7E25">
        <w:t>Large filers are often public firms (although more are private from the get-go, as we see in Part II)</w:t>
      </w:r>
      <w:r w:rsidR="006A6B40">
        <w:t>. They restructure much more quickly, in months rather than years. And they now typically emerge as private firms.</w:t>
      </w:r>
      <w:r w:rsidR="0032615B">
        <w:t xml:space="preserve"> Figure 1 illustrates the narrowing time span.</w:t>
      </w:r>
      <w:r w:rsidR="007E6CFB">
        <w:t xml:space="preserve">  </w:t>
      </w:r>
    </w:p>
    <w:p w14:paraId="7800319B" w14:textId="77777777" w:rsidR="00B66FF8" w:rsidRDefault="00B66FF8" w:rsidP="007F7FA3">
      <w:pPr>
        <w:pStyle w:val="Document"/>
      </w:pPr>
    </w:p>
    <w:p w14:paraId="5FDD2AA8" w14:textId="389D638C" w:rsidR="00355832" w:rsidRDefault="002F3685" w:rsidP="00DD46FD">
      <w:pPr>
        <w:pStyle w:val="Heading2"/>
      </w:pPr>
      <w:bookmarkStart w:id="26" w:name="_Toc175068325"/>
      <w:r>
        <w:t xml:space="preserve">The </w:t>
      </w:r>
      <w:r w:rsidR="00355832">
        <w:t>Data</w:t>
      </w:r>
      <w:bookmarkEnd w:id="26"/>
    </w:p>
    <w:p w14:paraId="1F2D9AB3" w14:textId="77777777" w:rsidR="00355832" w:rsidRDefault="00355832" w:rsidP="00355832"/>
    <w:p w14:paraId="5CED9AF6" w14:textId="0D815BE7" w:rsidR="00A64794" w:rsidRDefault="00A64794" w:rsidP="007F7FA3">
      <w:pPr>
        <w:pStyle w:val="Paragraphformat"/>
      </w:pPr>
      <w:r>
        <w:t xml:space="preserve">In the 1980s, nearly 70 percent of publicly traded firms that filed bankruptcy emerged from bankruptcy as publicly traded firms. By the 1990s, less than half of publicly traded firms that filed emerged as publicly traded firms. By the 2000s, it was less than one third, and by the 2010s, it was less than 20%.  </w:t>
      </w:r>
      <w:r w:rsidR="00620461">
        <w:t>Figure 1</w:t>
      </w:r>
      <w:r w:rsidR="00D0350E">
        <w:t xml:space="preserve"> displays the </w:t>
      </w:r>
      <w:r>
        <w:t>results</w:t>
      </w:r>
      <w:r w:rsidR="00D0350E">
        <w:t>.</w:t>
      </w:r>
      <w:r>
        <w:t xml:space="preserve"> </w:t>
      </w:r>
    </w:p>
    <w:p w14:paraId="2ABF23C2" w14:textId="25AD929A" w:rsidR="000562FA" w:rsidRDefault="000562FA">
      <w:pPr>
        <w:rPr>
          <w:b/>
          <w:bCs/>
        </w:rPr>
      </w:pPr>
    </w:p>
    <w:p w14:paraId="70449C0E" w14:textId="77777777" w:rsidR="00D0350E" w:rsidRDefault="00D0350E">
      <w:pPr>
        <w:rPr>
          <w:b/>
          <w:bCs/>
        </w:rPr>
      </w:pPr>
      <w:r>
        <w:rPr>
          <w:b/>
          <w:bCs/>
        </w:rPr>
        <w:br w:type="page"/>
      </w:r>
    </w:p>
    <w:p w14:paraId="4C54C40C" w14:textId="0EDDDBC4" w:rsidR="00355832" w:rsidRDefault="00355832" w:rsidP="00355832">
      <w:pPr>
        <w:rPr>
          <w:b/>
          <w:bCs/>
        </w:rPr>
      </w:pPr>
      <w:bookmarkStart w:id="27" w:name="Figure1"/>
      <w:bookmarkEnd w:id="27"/>
      <w:r w:rsidRPr="00780970">
        <w:rPr>
          <w:b/>
          <w:bCs/>
        </w:rPr>
        <w:lastRenderedPageBreak/>
        <w:t xml:space="preserve">Figure </w:t>
      </w:r>
      <w:r w:rsidR="00780970">
        <w:rPr>
          <w:b/>
          <w:bCs/>
        </w:rPr>
        <w:t>1</w:t>
      </w:r>
      <w:r w:rsidRPr="00780970">
        <w:rPr>
          <w:b/>
          <w:bCs/>
        </w:rPr>
        <w:t xml:space="preserve">: </w:t>
      </w:r>
      <w:bookmarkStart w:id="28" w:name="_Hlk175055442"/>
      <w:r w:rsidR="007A338A" w:rsidRPr="007A338A">
        <w:rPr>
          <w:b/>
          <w:bCs/>
        </w:rPr>
        <w:t>Decreasing portion of public firm filers that emerged as public firms, by decade</w:t>
      </w:r>
    </w:p>
    <w:bookmarkEnd w:id="28"/>
    <w:p w14:paraId="6AF1EB94" w14:textId="146B150A" w:rsidR="00355832" w:rsidRDefault="00674DDF" w:rsidP="007F7FA3">
      <w:pPr>
        <w:pStyle w:val="Paragraphformat"/>
      </w:pPr>
      <w:r>
        <w:rPr>
          <w:noProof/>
          <w:lang w:bidi="he-IL"/>
        </w:rPr>
        <w:drawing>
          <wp:anchor distT="0" distB="0" distL="114300" distR="114300" simplePos="0" relativeHeight="251654144" behindDoc="0" locked="0" layoutInCell="1" allowOverlap="1" wp14:anchorId="16F03BF3" wp14:editId="25964E34">
            <wp:simplePos x="0" y="0"/>
            <wp:positionH relativeFrom="column">
              <wp:posOffset>-5080</wp:posOffset>
            </wp:positionH>
            <wp:positionV relativeFrom="paragraph">
              <wp:posOffset>76200</wp:posOffset>
            </wp:positionV>
            <wp:extent cx="4663440" cy="2720340"/>
            <wp:effectExtent l="0" t="0" r="3810" b="381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440"/>
        <w:gridCol w:w="1710"/>
        <w:gridCol w:w="1620"/>
        <w:gridCol w:w="1525"/>
      </w:tblGrid>
      <w:tr w:rsidR="00660C57" w14:paraId="37A70412" w14:textId="77777777" w:rsidTr="000F70C7">
        <w:trPr>
          <w:trHeight w:val="278"/>
        </w:trPr>
        <w:tc>
          <w:tcPr>
            <w:tcW w:w="810" w:type="dxa"/>
            <w:vAlign w:val="center"/>
            <w:hideMark/>
          </w:tcPr>
          <w:p w14:paraId="01AB9DCD" w14:textId="77777777" w:rsidR="00660C57" w:rsidRPr="004768F6" w:rsidRDefault="00660C57" w:rsidP="000F70C7">
            <w:pPr>
              <w:jc w:val="center"/>
              <w:rPr>
                <w:rFonts w:ascii="Times New Roman" w:hAnsi="Times New Roman" w:cs="Times New Roman"/>
                <w:sz w:val="20"/>
                <w:szCs w:val="20"/>
              </w:rPr>
            </w:pPr>
            <w:r w:rsidRPr="004768F6">
              <w:rPr>
                <w:rFonts w:ascii="Times New Roman" w:hAnsi="Times New Roman" w:cs="Times New Roman"/>
                <w:sz w:val="20"/>
                <w:szCs w:val="20"/>
              </w:rPr>
              <w:t>N =</w:t>
            </w:r>
          </w:p>
        </w:tc>
        <w:tc>
          <w:tcPr>
            <w:tcW w:w="1440" w:type="dxa"/>
            <w:vAlign w:val="center"/>
            <w:hideMark/>
          </w:tcPr>
          <w:p w14:paraId="2FD16B49" w14:textId="77777777" w:rsidR="00660C57" w:rsidRPr="004768F6" w:rsidRDefault="00660C57" w:rsidP="000F70C7">
            <w:pPr>
              <w:jc w:val="center"/>
              <w:rPr>
                <w:rFonts w:ascii="Times New Roman" w:hAnsi="Times New Roman" w:cs="Times New Roman"/>
                <w:sz w:val="20"/>
                <w:szCs w:val="20"/>
              </w:rPr>
            </w:pPr>
            <w:r w:rsidRPr="004768F6">
              <w:rPr>
                <w:rFonts w:ascii="Times New Roman" w:hAnsi="Times New Roman" w:cs="Times New Roman"/>
                <w:sz w:val="20"/>
                <w:szCs w:val="20"/>
              </w:rPr>
              <w:t>118</w:t>
            </w:r>
          </w:p>
        </w:tc>
        <w:tc>
          <w:tcPr>
            <w:tcW w:w="1710" w:type="dxa"/>
            <w:vAlign w:val="center"/>
            <w:hideMark/>
          </w:tcPr>
          <w:p w14:paraId="100D90A3" w14:textId="77777777" w:rsidR="00660C57" w:rsidRPr="004768F6" w:rsidRDefault="00660C57" w:rsidP="000F70C7">
            <w:pPr>
              <w:jc w:val="center"/>
              <w:rPr>
                <w:rFonts w:ascii="Times New Roman" w:hAnsi="Times New Roman" w:cs="Times New Roman"/>
                <w:sz w:val="20"/>
                <w:szCs w:val="20"/>
              </w:rPr>
            </w:pPr>
            <w:r w:rsidRPr="004768F6">
              <w:rPr>
                <w:rFonts w:ascii="Times New Roman" w:hAnsi="Times New Roman" w:cs="Times New Roman"/>
                <w:sz w:val="20"/>
                <w:szCs w:val="20"/>
              </w:rPr>
              <w:t>317</w:t>
            </w:r>
          </w:p>
        </w:tc>
        <w:tc>
          <w:tcPr>
            <w:tcW w:w="1620" w:type="dxa"/>
            <w:vAlign w:val="center"/>
            <w:hideMark/>
          </w:tcPr>
          <w:p w14:paraId="737281C5" w14:textId="77777777" w:rsidR="00660C57" w:rsidRPr="004768F6" w:rsidRDefault="00660C57" w:rsidP="000F70C7">
            <w:pPr>
              <w:jc w:val="center"/>
              <w:rPr>
                <w:rFonts w:ascii="Times New Roman" w:hAnsi="Times New Roman" w:cs="Times New Roman"/>
                <w:sz w:val="20"/>
                <w:szCs w:val="20"/>
              </w:rPr>
            </w:pPr>
            <w:r w:rsidRPr="004768F6">
              <w:rPr>
                <w:rFonts w:ascii="Times New Roman" w:hAnsi="Times New Roman" w:cs="Times New Roman"/>
                <w:sz w:val="20"/>
                <w:szCs w:val="20"/>
              </w:rPr>
              <w:t>482</w:t>
            </w:r>
          </w:p>
        </w:tc>
        <w:tc>
          <w:tcPr>
            <w:tcW w:w="1525" w:type="dxa"/>
            <w:vAlign w:val="center"/>
            <w:hideMark/>
          </w:tcPr>
          <w:p w14:paraId="0AE96A7D" w14:textId="77777777" w:rsidR="00660C57" w:rsidRPr="004768F6" w:rsidRDefault="00660C57" w:rsidP="000F70C7">
            <w:pPr>
              <w:jc w:val="center"/>
              <w:rPr>
                <w:rFonts w:ascii="Times New Roman" w:hAnsi="Times New Roman" w:cs="Times New Roman"/>
                <w:sz w:val="20"/>
                <w:szCs w:val="20"/>
              </w:rPr>
            </w:pPr>
            <w:r w:rsidRPr="004768F6">
              <w:rPr>
                <w:rFonts w:ascii="Times New Roman" w:hAnsi="Times New Roman" w:cs="Times New Roman"/>
                <w:sz w:val="20"/>
                <w:szCs w:val="20"/>
              </w:rPr>
              <w:t>408</w:t>
            </w:r>
          </w:p>
        </w:tc>
      </w:tr>
    </w:tbl>
    <w:p w14:paraId="1D9E0C91" w14:textId="77777777" w:rsidR="00355832" w:rsidRDefault="00355832" w:rsidP="00355832">
      <w:pPr>
        <w:ind w:firstLine="288"/>
      </w:pPr>
    </w:p>
    <w:p w14:paraId="5354C7E7" w14:textId="77777777" w:rsidR="00355832" w:rsidRPr="00A1360A" w:rsidRDefault="00355832" w:rsidP="00A1360A">
      <w:pPr>
        <w:pStyle w:val="FootnoteNotIndented"/>
      </w:pPr>
      <w:r w:rsidRPr="00A1360A">
        <w:rPr>
          <w:b/>
          <w:bCs/>
        </w:rPr>
        <w:t>Source</w:t>
      </w:r>
      <w:r w:rsidRPr="00A1360A">
        <w:t xml:space="preserve">: LoPucki Bankruptcy Research Database.  </w:t>
      </w:r>
    </w:p>
    <w:p w14:paraId="062F492E" w14:textId="74365601" w:rsidR="00427F8D" w:rsidRDefault="00355832" w:rsidP="00112BF4">
      <w:pPr>
        <w:pStyle w:val="FootnoteNotIndented"/>
      </w:pPr>
      <w:r w:rsidRPr="00A1360A">
        <w:rPr>
          <w:b/>
          <w:bCs/>
        </w:rPr>
        <w:t>Note</w:t>
      </w:r>
      <w:r w:rsidRPr="00A1360A">
        <w:t xml:space="preserve">: The database includes only firms with more than $100 million in assets in 1980 dollars that were publicly traded and filed a </w:t>
      </w:r>
      <w:r w:rsidR="00FB069E">
        <w:t>F</w:t>
      </w:r>
      <w:r w:rsidRPr="00A1360A">
        <w:t xml:space="preserve">orm 10-K with the U.S. Securities and Exchange Commission prior to filing bankruptcy. Firms are classified as emerging as public firms if they filed a </w:t>
      </w:r>
      <w:r w:rsidR="00FB069E">
        <w:t>F</w:t>
      </w:r>
      <w:r w:rsidRPr="00A1360A">
        <w:t>orm 10-</w:t>
      </w:r>
      <w:r w:rsidR="00FB069E">
        <w:t>K</w:t>
      </w:r>
      <w:r w:rsidRPr="00A1360A">
        <w:t xml:space="preserve"> with the U.S. Securities and Exchange Commission within 3 years after emerging from bankruptcy using the “Emerge10K” variable.</w:t>
      </w:r>
    </w:p>
    <w:p w14:paraId="12C50343" w14:textId="77777777" w:rsidR="00427F8D" w:rsidRPr="00A1360A" w:rsidRDefault="00427F8D" w:rsidP="00A1360A">
      <w:pPr>
        <w:pStyle w:val="FootnoteNotIndented"/>
      </w:pPr>
    </w:p>
    <w:p w14:paraId="067EA7C7" w14:textId="77777777" w:rsidR="00355832" w:rsidRDefault="00355832" w:rsidP="00355832">
      <w:pPr>
        <w:ind w:firstLine="288"/>
      </w:pPr>
    </w:p>
    <w:p w14:paraId="43F7405B" w14:textId="77777777" w:rsidR="00355832" w:rsidRDefault="00355832" w:rsidP="00355832"/>
    <w:p w14:paraId="7F6CAC56" w14:textId="295A9383" w:rsidR="00355832" w:rsidRDefault="00DD0B7D" w:rsidP="007F7FA3">
      <w:pPr>
        <w:pStyle w:val="Paragraphformat"/>
      </w:pPr>
      <w:r>
        <w:t xml:space="preserve">The results are substantially similar, albeit less dramatic, using a narrower sample that focuses on firms that emerged as standalone businesses, as shown in Figure </w:t>
      </w:r>
      <w:r w:rsidR="000562FA">
        <w:t>2</w:t>
      </w:r>
      <w:r>
        <w:t>. That is, s</w:t>
      </w:r>
      <w:r w:rsidR="00857BF1">
        <w:t>ome firms file</w:t>
      </w:r>
      <w:r w:rsidR="004D1597">
        <w:t>d</w:t>
      </w:r>
      <w:r w:rsidR="00857BF1">
        <w:t xml:space="preserve"> as public firms, restructured</w:t>
      </w:r>
      <w:r w:rsidR="005A0C6B">
        <w:t xml:space="preserve"> in chapter 11</w:t>
      </w:r>
      <w:r w:rsidR="00857BF1">
        <w:t xml:space="preserve">, and </w:t>
      </w:r>
      <w:r w:rsidR="00683F80">
        <w:t xml:space="preserve">another public firm </w:t>
      </w:r>
      <w:r w:rsidR="00857BF1">
        <w:t xml:space="preserve">acquired </w:t>
      </w:r>
      <w:r w:rsidR="00683F80">
        <w:t>them</w:t>
      </w:r>
      <w:r w:rsidR="000C3D5D">
        <w:t xml:space="preserve">. </w:t>
      </w:r>
      <w:r w:rsidR="00567C54">
        <w:t>This process eliminate</w:t>
      </w:r>
      <w:r w:rsidR="00541C1B">
        <w:t>d</w:t>
      </w:r>
      <w:r w:rsidR="00567C54">
        <w:t xml:space="preserve"> them as separately-reporting companies (and end</w:t>
      </w:r>
      <w:r w:rsidR="00541C1B">
        <w:t>ed</w:t>
      </w:r>
      <w:r w:rsidR="00567C54">
        <w:t xml:space="preserve"> the concomitant </w:t>
      </w:r>
      <w:r w:rsidR="00541C1B">
        <w:t xml:space="preserve">mandatory </w:t>
      </w:r>
      <w:r w:rsidR="00567C54">
        <w:t>information stream). But that</w:t>
      </w:r>
      <w:r w:rsidR="00541C1B">
        <w:t xml:space="preserve"> was</w:t>
      </w:r>
      <w:r w:rsidR="00567C54">
        <w:t xml:space="preserve"> not exactly </w:t>
      </w:r>
      <w:r w:rsidR="00541C1B">
        <w:t xml:space="preserve">a </w:t>
      </w:r>
      <w:r w:rsidR="00567C54">
        <w:t>going private</w:t>
      </w:r>
      <w:r w:rsidR="00541C1B">
        <w:t xml:space="preserve"> transaction</w:t>
      </w:r>
      <w:r w:rsidR="00567C54">
        <w:t xml:space="preserve">.  </w:t>
      </w:r>
      <w:r w:rsidR="00541C1B">
        <w:t xml:space="preserve">The public filer ended its </w:t>
      </w:r>
      <w:r w:rsidR="001C1A57">
        <w:t xml:space="preserve">existence as a stand-alone firm. </w:t>
      </w:r>
      <w:r w:rsidR="00541C1B">
        <w:t xml:space="preserve">Such firms </w:t>
      </w:r>
      <w:r w:rsidR="001C1A57">
        <w:t>are included in the large gray bar in Figure</w:t>
      </w:r>
      <w:r w:rsidR="000562FA">
        <w:t xml:space="preserve"> </w:t>
      </w:r>
      <w:r w:rsidR="001C1A57">
        <w:t xml:space="preserve">1 as no longer being stand-alone </w:t>
      </w:r>
      <w:r w:rsidR="00D87639">
        <w:t>public companies</w:t>
      </w:r>
      <w:r w:rsidR="00B06589">
        <w:t>, but are not included in Figure 2</w:t>
      </w:r>
      <w:r w:rsidR="00D87639">
        <w:t>.</w:t>
      </w:r>
      <w:r w:rsidR="00F44131">
        <w:rPr>
          <w:rStyle w:val="FootnoteReference"/>
        </w:rPr>
        <w:footnoteReference w:id="4"/>
      </w:r>
    </w:p>
    <w:p w14:paraId="5D0B4B8A" w14:textId="12D9C3C9" w:rsidR="00D87639" w:rsidRDefault="00D87639" w:rsidP="007F7FA3">
      <w:pPr>
        <w:pStyle w:val="Document"/>
      </w:pPr>
      <w:r>
        <w:lastRenderedPageBreak/>
        <w:t>If we look at what’s happening only to the public firm filers that emerge</w:t>
      </w:r>
      <w:r w:rsidR="00B06589">
        <w:t>d</w:t>
      </w:r>
      <w:r>
        <w:t xml:space="preserve"> as stand-alone companies (whether public or private, but standalone and not as a subsidiary of a public firm), the trend is only a little less sharp</w:t>
      </w:r>
      <w:r w:rsidR="005C3844">
        <w:t xml:space="preserve"> than the overall trend </w:t>
      </w:r>
      <w:r w:rsidR="00B06589">
        <w:t>seen</w:t>
      </w:r>
      <w:r w:rsidR="005C3844">
        <w:t xml:space="preserve"> in Figure 1</w:t>
      </w:r>
      <w:r>
        <w:t xml:space="preserve">. </w:t>
      </w:r>
      <w:r w:rsidR="00775BC6">
        <w:t xml:space="preserve">In the 1980s, </w:t>
      </w:r>
      <w:r w:rsidR="00B03080">
        <w:t xml:space="preserve">only 12% of the </w:t>
      </w:r>
      <w:r w:rsidR="002A297C">
        <w:t>public firm filers that emerged as standalones were private; by the 2010s, near</w:t>
      </w:r>
      <w:r w:rsidR="00E44C33">
        <w:t>ly</w:t>
      </w:r>
      <w:r w:rsidR="002A297C">
        <w:t xml:space="preserve"> two-thirds were. Figure</w:t>
      </w:r>
      <w:r w:rsidR="000562FA">
        <w:t xml:space="preserve"> 2</w:t>
      </w:r>
      <w:r w:rsidR="002A297C">
        <w:t xml:space="preserve"> illustrates.</w:t>
      </w:r>
      <w:r w:rsidR="006154A0" w:rsidRPr="00225374">
        <w:rPr>
          <w:rStyle w:val="FootnoteReference"/>
        </w:rPr>
        <w:footnoteReference w:id="5"/>
      </w:r>
    </w:p>
    <w:p w14:paraId="655FBA0A" w14:textId="77777777" w:rsidR="002E014B" w:rsidRDefault="002E014B" w:rsidP="007F7FA3">
      <w:pPr>
        <w:pStyle w:val="Document"/>
      </w:pPr>
    </w:p>
    <w:p w14:paraId="73BA16D0" w14:textId="77777777" w:rsidR="00E32F5A" w:rsidRDefault="00E32F5A" w:rsidP="007F7FA3">
      <w:pPr>
        <w:pStyle w:val="Document"/>
      </w:pPr>
    </w:p>
    <w:p w14:paraId="3875B49B" w14:textId="3F3FB7A3" w:rsidR="00355832" w:rsidRDefault="00355832" w:rsidP="00355832">
      <w:pPr>
        <w:rPr>
          <w:b/>
          <w:bCs/>
        </w:rPr>
      </w:pPr>
      <w:bookmarkStart w:id="29" w:name="Figure2"/>
      <w:bookmarkEnd w:id="29"/>
      <w:r w:rsidRPr="00780970">
        <w:rPr>
          <w:b/>
          <w:bCs/>
        </w:rPr>
        <w:t xml:space="preserve">Figure </w:t>
      </w:r>
      <w:r w:rsidR="00780970" w:rsidRPr="00780970">
        <w:rPr>
          <w:b/>
          <w:bCs/>
        </w:rPr>
        <w:t>2</w:t>
      </w:r>
      <w:r w:rsidRPr="00780970">
        <w:rPr>
          <w:b/>
          <w:bCs/>
        </w:rPr>
        <w:t xml:space="preserve">: </w:t>
      </w:r>
      <w:bookmarkStart w:id="30" w:name="_Hlk175055481"/>
      <w:r w:rsidR="007A338A" w:rsidRPr="007A338A">
        <w:rPr>
          <w:b/>
          <w:bCs/>
        </w:rPr>
        <w:t>Decreasing public firm filers emerging in public, standalone firms, by assets, by decade</w:t>
      </w:r>
    </w:p>
    <w:bookmarkEnd w:id="30"/>
    <w:p w14:paraId="169E778D" w14:textId="6E943F8D" w:rsidR="00355832" w:rsidRDefault="00C44282" w:rsidP="00355832">
      <w:pPr>
        <w:ind w:firstLine="288"/>
      </w:pPr>
      <w:r>
        <w:rPr>
          <w:b/>
          <w:bCs/>
          <w:noProof/>
          <w:lang w:bidi="he-IL"/>
        </w:rPr>
        <w:drawing>
          <wp:anchor distT="0" distB="0" distL="114300" distR="114300" simplePos="0" relativeHeight="251656192" behindDoc="0" locked="0" layoutInCell="1" allowOverlap="1" wp14:anchorId="7907C439" wp14:editId="36D1A40E">
            <wp:simplePos x="0" y="0"/>
            <wp:positionH relativeFrom="column">
              <wp:posOffset>-62230</wp:posOffset>
            </wp:positionH>
            <wp:positionV relativeFrom="paragraph">
              <wp:posOffset>107950</wp:posOffset>
            </wp:positionV>
            <wp:extent cx="4663440" cy="2720340"/>
            <wp:effectExtent l="0" t="0" r="3810" b="381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530"/>
        <w:gridCol w:w="1620"/>
        <w:gridCol w:w="1530"/>
        <w:gridCol w:w="1615"/>
      </w:tblGrid>
      <w:tr w:rsidR="00551734" w:rsidRPr="00551734" w14:paraId="4EBBFD0E" w14:textId="77777777" w:rsidTr="000F70C7">
        <w:trPr>
          <w:trHeight w:val="269"/>
        </w:trPr>
        <w:tc>
          <w:tcPr>
            <w:tcW w:w="810" w:type="dxa"/>
            <w:vAlign w:val="center"/>
            <w:hideMark/>
          </w:tcPr>
          <w:p w14:paraId="4D804B60" w14:textId="77777777" w:rsidR="00551734" w:rsidRPr="00551734" w:rsidRDefault="00551734" w:rsidP="00551734">
            <w:pPr>
              <w:ind w:firstLine="288"/>
              <w:rPr>
                <w:sz w:val="20"/>
                <w:szCs w:val="20"/>
              </w:rPr>
            </w:pPr>
            <w:r w:rsidRPr="00551734">
              <w:rPr>
                <w:sz w:val="20"/>
                <w:szCs w:val="20"/>
              </w:rPr>
              <w:t>N =</w:t>
            </w:r>
          </w:p>
        </w:tc>
        <w:tc>
          <w:tcPr>
            <w:tcW w:w="1530" w:type="dxa"/>
            <w:vAlign w:val="center"/>
            <w:hideMark/>
          </w:tcPr>
          <w:p w14:paraId="4DD88A53" w14:textId="77777777" w:rsidR="00551734" w:rsidRPr="00551734" w:rsidRDefault="00551734" w:rsidP="00551734">
            <w:pPr>
              <w:ind w:firstLine="288"/>
              <w:rPr>
                <w:sz w:val="20"/>
                <w:szCs w:val="20"/>
              </w:rPr>
            </w:pPr>
            <w:r w:rsidRPr="00551734">
              <w:rPr>
                <w:sz w:val="20"/>
                <w:szCs w:val="20"/>
              </w:rPr>
              <w:t>73</w:t>
            </w:r>
          </w:p>
        </w:tc>
        <w:tc>
          <w:tcPr>
            <w:tcW w:w="1620" w:type="dxa"/>
            <w:vAlign w:val="center"/>
            <w:hideMark/>
          </w:tcPr>
          <w:p w14:paraId="073F73F0" w14:textId="77777777" w:rsidR="00551734" w:rsidRPr="00551734" w:rsidRDefault="00551734" w:rsidP="00551734">
            <w:pPr>
              <w:ind w:firstLine="288"/>
              <w:rPr>
                <w:sz w:val="20"/>
                <w:szCs w:val="20"/>
              </w:rPr>
            </w:pPr>
            <w:r w:rsidRPr="00551734">
              <w:rPr>
                <w:sz w:val="20"/>
                <w:szCs w:val="20"/>
              </w:rPr>
              <w:t>197</w:t>
            </w:r>
          </w:p>
        </w:tc>
        <w:tc>
          <w:tcPr>
            <w:tcW w:w="1530" w:type="dxa"/>
            <w:vAlign w:val="center"/>
            <w:hideMark/>
          </w:tcPr>
          <w:p w14:paraId="284F733D" w14:textId="77777777" w:rsidR="00551734" w:rsidRPr="00551734" w:rsidRDefault="00551734" w:rsidP="00551734">
            <w:pPr>
              <w:ind w:firstLine="288"/>
              <w:rPr>
                <w:sz w:val="20"/>
                <w:szCs w:val="20"/>
              </w:rPr>
            </w:pPr>
            <w:r w:rsidRPr="00551734">
              <w:rPr>
                <w:sz w:val="20"/>
                <w:szCs w:val="20"/>
              </w:rPr>
              <w:t>338</w:t>
            </w:r>
          </w:p>
        </w:tc>
        <w:tc>
          <w:tcPr>
            <w:tcW w:w="1615" w:type="dxa"/>
            <w:vAlign w:val="center"/>
            <w:hideMark/>
          </w:tcPr>
          <w:p w14:paraId="0B04B5B8" w14:textId="77777777" w:rsidR="00551734" w:rsidRPr="00551734" w:rsidRDefault="00551734" w:rsidP="00551734">
            <w:pPr>
              <w:ind w:firstLine="288"/>
              <w:rPr>
                <w:sz w:val="20"/>
                <w:szCs w:val="20"/>
              </w:rPr>
            </w:pPr>
            <w:r w:rsidRPr="00551734">
              <w:rPr>
                <w:sz w:val="20"/>
                <w:szCs w:val="20"/>
              </w:rPr>
              <w:t>223</w:t>
            </w:r>
          </w:p>
        </w:tc>
      </w:tr>
    </w:tbl>
    <w:p w14:paraId="25F9C4D9" w14:textId="77777777" w:rsidR="00980820" w:rsidRDefault="00980820" w:rsidP="00355832">
      <w:pPr>
        <w:ind w:firstLine="288"/>
      </w:pPr>
    </w:p>
    <w:p w14:paraId="796335F0" w14:textId="77777777" w:rsidR="00355832" w:rsidRPr="007569E8" w:rsidRDefault="00355832" w:rsidP="00A1360A">
      <w:pPr>
        <w:pStyle w:val="FootnoteNotIndented"/>
      </w:pPr>
      <w:r w:rsidRPr="007569E8">
        <w:rPr>
          <w:b/>
          <w:bCs/>
        </w:rPr>
        <w:t>Source:</w:t>
      </w:r>
      <w:r w:rsidRPr="007569E8">
        <w:t xml:space="preserve"> LoPucki Bankruptcy Research Database.  </w:t>
      </w:r>
    </w:p>
    <w:p w14:paraId="6E192B80" w14:textId="1C881AE5" w:rsidR="00355832" w:rsidRDefault="00355832" w:rsidP="00A1360A">
      <w:pPr>
        <w:pStyle w:val="FootnoteNotIndented"/>
      </w:pPr>
      <w:r w:rsidRPr="007569E8">
        <w:rPr>
          <w:b/>
          <w:bCs/>
        </w:rPr>
        <w:t>Note:</w:t>
      </w:r>
      <w:r w:rsidRPr="007569E8">
        <w:t xml:space="preserve"> The database includes only firms with more than $100 million in assets in 1980 dollars that were publicly traded and filed a </w:t>
      </w:r>
      <w:r w:rsidR="002C1C47">
        <w:t>F</w:t>
      </w:r>
      <w:r w:rsidRPr="007569E8">
        <w:t xml:space="preserve">orm 10-K with the U.S. Securities and Exchange Commission prior to filing bankruptcy. Firms are classified as emerging as public firms if they filed a </w:t>
      </w:r>
      <w:r w:rsidR="002F085F">
        <w:t>F</w:t>
      </w:r>
      <w:r w:rsidRPr="007569E8">
        <w:t>orm 10-</w:t>
      </w:r>
      <w:r w:rsidR="002F085F">
        <w:t>K</w:t>
      </w:r>
      <w:r w:rsidRPr="007569E8">
        <w:t xml:space="preserve"> with the U.S. Securities and Exchange Commission within 3 years after emerging from bankruptcy using the “Emerge10K” variable.</w:t>
      </w:r>
      <w:r>
        <w:t xml:space="preserve"> In addition, for inclusion in this narrower analysis, the “emerge” variable must not have a value of </w:t>
      </w:r>
      <w:r w:rsidR="006042F3">
        <w:t xml:space="preserve"> </w:t>
      </w:r>
      <w:r>
        <w:t xml:space="preserve">“no.” Thus, </w:t>
      </w:r>
      <w:r w:rsidR="006042F3">
        <w:t xml:space="preserve">to be included in our sample, </w:t>
      </w:r>
      <w:r>
        <w:t>a firm must not have been liquidated, and if purchased, must have continued to be operated as a separate entity rather than being integrated into another business.</w:t>
      </w:r>
    </w:p>
    <w:p w14:paraId="4E50CBC7" w14:textId="77777777" w:rsidR="002E014B" w:rsidRPr="007569E8" w:rsidRDefault="002E014B" w:rsidP="00A1360A">
      <w:pPr>
        <w:pStyle w:val="FootnoteNotIndented"/>
      </w:pPr>
    </w:p>
    <w:p w14:paraId="75152393" w14:textId="77777777" w:rsidR="00355832" w:rsidRDefault="00355832" w:rsidP="00355832"/>
    <w:p w14:paraId="528B7992" w14:textId="719C4E07" w:rsidR="001076DA" w:rsidRDefault="00403183" w:rsidP="007F7FA3">
      <w:pPr>
        <w:pStyle w:val="Document"/>
      </w:pPr>
      <w:r>
        <w:t xml:space="preserve">Thus, Observation 1:  </w:t>
      </w:r>
      <w:r w:rsidR="00AC2815">
        <w:t xml:space="preserve">Large public firms are still important filers for bankruptcy:  More than 400 in the most recent decade versus 100+ in the 1980s. </w:t>
      </w:r>
      <w:r w:rsidR="00DD16B9">
        <w:t>But they are not emerging as standalone public companies for the most part. More than 80% went off the public market in the last decade.</w:t>
      </w:r>
    </w:p>
    <w:p w14:paraId="146A63A6" w14:textId="77777777" w:rsidR="001076DA" w:rsidRDefault="001076DA">
      <w:pPr>
        <w:rPr>
          <w:sz w:val="21"/>
        </w:rPr>
      </w:pPr>
      <w:r>
        <w:br w:type="page"/>
      </w:r>
    </w:p>
    <w:p w14:paraId="6B1906E3" w14:textId="0FC1AE09" w:rsidR="000005C6" w:rsidRPr="000005C6" w:rsidRDefault="00DE6FF5" w:rsidP="00AF5AC3">
      <w:pPr>
        <w:pStyle w:val="Heading1"/>
      </w:pPr>
      <w:bookmarkStart w:id="31" w:name="_Toc175068326"/>
      <w:r>
        <w:lastRenderedPageBreak/>
        <w:t xml:space="preserve">II.  </w:t>
      </w:r>
      <w:r w:rsidR="00403183">
        <w:t>Are the Large Filers Still Public Firms?</w:t>
      </w:r>
      <w:bookmarkEnd w:id="31"/>
      <w:r w:rsidR="00433071">
        <w:t xml:space="preserve"> </w:t>
      </w:r>
    </w:p>
    <w:p w14:paraId="34A3C81B" w14:textId="0A407C7E" w:rsidR="00EA2E61" w:rsidRDefault="00EA2E61" w:rsidP="00493903">
      <w:pPr>
        <w:ind w:firstLine="288"/>
        <w:rPr>
          <w:sz w:val="21"/>
          <w:szCs w:val="21"/>
        </w:rPr>
      </w:pPr>
    </w:p>
    <w:p w14:paraId="4DC25B0E" w14:textId="3D575600" w:rsidR="00A108D5" w:rsidRDefault="00732AA3" w:rsidP="007F7FA3">
      <w:pPr>
        <w:pStyle w:val="Paragraphformat"/>
      </w:pPr>
      <w:r w:rsidRPr="00732AA3">
        <w:t xml:space="preserve">Large corporate bankruptcies in the 1980s and the 1990s were </w:t>
      </w:r>
      <w:r w:rsidR="0002295E">
        <w:t>the</w:t>
      </w:r>
      <w:r w:rsidRPr="00732AA3">
        <w:t xml:space="preserve"> domain of publicly traded fi</w:t>
      </w:r>
      <w:r w:rsidR="003F1FE5">
        <w:t>lers</w:t>
      </w:r>
      <w:r w:rsidRPr="00732AA3">
        <w:t xml:space="preserve">. </w:t>
      </w:r>
      <w:r>
        <w:t xml:space="preserve">In the </w:t>
      </w:r>
      <w:r w:rsidR="003F1FE5">
        <w:t xml:space="preserve">early </w:t>
      </w:r>
      <w:r>
        <w:t xml:space="preserve">1980s, the </w:t>
      </w:r>
      <w:r w:rsidR="00D12B37">
        <w:t>1978</w:t>
      </w:r>
      <w:r>
        <w:t xml:space="preserve"> </w:t>
      </w:r>
      <w:r w:rsidR="00D12B37">
        <w:t>B</w:t>
      </w:r>
      <w:r>
        <w:t xml:space="preserve">ankruptcy </w:t>
      </w:r>
      <w:r w:rsidR="00D12B37">
        <w:t>C</w:t>
      </w:r>
      <w:r>
        <w:t>ode was new and untested</w:t>
      </w:r>
      <w:r w:rsidR="00D12B37">
        <w:t xml:space="preserve">, </w:t>
      </w:r>
      <w:r w:rsidR="00B21C5A">
        <w:t xml:space="preserve">and </w:t>
      </w:r>
      <w:r w:rsidR="00D12B37">
        <w:t xml:space="preserve">bankruptcies were </w:t>
      </w:r>
      <w:r w:rsidR="00464437">
        <w:t>lengthy</w:t>
      </w:r>
      <w:r w:rsidR="00D12B37">
        <w:t xml:space="preserve"> and costly</w:t>
      </w:r>
      <w:r w:rsidR="00B21C5A">
        <w:t>.</w:t>
      </w:r>
      <w:bookmarkStart w:id="32" w:name="_Ref175067013"/>
      <w:r w:rsidR="00B21C5A" w:rsidRPr="00225374">
        <w:rPr>
          <w:rStyle w:val="FootnoteReference"/>
        </w:rPr>
        <w:footnoteReference w:id="6"/>
      </w:r>
      <w:bookmarkEnd w:id="32"/>
      <w:r w:rsidR="00B21C5A">
        <w:t xml:space="preserve"> </w:t>
      </w:r>
      <w:r w:rsidR="00A108D5">
        <w:t xml:space="preserve">Figure 3 illustrates. </w:t>
      </w:r>
      <w:r w:rsidR="0036436C">
        <w:t>F</w:t>
      </w:r>
      <w:r w:rsidR="00B21C5A">
        <w:t>ewer than 100 large corporate bankruptcies</w:t>
      </w:r>
      <w:r w:rsidR="00CB2E3A">
        <w:t xml:space="preserve"> were</w:t>
      </w:r>
      <w:r w:rsidR="00B21C5A">
        <w:t xml:space="preserve"> </w:t>
      </w:r>
      <w:r w:rsidR="00464437">
        <w:t xml:space="preserve">filed </w:t>
      </w:r>
      <w:r w:rsidR="00B21C5A">
        <w:t>during the 1980s.</w:t>
      </w:r>
      <w:r w:rsidR="00464437" w:rsidRPr="00225374">
        <w:rPr>
          <w:rStyle w:val="FootnoteReference"/>
        </w:rPr>
        <w:footnoteReference w:id="7"/>
      </w:r>
      <w:r w:rsidR="00B21C5A">
        <w:t xml:space="preserve"> </w:t>
      </w:r>
      <w:r w:rsidR="00017868">
        <w:t xml:space="preserve">Large private filers were uncommon. </w:t>
      </w:r>
      <w:r w:rsidR="00B21C5A">
        <w:t>Only one of the</w:t>
      </w:r>
      <w:r w:rsidR="00017868">
        <w:t xml:space="preserve"> 100 larger filing</w:t>
      </w:r>
      <w:r w:rsidR="00784892">
        <w:t>s was private</w:t>
      </w:r>
      <w:r w:rsidR="006F120E">
        <w:t>:</w:t>
      </w:r>
      <w:r w:rsidR="00464437">
        <w:t xml:space="preserve"> the real estate development </w:t>
      </w:r>
      <w:r w:rsidR="00252F1F">
        <w:t xml:space="preserve">and retail </w:t>
      </w:r>
      <w:r w:rsidR="00464437">
        <w:t xml:space="preserve">firm </w:t>
      </w:r>
      <w:r w:rsidR="00464437" w:rsidRPr="00464437">
        <w:t>L.J. Hooker Corp., Inc.</w:t>
      </w:r>
      <w:r w:rsidR="00252F1F">
        <w:t>.</w:t>
      </w:r>
      <w:r w:rsidR="00C545A4" w:rsidRPr="00225374">
        <w:rPr>
          <w:rStyle w:val="FootnoteReference"/>
        </w:rPr>
        <w:footnoteReference w:id="8"/>
      </w:r>
      <w:r w:rsidR="00252F1F">
        <w:t xml:space="preserve"> </w:t>
      </w:r>
    </w:p>
    <w:p w14:paraId="1721D4F9" w14:textId="77777777" w:rsidR="00A108D5" w:rsidRDefault="00A108D5" w:rsidP="007F7FA3">
      <w:pPr>
        <w:pStyle w:val="Paragraphformat"/>
      </w:pPr>
    </w:p>
    <w:p w14:paraId="6D1C77CE" w14:textId="7B5887AD" w:rsidR="00EF0BDA" w:rsidRPr="00F4743F" w:rsidRDefault="00EF0BDA" w:rsidP="00EF0BDA">
      <w:pPr>
        <w:pStyle w:val="Caption"/>
        <w:jc w:val="center"/>
      </w:pPr>
      <w:bookmarkStart w:id="33" w:name="Figure3"/>
      <w:bookmarkEnd w:id="33"/>
      <w:r>
        <w:t xml:space="preserve">Figure </w:t>
      </w:r>
      <w:r w:rsidR="00025272">
        <w:fldChar w:fldCharType="begin"/>
      </w:r>
      <w:r w:rsidR="00025272">
        <w:instrText xml:space="preserve"> SEQ Figure \* ARABIC </w:instrText>
      </w:r>
      <w:r w:rsidR="00025272">
        <w:fldChar w:fldCharType="separate"/>
      </w:r>
      <w:r>
        <w:rPr>
          <w:noProof/>
        </w:rPr>
        <w:t>3</w:t>
      </w:r>
      <w:r w:rsidR="00025272">
        <w:rPr>
          <w:noProof/>
        </w:rPr>
        <w:fldChar w:fldCharType="end"/>
      </w:r>
      <w:r>
        <w:t xml:space="preserve">. The </w:t>
      </w:r>
      <w:r w:rsidR="00D35723">
        <w:t>d</w:t>
      </w:r>
      <w:r>
        <w:t xml:space="preserve">ecrease in </w:t>
      </w:r>
      <w:r w:rsidR="00D35723">
        <w:t>a</w:t>
      </w:r>
      <w:r>
        <w:t xml:space="preserve">verage </w:t>
      </w:r>
      <w:r w:rsidR="00D35723">
        <w:t>t</w:t>
      </w:r>
      <w:r>
        <w:t xml:space="preserve">ime from </w:t>
      </w:r>
      <w:r w:rsidR="00D35723">
        <w:t>f</w:t>
      </w:r>
      <w:r>
        <w:t xml:space="preserve">iling to </w:t>
      </w:r>
      <w:r w:rsidR="00D35723">
        <w:t>c</w:t>
      </w:r>
      <w:r>
        <w:t>onfirmation, 1980-2021</w:t>
      </w:r>
      <w:bookmarkStart w:id="34" w:name="_Ref156646308"/>
      <w:r w:rsidRPr="00F4743F">
        <w:rPr>
          <w:rStyle w:val="FootnoteReference"/>
          <w:rFonts w:eastAsiaTheme="minorEastAsia"/>
        </w:rPr>
        <w:footnoteReference w:id="9"/>
      </w:r>
      <w:bookmarkEnd w:id="34"/>
    </w:p>
    <w:p w14:paraId="782D0880" w14:textId="77777777" w:rsidR="00EF0BDA" w:rsidRDefault="00EF0BDA" w:rsidP="00EF0BDA">
      <w:pPr>
        <w:rPr>
          <w:rFonts w:eastAsiaTheme="minorEastAsia"/>
        </w:rPr>
      </w:pPr>
      <w:r w:rsidRPr="00EE587A">
        <w:rPr>
          <w:noProof/>
          <w:lang w:bidi="he-IL"/>
        </w:rPr>
        <w:drawing>
          <wp:anchor distT="0" distB="0" distL="114300" distR="114300" simplePos="0" relativeHeight="251662336" behindDoc="0" locked="0" layoutInCell="1" allowOverlap="1" wp14:anchorId="442C882F" wp14:editId="7B71547A">
            <wp:simplePos x="0" y="0"/>
            <wp:positionH relativeFrom="column">
              <wp:posOffset>1270</wp:posOffset>
            </wp:positionH>
            <wp:positionV relativeFrom="paragraph">
              <wp:posOffset>2540</wp:posOffset>
            </wp:positionV>
            <wp:extent cx="4663440" cy="3010052"/>
            <wp:effectExtent l="0" t="0" r="0" b="0"/>
            <wp:wrapSquare wrapText="bothSides"/>
            <wp:docPr id="786172851" name="Chart 1">
              <a:extLst xmlns:a="http://schemas.openxmlformats.org/drawingml/2006/main">
                <a:ext uri="{FF2B5EF4-FFF2-40B4-BE49-F238E27FC236}">
                  <a16:creationId xmlns:a16="http://schemas.microsoft.com/office/drawing/2014/main" id="{29E9716B-5DD9-5603-33BB-1EB229EA5C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2AC21A4" w14:textId="2E094B66" w:rsidR="00EF0BDA" w:rsidRDefault="00EF0BDA" w:rsidP="00A11961">
      <w:pPr>
        <w:pStyle w:val="FootnoteNotIndented"/>
        <w:rPr>
          <w:rFonts w:eastAsiaTheme="minorEastAsia"/>
        </w:rPr>
      </w:pPr>
      <w:r>
        <w:rPr>
          <w:rFonts w:eastAsiaTheme="minorEastAsia"/>
        </w:rPr>
        <w:t xml:space="preserve">This figure shows the average duration in days for large bankruptcies of publicly traded firms with $100 million or more in debt (in inflation adjusted real 1980 dollars) for each year since the Bankruptcy Code became effective. On average, large bankruptcies took more than 1,000 days in the early years and about 100 days in the most recent year. The slope of the pictured trendline represents a decrease of 20 days for large firm bankruptcy duration annually. Since more bankruptcies today—like prepackaged bankruptcies and pre-negotiated plans—entail more work before the filing, the functional slope is somewhat shallower. But the pre-bankruptcy work is surely not taking up an additional 900 days to even up the current timing with the 1980s duration. </w:t>
      </w:r>
    </w:p>
    <w:p w14:paraId="50937641" w14:textId="77777777" w:rsidR="00EF0BDA" w:rsidRDefault="00EF0BDA" w:rsidP="00EF0BDA">
      <w:pPr>
        <w:rPr>
          <w:rFonts w:ascii="Times" w:hAnsi="Times"/>
          <w:b/>
        </w:rPr>
      </w:pPr>
    </w:p>
    <w:p w14:paraId="635A527F" w14:textId="72550BCE" w:rsidR="00187148" w:rsidRDefault="0094483A" w:rsidP="007F7FA3">
      <w:pPr>
        <w:pStyle w:val="Paragraphformat"/>
      </w:pPr>
      <w:r>
        <w:lastRenderedPageBreak/>
        <w:t xml:space="preserve">As bankruptcy became a more normalized transaction </w:t>
      </w:r>
      <w:r w:rsidR="001346F8">
        <w:t xml:space="preserve">during that </w:t>
      </w:r>
      <w:r>
        <w:t xml:space="preserve">decade, the number of </w:t>
      </w:r>
      <w:r w:rsidR="00F83833">
        <w:t>large corporate bankruptcy filings</w:t>
      </w:r>
      <w:r>
        <w:t xml:space="preserve"> grew, increasing by </w:t>
      </w:r>
      <w:r w:rsidR="00187148">
        <w:t xml:space="preserve">three-fold </w:t>
      </w:r>
      <w:r>
        <w:t>in the 1990s</w:t>
      </w:r>
      <w:r w:rsidR="00F83833">
        <w:t>.</w:t>
      </w:r>
      <w:r w:rsidR="00187148" w:rsidRPr="00225374">
        <w:rPr>
          <w:rStyle w:val="FootnoteReference"/>
        </w:rPr>
        <w:footnoteReference w:id="10"/>
      </w:r>
      <w:r w:rsidR="00F83833">
        <w:t xml:space="preserve"> Bankruptcies became faster</w:t>
      </w:r>
      <w:r w:rsidR="00187148">
        <w:t xml:space="preserve"> in the 1990s</w:t>
      </w:r>
      <w:r w:rsidR="00F83833">
        <w:t xml:space="preserve">, and 363 sales </w:t>
      </w:r>
      <w:r w:rsidR="003C6249">
        <w:t xml:space="preserve">of the entire bankrupt firm </w:t>
      </w:r>
      <w:r w:rsidR="00F83833">
        <w:t xml:space="preserve">became </w:t>
      </w:r>
      <w:r w:rsidR="00187148">
        <w:t>routine</w:t>
      </w:r>
      <w:r w:rsidR="00F83833">
        <w:t xml:space="preserve">. </w:t>
      </w:r>
    </w:p>
    <w:p w14:paraId="43B10CA3" w14:textId="359E6185" w:rsidR="00613B7D" w:rsidRDefault="00943585" w:rsidP="007F7FA3">
      <w:pPr>
        <w:pStyle w:val="Paragraphformat"/>
      </w:pPr>
      <w:r>
        <w:t xml:space="preserve">This increase in large firm bankruptcies was </w:t>
      </w:r>
      <w:r w:rsidR="00990633">
        <w:t xml:space="preserve">at that time </w:t>
      </w:r>
      <w:r>
        <w:t xml:space="preserve">a public firm phenomenon. </w:t>
      </w:r>
      <w:r w:rsidR="00187148">
        <w:t xml:space="preserve">Publicly traded firms accounted for over 97 percent of </w:t>
      </w:r>
      <w:r>
        <w:t xml:space="preserve">1990s </w:t>
      </w:r>
      <w:r w:rsidR="00187148">
        <w:t xml:space="preserve">filers. </w:t>
      </w:r>
      <w:r w:rsidR="00835A43">
        <w:t>The few large p</w:t>
      </w:r>
      <w:r w:rsidR="00187148">
        <w:t xml:space="preserve">rivate filers in this decade </w:t>
      </w:r>
      <w:r w:rsidR="0012621B">
        <w:t xml:space="preserve">were in </w:t>
      </w:r>
      <w:r w:rsidR="00DA5893">
        <w:t xml:space="preserve">real estate, </w:t>
      </w:r>
      <w:r w:rsidR="0012621B">
        <w:t xml:space="preserve">with some </w:t>
      </w:r>
      <w:r w:rsidR="00DA5893">
        <w:t xml:space="preserve">in steel and energy.  </w:t>
      </w:r>
      <w:r w:rsidR="00835A43">
        <w:t>Public filers</w:t>
      </w:r>
      <w:r w:rsidR="00613B7D">
        <w:t xml:space="preserve"> included some of the same industries as in the 1980s—banking and finance, real estate, construction materials, retail, manufacturing, oil and gas—and started to include a broader range of </w:t>
      </w:r>
      <w:r w:rsidR="006C59B4">
        <w:t>industries, including</w:t>
      </w:r>
      <w:r w:rsidR="00613B7D">
        <w:t xml:space="preserve">, among others, apparel, food, beverage </w:t>
      </w:r>
      <w:r w:rsidR="003E7209">
        <w:t>and</w:t>
      </w:r>
      <w:r w:rsidR="00613B7D">
        <w:t xml:space="preserve"> tobacco, telecommunications, and aviation.</w:t>
      </w:r>
      <w:r w:rsidR="009403A8">
        <w:t xml:space="preserve"> At the same time, l</w:t>
      </w:r>
      <w:r w:rsidR="00342EAF">
        <w:t xml:space="preserve">everaged buyouts became more substantial and new financing sources had more </w:t>
      </w:r>
      <w:r w:rsidR="002D481C">
        <w:t xml:space="preserve">large </w:t>
      </w:r>
      <w:r w:rsidR="00342EAF">
        <w:t xml:space="preserve">businesses </w:t>
      </w:r>
      <w:r w:rsidR="002D481C">
        <w:t>operating with</w:t>
      </w:r>
      <w:r w:rsidR="00613B7D">
        <w:t xml:space="preserve"> heavy levels of debt.  </w:t>
      </w:r>
    </w:p>
    <w:p w14:paraId="07709FF0" w14:textId="7A017C0E" w:rsidR="00B51ED3" w:rsidRDefault="000F5E09" w:rsidP="007F7FA3">
      <w:pPr>
        <w:pStyle w:val="Paragraphformat"/>
      </w:pPr>
      <w:r>
        <w:t>In</w:t>
      </w:r>
      <w:r w:rsidR="00732AA3" w:rsidRPr="00732AA3">
        <w:t xml:space="preserve"> the 2000s,</w:t>
      </w:r>
      <w:r>
        <w:t xml:space="preserve"> the number of large corporate bankruptcies doubled again compared to the previous decade,</w:t>
      </w:r>
      <w:r w:rsidR="000A472E" w:rsidRPr="00225374">
        <w:rPr>
          <w:rStyle w:val="FootnoteReference"/>
        </w:rPr>
        <w:footnoteReference w:id="11"/>
      </w:r>
      <w:r>
        <w:t xml:space="preserve"> and</w:t>
      </w:r>
      <w:r w:rsidR="00732AA3" w:rsidRPr="00732AA3">
        <w:t xml:space="preserve"> private firms</w:t>
      </w:r>
      <w:r w:rsidR="0063444F">
        <w:t xml:space="preserve"> start</w:t>
      </w:r>
      <w:r w:rsidR="009403A8">
        <w:t>ed</w:t>
      </w:r>
      <w:r w:rsidR="0063444F">
        <w:t xml:space="preserve"> to account for a noticeable number—they constituted </w:t>
      </w:r>
      <w:r w:rsidR="00FA4D35">
        <w:t>17% of the 2000s large firm bankruptcies.</w:t>
      </w:r>
      <w:r w:rsidR="00732AA3" w:rsidRPr="00732AA3">
        <w:t xml:space="preserve"> </w:t>
      </w:r>
      <w:r>
        <w:t>By</w:t>
      </w:r>
      <w:r w:rsidR="00732AA3" w:rsidRPr="00732AA3">
        <w:t xml:space="preserve"> 2010s,</w:t>
      </w:r>
      <w:r w:rsidR="000A472E">
        <w:t xml:space="preserve"> the number of large bankruptcies </w:t>
      </w:r>
      <w:r w:rsidR="008356A2">
        <w:t>stayed roughly constant, but</w:t>
      </w:r>
      <w:r w:rsidR="00126AD8">
        <w:t xml:space="preserve"> by then</w:t>
      </w:r>
      <w:r w:rsidR="00732AA3" w:rsidRPr="00732AA3">
        <w:t xml:space="preserve"> private firm</w:t>
      </w:r>
      <w:r w:rsidR="008356A2">
        <w:t xml:space="preserve"> bankruptcies </w:t>
      </w:r>
      <w:r w:rsidR="00732AA3" w:rsidRPr="00732AA3">
        <w:t xml:space="preserve">accounted for almost half of </w:t>
      </w:r>
      <w:r w:rsidR="001656AE">
        <w:t>them</w:t>
      </w:r>
      <w:r w:rsidR="000A472E">
        <w:t>. B</w:t>
      </w:r>
      <w:r w:rsidR="00732AA3" w:rsidRPr="00732AA3">
        <w:t>y the 2020s, private firms accounted for a majority</w:t>
      </w:r>
      <w:r w:rsidR="000B3869">
        <w:t xml:space="preserve">, as documented by Figure 4. </w:t>
      </w:r>
    </w:p>
    <w:p w14:paraId="2BBC6BC5" w14:textId="622953E9" w:rsidR="005E5647" w:rsidRDefault="00AC492D" w:rsidP="007F7FA3">
      <w:pPr>
        <w:pStyle w:val="Paragraphformat"/>
      </w:pPr>
      <w:r>
        <w:t>Thus</w:t>
      </w:r>
      <w:r w:rsidR="005D66D2">
        <w:t>, by the 2020s, a majority of the large firm filers were private when they filed</w:t>
      </w:r>
      <w:r w:rsidR="00787BA2">
        <w:t>. Many of these firms were controlled by leveraged buyout sponsors</w:t>
      </w:r>
      <w:r w:rsidR="00306277">
        <w:t>,</w:t>
      </w:r>
      <w:r w:rsidR="005D66D2">
        <w:t xml:space="preserve"> </w:t>
      </w:r>
      <w:r w:rsidR="00306277">
        <w:t xml:space="preserve">a </w:t>
      </w:r>
      <w:r w:rsidR="00787BA2">
        <w:t xml:space="preserve">key </w:t>
      </w:r>
      <w:r w:rsidR="00306277">
        <w:t xml:space="preserve">shift that Vincent Buccola </w:t>
      </w:r>
      <w:r w:rsidR="00C65E46">
        <w:t xml:space="preserve">nicely </w:t>
      </w:r>
      <w:r w:rsidR="00306277">
        <w:t>analyzed.</w:t>
      </w:r>
      <w:bookmarkStart w:id="35" w:name="_Ref175140172"/>
      <w:r w:rsidR="00306277">
        <w:rPr>
          <w:rStyle w:val="FootnoteReference"/>
        </w:rPr>
        <w:footnoteReference w:id="12"/>
      </w:r>
      <w:bookmarkEnd w:id="35"/>
      <w:r w:rsidR="00306277">
        <w:t xml:space="preserve"> </w:t>
      </w:r>
    </w:p>
    <w:p w14:paraId="4A86F99D" w14:textId="3468B072" w:rsidR="009E6505" w:rsidRDefault="005D66D2" w:rsidP="007F7FA3">
      <w:pPr>
        <w:pStyle w:val="Paragraphformat"/>
      </w:pPr>
      <w:r>
        <w:t xml:space="preserve">Figure </w:t>
      </w:r>
      <w:r w:rsidR="007A64C1">
        <w:t>4</w:t>
      </w:r>
      <w:r w:rsidR="00546561">
        <w:t xml:space="preserve"> shows the </w:t>
      </w:r>
      <w:r w:rsidR="005E5647">
        <w:t xml:space="preserve">overall </w:t>
      </w:r>
      <w:r w:rsidR="00546561">
        <w:t>changing proportion</w:t>
      </w:r>
      <w:r w:rsidR="001030D0">
        <w:t xml:space="preserve"> of public vs. private large filers</w:t>
      </w:r>
      <w:r w:rsidR="00546561">
        <w:t>.</w:t>
      </w:r>
      <w:r>
        <w:t xml:space="preserve"> </w:t>
      </w:r>
      <w:r w:rsidR="001030D0">
        <w:t>And o</w:t>
      </w:r>
      <w:r>
        <w:t xml:space="preserve">f the minority that </w:t>
      </w:r>
      <w:r w:rsidR="005511BA">
        <w:t>were public, more than 80% went private during the bankruptcy restructuring.</w:t>
      </w:r>
    </w:p>
    <w:p w14:paraId="67244735" w14:textId="77777777" w:rsidR="009F68EA" w:rsidRDefault="009F68EA" w:rsidP="007F7FA3">
      <w:pPr>
        <w:pStyle w:val="Paragraphformat"/>
      </w:pPr>
    </w:p>
    <w:p w14:paraId="454E4B26" w14:textId="77777777" w:rsidR="006E1588" w:rsidRDefault="006E1588">
      <w:pPr>
        <w:rPr>
          <w:b/>
          <w:bCs/>
        </w:rPr>
      </w:pPr>
      <w:r>
        <w:rPr>
          <w:b/>
          <w:bCs/>
        </w:rPr>
        <w:br w:type="page"/>
      </w:r>
    </w:p>
    <w:p w14:paraId="7AB62F72" w14:textId="2F45C6DE" w:rsidR="00B51ED3" w:rsidRDefault="00B51ED3" w:rsidP="00B51ED3">
      <w:pPr>
        <w:rPr>
          <w:b/>
          <w:bCs/>
        </w:rPr>
      </w:pPr>
      <w:bookmarkStart w:id="36" w:name="Figure4"/>
      <w:bookmarkEnd w:id="36"/>
      <w:r w:rsidRPr="00780970">
        <w:rPr>
          <w:b/>
          <w:bCs/>
        </w:rPr>
        <w:lastRenderedPageBreak/>
        <w:t xml:space="preserve">Figure </w:t>
      </w:r>
      <w:r w:rsidR="006E1588">
        <w:rPr>
          <w:b/>
          <w:bCs/>
        </w:rPr>
        <w:t>4</w:t>
      </w:r>
      <w:r w:rsidRPr="00780970">
        <w:rPr>
          <w:b/>
          <w:bCs/>
        </w:rPr>
        <w:t xml:space="preserve">: </w:t>
      </w:r>
      <w:r w:rsidR="007A338A" w:rsidRPr="007A338A">
        <w:rPr>
          <w:b/>
          <w:bCs/>
        </w:rPr>
        <w:t>Increasing number of private firms as a portion of large filers, by decade</w:t>
      </w:r>
    </w:p>
    <w:p w14:paraId="1C1BDE12" w14:textId="787357A8" w:rsidR="000A4FEF" w:rsidRDefault="000A4FEF" w:rsidP="000A4FEF">
      <w:pPr>
        <w:ind w:left="288"/>
        <w:rPr>
          <w:b/>
          <w:bCs/>
          <w:sz w:val="16"/>
          <w:szCs w:val="16"/>
        </w:rPr>
      </w:pPr>
    </w:p>
    <w:p w14:paraId="030EBEE9" w14:textId="77777777" w:rsidR="000A4FEF" w:rsidRDefault="000A4FEF" w:rsidP="00B51ED3">
      <w:pPr>
        <w:rPr>
          <w:b/>
          <w:bCs/>
          <w:sz w:val="16"/>
          <w:szCs w:val="16"/>
        </w:rPr>
      </w:pPr>
    </w:p>
    <w:p w14:paraId="497C4B70" w14:textId="6A2A86C4" w:rsidR="003E52CB" w:rsidRDefault="00F02D38" w:rsidP="00B51ED3">
      <w:pPr>
        <w:rPr>
          <w:b/>
          <w:bCs/>
          <w:sz w:val="16"/>
          <w:szCs w:val="16"/>
        </w:rPr>
      </w:pPr>
      <w:r>
        <w:rPr>
          <w:noProof/>
          <w:lang w:bidi="he-IL"/>
        </w:rPr>
        <w:drawing>
          <wp:anchor distT="0" distB="0" distL="114300" distR="114300" simplePos="0" relativeHeight="251658240" behindDoc="0" locked="0" layoutInCell="1" allowOverlap="1" wp14:anchorId="65F59917" wp14:editId="2CD97CA9">
            <wp:simplePos x="0" y="0"/>
            <wp:positionH relativeFrom="column">
              <wp:posOffset>1270</wp:posOffset>
            </wp:positionH>
            <wp:positionV relativeFrom="paragraph">
              <wp:posOffset>1270</wp:posOffset>
            </wp:positionV>
            <wp:extent cx="4663440" cy="3229948"/>
            <wp:effectExtent l="0" t="0" r="3810" b="8890"/>
            <wp:wrapSquare wrapText="bothSides"/>
            <wp:docPr id="5" name="Chart 5">
              <a:extLst xmlns:a="http://schemas.openxmlformats.org/drawingml/2006/main">
                <a:ext uri="{FF2B5EF4-FFF2-40B4-BE49-F238E27FC236}">
                  <a16:creationId xmlns:a16="http://schemas.microsoft.com/office/drawing/2014/main" id="{79B865B6-B9D1-3AD0-B0E1-79146CC784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170"/>
        <w:gridCol w:w="1260"/>
        <w:gridCol w:w="1170"/>
        <w:gridCol w:w="1170"/>
        <w:gridCol w:w="1260"/>
      </w:tblGrid>
      <w:tr w:rsidR="00FA6031" w14:paraId="75E6A7FC" w14:textId="77777777" w:rsidTr="000F70C7">
        <w:trPr>
          <w:trHeight w:val="260"/>
        </w:trPr>
        <w:tc>
          <w:tcPr>
            <w:tcW w:w="720" w:type="dxa"/>
            <w:vAlign w:val="center"/>
            <w:hideMark/>
          </w:tcPr>
          <w:p w14:paraId="50FD31E0"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N =</w:t>
            </w:r>
          </w:p>
        </w:tc>
        <w:tc>
          <w:tcPr>
            <w:tcW w:w="1170" w:type="dxa"/>
            <w:vAlign w:val="center"/>
            <w:hideMark/>
          </w:tcPr>
          <w:p w14:paraId="1C6F34C5"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64</w:t>
            </w:r>
          </w:p>
        </w:tc>
        <w:tc>
          <w:tcPr>
            <w:tcW w:w="1260" w:type="dxa"/>
            <w:vAlign w:val="center"/>
            <w:hideMark/>
          </w:tcPr>
          <w:p w14:paraId="71482D99"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330</w:t>
            </w:r>
          </w:p>
        </w:tc>
        <w:tc>
          <w:tcPr>
            <w:tcW w:w="1170" w:type="dxa"/>
            <w:vAlign w:val="center"/>
            <w:hideMark/>
          </w:tcPr>
          <w:p w14:paraId="790A4415"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712</w:t>
            </w:r>
          </w:p>
        </w:tc>
        <w:tc>
          <w:tcPr>
            <w:tcW w:w="1170" w:type="dxa"/>
            <w:vAlign w:val="center"/>
            <w:hideMark/>
          </w:tcPr>
          <w:p w14:paraId="19E2E36D"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630</w:t>
            </w:r>
          </w:p>
        </w:tc>
        <w:tc>
          <w:tcPr>
            <w:tcW w:w="1260" w:type="dxa"/>
            <w:vAlign w:val="center"/>
            <w:hideMark/>
          </w:tcPr>
          <w:p w14:paraId="303B8193" w14:textId="77777777" w:rsidR="00FA6031" w:rsidRPr="004768F6" w:rsidRDefault="00FA6031" w:rsidP="000F70C7">
            <w:pPr>
              <w:jc w:val="center"/>
              <w:rPr>
                <w:rFonts w:ascii="Times New Roman" w:hAnsi="Times New Roman" w:cs="Times New Roman"/>
                <w:sz w:val="20"/>
                <w:szCs w:val="20"/>
              </w:rPr>
            </w:pPr>
            <w:r w:rsidRPr="004768F6">
              <w:rPr>
                <w:rFonts w:ascii="Times New Roman" w:hAnsi="Times New Roman" w:cs="Times New Roman"/>
                <w:sz w:val="20"/>
                <w:szCs w:val="20"/>
              </w:rPr>
              <w:t>435</w:t>
            </w:r>
          </w:p>
        </w:tc>
      </w:tr>
    </w:tbl>
    <w:p w14:paraId="469BE191" w14:textId="77777777" w:rsidR="003E52CB" w:rsidRDefault="003E52CB" w:rsidP="00B51ED3">
      <w:pPr>
        <w:rPr>
          <w:b/>
          <w:bCs/>
          <w:sz w:val="16"/>
          <w:szCs w:val="16"/>
        </w:rPr>
      </w:pPr>
    </w:p>
    <w:p w14:paraId="3623506D" w14:textId="3B7F7274" w:rsidR="00B51ED3" w:rsidRDefault="00B51ED3" w:rsidP="00A637AA">
      <w:pPr>
        <w:jc w:val="both"/>
        <w:rPr>
          <w:sz w:val="16"/>
          <w:szCs w:val="16"/>
        </w:rPr>
      </w:pPr>
      <w:r>
        <w:rPr>
          <w:b/>
          <w:bCs/>
          <w:sz w:val="16"/>
          <w:szCs w:val="16"/>
        </w:rPr>
        <w:t xml:space="preserve">Source: </w:t>
      </w:r>
      <w:r>
        <w:rPr>
          <w:sz w:val="16"/>
          <w:szCs w:val="16"/>
        </w:rPr>
        <w:t>New Generation Research BankruptcyData database.</w:t>
      </w:r>
    </w:p>
    <w:p w14:paraId="03D12CB5" w14:textId="6EA61058" w:rsidR="00B51ED3" w:rsidRDefault="00B51ED3" w:rsidP="00A637AA">
      <w:pPr>
        <w:jc w:val="both"/>
        <w:rPr>
          <w:sz w:val="16"/>
          <w:szCs w:val="16"/>
        </w:rPr>
      </w:pPr>
      <w:r>
        <w:rPr>
          <w:b/>
          <w:bCs/>
          <w:sz w:val="16"/>
          <w:szCs w:val="16"/>
        </w:rPr>
        <w:t>Note:</w:t>
      </w:r>
      <w:r>
        <w:rPr>
          <w:sz w:val="16"/>
          <w:szCs w:val="16"/>
        </w:rPr>
        <w:t xml:space="preserve">  Excludes municipal bankruptcies, nonprofit bankruptcies, and firms with less than $100 million in assets in 1980 dollars. For purposes of the asset cutoff, firms that report a range of assets are assumed to have assets at the top of the reported range.</w:t>
      </w:r>
    </w:p>
    <w:p w14:paraId="1F4BB2FC" w14:textId="73CE002B" w:rsidR="00D66FDA" w:rsidRPr="00493903" w:rsidRDefault="00D66FDA" w:rsidP="00A637AA">
      <w:pPr>
        <w:pStyle w:val="FootnoteNotIndented"/>
      </w:pPr>
      <w:r>
        <w:t xml:space="preserve">Data came </w:t>
      </w:r>
      <w:r w:rsidRPr="00493903">
        <w:t xml:space="preserve">from New Generation Research’s BankruptcyData and the UCLA-Florida LoPucki Bankruptcy Research Database. </w:t>
      </w:r>
      <w:r w:rsidR="008D7117">
        <w:t>T</w:t>
      </w:r>
      <w:r w:rsidRPr="00493903">
        <w:t>he latter includes only firms that were</w:t>
      </w:r>
      <w:r>
        <w:t xml:space="preserve"> 10-K filers prior to filing bankruptcy</w:t>
      </w:r>
      <w:r w:rsidRPr="00493903">
        <w:t>. Both databases include firms that emerged as publicly traded firms and those that emerged as private firms. Supplemental data comes from Reorg Research. Municipal and nonprofit bankruptcies are excluded from the analysis, as are firms with assets less than $100 million in 1980 dollars (around $370 million in 2023 dollars).</w:t>
      </w:r>
      <w:r w:rsidR="00756CE9">
        <w:t xml:space="preserve"> When only a range of asset values are available, firms are excluded based on the top of the </w:t>
      </w:r>
      <w:r w:rsidR="0057559E">
        <w:t xml:space="preserve">reported asset </w:t>
      </w:r>
      <w:r w:rsidR="00756CE9">
        <w:t>range</w:t>
      </w:r>
      <w:r w:rsidR="008F29C1">
        <w:t>.</w:t>
      </w:r>
      <w:r w:rsidR="00756CE9" w:rsidRPr="00225374">
        <w:rPr>
          <w:rStyle w:val="FootnoteReference"/>
        </w:rPr>
        <w:t xml:space="preserve"> </w:t>
      </w:r>
    </w:p>
    <w:p w14:paraId="361E351B" w14:textId="515EC813" w:rsidR="00D66FDA" w:rsidRPr="00427F8D" w:rsidRDefault="00D66FDA" w:rsidP="00A637AA">
      <w:pPr>
        <w:pStyle w:val="FootnoteNotIndented"/>
      </w:pPr>
      <w:r w:rsidRPr="00493903">
        <w:tab/>
      </w:r>
      <w:r w:rsidRPr="00427F8D">
        <w:t xml:space="preserve">The BankruptcyData database provides information on the </w:t>
      </w:r>
      <w:r w:rsidR="000309FC">
        <w:t xml:space="preserve">number of publicly-trading and </w:t>
      </w:r>
      <w:r w:rsidR="00C77422">
        <w:t>large, private</w:t>
      </w:r>
      <w:r w:rsidRPr="00427F8D">
        <w:t xml:space="preserve"> commercial </w:t>
      </w:r>
      <w:r w:rsidR="00C5463A">
        <w:t>filers</w:t>
      </w:r>
      <w:r w:rsidR="008F29C1">
        <w:t>,</w:t>
      </w:r>
      <w:r w:rsidRPr="00427F8D">
        <w:t xml:space="preserve"> from 1980 through early 2024. Reorg Research data, available from 2016 </w:t>
      </w:r>
      <w:r w:rsidR="00085981">
        <w:t xml:space="preserve">back </w:t>
      </w:r>
      <w:r w:rsidRPr="00427F8D">
        <w:t xml:space="preserve">to early 2014, provides similar information and a similar percentage breakdown.  </w:t>
      </w:r>
    </w:p>
    <w:p w14:paraId="3FE81231" w14:textId="5C1F1CE1" w:rsidR="00D66FDA" w:rsidRPr="00427F8D" w:rsidRDefault="00D66FDA" w:rsidP="00A637AA">
      <w:pPr>
        <w:pStyle w:val="FootnoteNotIndented"/>
      </w:pPr>
      <w:r w:rsidRPr="00427F8D">
        <w:t xml:space="preserve">The LoPucki database ends </w:t>
      </w:r>
      <w:r w:rsidR="00D2271A">
        <w:t xml:space="preserve">by </w:t>
      </w:r>
      <w:r w:rsidRPr="00427F8D">
        <w:t xml:space="preserve">2022. </w:t>
      </w:r>
      <w:r w:rsidR="00085981">
        <w:t>It</w:t>
      </w:r>
      <w:r w:rsidRPr="00427F8D">
        <w:t xml:space="preserve"> primarily provides information on firms that were publicly traded when (or shortly before) they filed </w:t>
      </w:r>
      <w:r w:rsidR="005E07A2">
        <w:t xml:space="preserve">for </w:t>
      </w:r>
      <w:r w:rsidRPr="00427F8D">
        <w:t>bankruptcy, and on whether—and how—th</w:t>
      </w:r>
      <w:r w:rsidR="005E07A2">
        <w:t>ose firms</w:t>
      </w:r>
      <w:r w:rsidRPr="00427F8D">
        <w:t xml:space="preserve"> emerged from bankruptcy based on a combination of court filings and 10-K filings.</w:t>
      </w:r>
    </w:p>
    <w:p w14:paraId="794FC790" w14:textId="10343041" w:rsidR="00B51ED3" w:rsidRDefault="00B51ED3" w:rsidP="00732AA3">
      <w:pPr>
        <w:ind w:left="288"/>
      </w:pPr>
    </w:p>
    <w:p w14:paraId="3587701A" w14:textId="020DED50" w:rsidR="00B51ED3" w:rsidRDefault="00B51ED3" w:rsidP="00732AA3">
      <w:pPr>
        <w:ind w:left="288"/>
      </w:pPr>
    </w:p>
    <w:p w14:paraId="7F5875C2" w14:textId="45CD80B9" w:rsidR="00B51ED3" w:rsidRDefault="00B51ED3" w:rsidP="00732AA3">
      <w:pPr>
        <w:ind w:left="288"/>
      </w:pPr>
    </w:p>
    <w:p w14:paraId="12BC28D5" w14:textId="2F86E75D" w:rsidR="00F3035E" w:rsidRDefault="009E6505" w:rsidP="007F7FA3">
      <w:pPr>
        <w:pStyle w:val="Paragraphformat"/>
      </w:pPr>
      <w:r w:rsidRPr="00732AA3">
        <w:t xml:space="preserve">Publicly traded debtors were on average larger than private debtors, but even weighted by total assets, private firms increased to roughly one-third of large bankruptcies by the 2010s and 2020s, as shown in Figure </w:t>
      </w:r>
      <w:r w:rsidR="002C23AC">
        <w:t>4</w:t>
      </w:r>
      <w:r w:rsidRPr="00732AA3">
        <w:t xml:space="preserve">. </w:t>
      </w:r>
      <w:r w:rsidR="00270F6A">
        <w:t>Public firms are still</w:t>
      </w:r>
      <w:r w:rsidR="00124F9A">
        <w:t xml:space="preserve"> the bulk of the large firm bankruptcies by assets, but no longer by numbers.</w:t>
      </w:r>
    </w:p>
    <w:p w14:paraId="797C4391" w14:textId="5224BFBB" w:rsidR="0035352B" w:rsidRDefault="0035352B">
      <w:pPr>
        <w:rPr>
          <w:b/>
          <w:bCs/>
        </w:rPr>
      </w:pPr>
    </w:p>
    <w:p w14:paraId="071921C7" w14:textId="7675F94F" w:rsidR="006E1588" w:rsidRDefault="006E1588">
      <w:pPr>
        <w:rPr>
          <w:b/>
          <w:bCs/>
        </w:rPr>
      </w:pPr>
      <w:r>
        <w:rPr>
          <w:b/>
          <w:bCs/>
        </w:rPr>
        <w:br w:type="page"/>
      </w:r>
    </w:p>
    <w:p w14:paraId="358308DE" w14:textId="760065DE" w:rsidR="00B51ED3" w:rsidRDefault="00B51ED3" w:rsidP="00B51ED3">
      <w:bookmarkStart w:id="37" w:name="Figure5"/>
      <w:bookmarkEnd w:id="37"/>
      <w:r w:rsidRPr="00780970">
        <w:rPr>
          <w:b/>
          <w:bCs/>
        </w:rPr>
        <w:lastRenderedPageBreak/>
        <w:t xml:space="preserve">Figure </w:t>
      </w:r>
      <w:r w:rsidR="006E1588">
        <w:rPr>
          <w:b/>
          <w:bCs/>
        </w:rPr>
        <w:t>5</w:t>
      </w:r>
      <w:r w:rsidRPr="00780970">
        <w:rPr>
          <w:b/>
          <w:bCs/>
        </w:rPr>
        <w:t xml:space="preserve">: </w:t>
      </w:r>
      <w:bookmarkStart w:id="38" w:name="_Hlk175055587"/>
      <w:r w:rsidR="007A338A" w:rsidRPr="007A338A">
        <w:rPr>
          <w:b/>
          <w:bCs/>
        </w:rPr>
        <w:t>Increasing private assets as a portion of assets of large filers, by decade</w:t>
      </w:r>
    </w:p>
    <w:bookmarkEnd w:id="38"/>
    <w:p w14:paraId="21F95F0B" w14:textId="34E46402" w:rsidR="00DC7B04" w:rsidRDefault="00186D7A" w:rsidP="00732AA3">
      <w:pPr>
        <w:ind w:left="288"/>
      </w:pPr>
      <w:r>
        <w:rPr>
          <w:noProof/>
          <w:lang w:bidi="he-IL"/>
        </w:rPr>
        <w:drawing>
          <wp:anchor distT="0" distB="0" distL="114300" distR="114300" simplePos="0" relativeHeight="251660288" behindDoc="0" locked="0" layoutInCell="1" allowOverlap="1" wp14:anchorId="26946C2D" wp14:editId="53907B16">
            <wp:simplePos x="0" y="0"/>
            <wp:positionH relativeFrom="column">
              <wp:posOffset>-11430</wp:posOffset>
            </wp:positionH>
            <wp:positionV relativeFrom="paragraph">
              <wp:posOffset>107950</wp:posOffset>
            </wp:positionV>
            <wp:extent cx="4663440" cy="3103892"/>
            <wp:effectExtent l="0" t="0" r="3810" b="1270"/>
            <wp:wrapSquare wrapText="bothSides"/>
            <wp:docPr id="14" name="Chart 14">
              <a:extLst xmlns:a="http://schemas.openxmlformats.org/drawingml/2006/main">
                <a:ext uri="{FF2B5EF4-FFF2-40B4-BE49-F238E27FC236}">
                  <a16:creationId xmlns:a16="http://schemas.microsoft.com/office/drawing/2014/main" id="{B567EC1F-5508-528D-5895-DA6602AEB1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
        <w:gridCol w:w="1070"/>
        <w:gridCol w:w="1260"/>
        <w:gridCol w:w="1125"/>
        <w:gridCol w:w="1350"/>
        <w:gridCol w:w="1170"/>
      </w:tblGrid>
      <w:tr w:rsidR="00CC78D4" w14:paraId="0E87E5ED" w14:textId="77777777" w:rsidTr="000F70C7">
        <w:trPr>
          <w:trHeight w:val="647"/>
        </w:trPr>
        <w:tc>
          <w:tcPr>
            <w:tcW w:w="955" w:type="dxa"/>
            <w:hideMark/>
          </w:tcPr>
          <w:p w14:paraId="11B3CD97"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USD 2023</w:t>
            </w:r>
          </w:p>
          <w:p w14:paraId="39E2D87F"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Trillions,</w:t>
            </w:r>
          </w:p>
          <w:p w14:paraId="4E985448"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Total</w:t>
            </w:r>
          </w:p>
        </w:tc>
        <w:tc>
          <w:tcPr>
            <w:tcW w:w="1070" w:type="dxa"/>
            <w:vAlign w:val="center"/>
            <w:hideMark/>
          </w:tcPr>
          <w:p w14:paraId="44E62752"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0.43</w:t>
            </w:r>
          </w:p>
        </w:tc>
        <w:tc>
          <w:tcPr>
            <w:tcW w:w="1260" w:type="dxa"/>
            <w:vAlign w:val="center"/>
            <w:hideMark/>
          </w:tcPr>
          <w:p w14:paraId="4C7F5479"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0.92</w:t>
            </w:r>
          </w:p>
        </w:tc>
        <w:tc>
          <w:tcPr>
            <w:tcW w:w="1125" w:type="dxa"/>
            <w:vAlign w:val="center"/>
            <w:hideMark/>
          </w:tcPr>
          <w:p w14:paraId="4BD87E13"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4.50</w:t>
            </w:r>
          </w:p>
        </w:tc>
        <w:tc>
          <w:tcPr>
            <w:tcW w:w="1350" w:type="dxa"/>
            <w:vAlign w:val="center"/>
            <w:hideMark/>
          </w:tcPr>
          <w:p w14:paraId="4B6969C1"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1.69</w:t>
            </w:r>
          </w:p>
        </w:tc>
        <w:tc>
          <w:tcPr>
            <w:tcW w:w="1170" w:type="dxa"/>
            <w:vAlign w:val="center"/>
            <w:hideMark/>
          </w:tcPr>
          <w:p w14:paraId="260AFC90" w14:textId="77777777" w:rsidR="00CC78D4" w:rsidRPr="004768F6" w:rsidRDefault="00CC78D4" w:rsidP="000F70C7">
            <w:pPr>
              <w:jc w:val="center"/>
              <w:rPr>
                <w:rFonts w:ascii="Times New Roman" w:hAnsi="Times New Roman" w:cs="Times New Roman"/>
                <w:sz w:val="20"/>
                <w:szCs w:val="20"/>
              </w:rPr>
            </w:pPr>
            <w:r w:rsidRPr="004768F6">
              <w:rPr>
                <w:rFonts w:ascii="Times New Roman" w:hAnsi="Times New Roman" w:cs="Times New Roman"/>
                <w:sz w:val="20"/>
                <w:szCs w:val="20"/>
              </w:rPr>
              <w:t>1.53</w:t>
            </w:r>
          </w:p>
        </w:tc>
      </w:tr>
    </w:tbl>
    <w:p w14:paraId="683322E4" w14:textId="77777777" w:rsidR="00DC7B04" w:rsidRDefault="00DC7B04" w:rsidP="00732AA3">
      <w:pPr>
        <w:ind w:left="288"/>
      </w:pPr>
    </w:p>
    <w:p w14:paraId="3326BC12" w14:textId="77777777" w:rsidR="000A4FEF" w:rsidRDefault="000A4FEF" w:rsidP="000A4FEF">
      <w:pPr>
        <w:rPr>
          <w:sz w:val="16"/>
          <w:szCs w:val="16"/>
        </w:rPr>
      </w:pPr>
      <w:r>
        <w:rPr>
          <w:b/>
          <w:bCs/>
          <w:sz w:val="16"/>
          <w:szCs w:val="16"/>
        </w:rPr>
        <w:t xml:space="preserve">Source: </w:t>
      </w:r>
      <w:r>
        <w:rPr>
          <w:sz w:val="16"/>
          <w:szCs w:val="16"/>
        </w:rPr>
        <w:t>New Generation Research BankruptcyData database.</w:t>
      </w:r>
    </w:p>
    <w:p w14:paraId="7009BEAD" w14:textId="30A3D328" w:rsidR="000A4FEF" w:rsidRDefault="000A4FEF" w:rsidP="000A4FEF">
      <w:pPr>
        <w:rPr>
          <w:sz w:val="16"/>
          <w:szCs w:val="16"/>
        </w:rPr>
      </w:pPr>
      <w:r>
        <w:rPr>
          <w:b/>
          <w:bCs/>
          <w:sz w:val="16"/>
          <w:szCs w:val="16"/>
        </w:rPr>
        <w:t>Note:</w:t>
      </w:r>
      <w:r>
        <w:rPr>
          <w:sz w:val="16"/>
          <w:szCs w:val="16"/>
        </w:rPr>
        <w:t xml:space="preserve">  Excludes municipal bankruptcies, nonprofit bankruptcies, and firms with less than $100 million in assets in 1980 dollars. For purposes of the asset cutoff, firms that report a range of assets are assumed to have assets at the top of the reported range.  For purposes of asset totals, firms that report a range of assets are assumed to have assets at the midpoint of the range.</w:t>
      </w:r>
    </w:p>
    <w:p w14:paraId="234D61C3" w14:textId="77777777" w:rsidR="00B51ED3" w:rsidRDefault="00B51ED3" w:rsidP="00732AA3">
      <w:pPr>
        <w:ind w:left="288"/>
      </w:pPr>
    </w:p>
    <w:p w14:paraId="67ECF4E5" w14:textId="77777777" w:rsidR="000A4FEF" w:rsidRDefault="000A4FEF" w:rsidP="00732AA3">
      <w:pPr>
        <w:ind w:left="288"/>
      </w:pPr>
    </w:p>
    <w:p w14:paraId="2C347676" w14:textId="17E88332" w:rsidR="00FB2363" w:rsidRDefault="0035352B" w:rsidP="007F7FA3">
      <w:pPr>
        <w:pStyle w:val="Document"/>
      </w:pPr>
      <w:r>
        <w:t>L</w:t>
      </w:r>
      <w:r w:rsidR="00E85B22">
        <w:t xml:space="preserve">arge private firm bankruptcies were unimportant and nearly </w:t>
      </w:r>
      <w:r w:rsidR="006C724A">
        <w:t>nonexistent</w:t>
      </w:r>
      <w:r w:rsidR="00E85B22">
        <w:t xml:space="preserve"> in the 1980s and 1990s</w:t>
      </w:r>
      <w:r w:rsidR="00730B1B">
        <w:t xml:space="preserve">, </w:t>
      </w:r>
      <w:r w:rsidR="009F0572">
        <w:t xml:space="preserve">but </w:t>
      </w:r>
      <w:r w:rsidR="006C724A">
        <w:t>by</w:t>
      </w:r>
      <w:r w:rsidR="00730B1B">
        <w:t xml:space="preserve"> the 2010s and 2020s, they </w:t>
      </w:r>
      <w:r w:rsidR="006C724A">
        <w:t>constituted</w:t>
      </w:r>
      <w:r w:rsidR="00730B1B">
        <w:t xml:space="preserve"> about one-third of the assets in bankruptcy. And of that two-thirds that was public, </w:t>
      </w:r>
      <w:r w:rsidR="007F7FA3">
        <w:t xml:space="preserve">much </w:t>
      </w:r>
      <w:r w:rsidR="00730B1B">
        <w:t>went private during the bankruptcy process.</w:t>
      </w:r>
    </w:p>
    <w:p w14:paraId="2B774B8F" w14:textId="77777777" w:rsidR="0035352B" w:rsidRDefault="0035352B" w:rsidP="007F7FA3">
      <w:pPr>
        <w:pStyle w:val="Paragraphformat"/>
      </w:pPr>
      <w:r>
        <w:t>Thus, Observation 2: over the decades large private firms were once negligible at filing; now they dominate the number of filings and have become important in the portion of the large firm assets flowing through bankruptcy.</w:t>
      </w:r>
    </w:p>
    <w:p w14:paraId="4B8AEB72" w14:textId="77777777" w:rsidR="0035352B" w:rsidRDefault="0035352B" w:rsidP="007F7FA3">
      <w:pPr>
        <w:pStyle w:val="Document"/>
      </w:pPr>
    </w:p>
    <w:p w14:paraId="1AC8F226" w14:textId="77777777" w:rsidR="00730B1B" w:rsidRDefault="00730B1B" w:rsidP="007F7FA3">
      <w:pPr>
        <w:pStyle w:val="Paragraphformat"/>
      </w:pPr>
    </w:p>
    <w:p w14:paraId="75E4C6A1" w14:textId="77777777" w:rsidR="00262ACC" w:rsidRDefault="00262ACC" w:rsidP="00A922CF">
      <w:pPr>
        <w:rPr>
          <w:b/>
          <w:bCs/>
        </w:rPr>
      </w:pPr>
    </w:p>
    <w:p w14:paraId="554465C8" w14:textId="77777777" w:rsidR="00262ACC" w:rsidRDefault="00262ACC" w:rsidP="00A922CF">
      <w:pPr>
        <w:rPr>
          <w:b/>
          <w:bCs/>
        </w:rPr>
      </w:pPr>
    </w:p>
    <w:p w14:paraId="645A9D67" w14:textId="77777777" w:rsidR="00262ACC" w:rsidRDefault="00262ACC" w:rsidP="00A922CF">
      <w:pPr>
        <w:rPr>
          <w:b/>
          <w:bCs/>
        </w:rPr>
      </w:pPr>
    </w:p>
    <w:p w14:paraId="2630F995" w14:textId="77777777" w:rsidR="00262ACC" w:rsidRDefault="00262ACC" w:rsidP="00A922CF">
      <w:pPr>
        <w:rPr>
          <w:b/>
          <w:bCs/>
        </w:rPr>
      </w:pPr>
    </w:p>
    <w:p w14:paraId="619323FF" w14:textId="77777777" w:rsidR="00262ACC" w:rsidRDefault="00262ACC" w:rsidP="00A922CF">
      <w:pPr>
        <w:rPr>
          <w:b/>
          <w:bCs/>
        </w:rPr>
      </w:pPr>
    </w:p>
    <w:p w14:paraId="0696D1CE" w14:textId="77777777" w:rsidR="00262ACC" w:rsidRDefault="00262ACC" w:rsidP="00A922CF">
      <w:pPr>
        <w:rPr>
          <w:b/>
          <w:bCs/>
        </w:rPr>
      </w:pPr>
    </w:p>
    <w:p w14:paraId="558E851E" w14:textId="57AEACAE" w:rsidR="000005C6" w:rsidRDefault="00DE6FF5" w:rsidP="00AF5AC3">
      <w:pPr>
        <w:pStyle w:val="Heading1"/>
      </w:pPr>
      <w:bookmarkStart w:id="39" w:name="_Toc175068327"/>
      <w:r>
        <w:lastRenderedPageBreak/>
        <w:t xml:space="preserve">III.  </w:t>
      </w:r>
      <w:r w:rsidR="000005C6">
        <w:t xml:space="preserve">Public </w:t>
      </w:r>
      <w:r w:rsidR="00394EAB">
        <w:t>F</w:t>
      </w:r>
      <w:r w:rsidR="000005C6">
        <w:t xml:space="preserve">irms Going Private in </w:t>
      </w:r>
      <w:r w:rsidR="00262ACC">
        <w:t>Bankruptcy</w:t>
      </w:r>
      <w:r w:rsidR="00F219DE">
        <w:t>: Characteristics and Trends</w:t>
      </w:r>
      <w:bookmarkEnd w:id="39"/>
    </w:p>
    <w:p w14:paraId="441D0DF1" w14:textId="77777777" w:rsidR="00F83A5B" w:rsidRPr="00F83A5B" w:rsidRDefault="00F83A5B" w:rsidP="00F83A5B"/>
    <w:p w14:paraId="4ABC8E5A" w14:textId="77777777" w:rsidR="00AE505E" w:rsidRDefault="00AE505E" w:rsidP="000005C6"/>
    <w:p w14:paraId="1F506699" w14:textId="329497BD" w:rsidR="00245D78" w:rsidRDefault="00655884" w:rsidP="007F7FA3">
      <w:pPr>
        <w:pStyle w:val="Document"/>
      </w:pPr>
      <w:r>
        <w:t xml:space="preserve">The </w:t>
      </w:r>
      <w:r w:rsidR="000A536C">
        <w:t>public</w:t>
      </w:r>
      <w:r w:rsidR="004A1AE7">
        <w:t>ly</w:t>
      </w:r>
      <w:r w:rsidR="000A536C">
        <w:t xml:space="preserve"> </w:t>
      </w:r>
      <w:r w:rsidR="004A1AE7">
        <w:t xml:space="preserve">traded </w:t>
      </w:r>
      <w:r w:rsidR="00964597">
        <w:t>filers</w:t>
      </w:r>
      <w:r>
        <w:t xml:space="preserve"> that</w:t>
      </w:r>
      <w:r w:rsidR="000A536C">
        <w:t xml:space="preserve"> remained public firms after they</w:t>
      </w:r>
      <w:r>
        <w:t xml:space="preserve"> emerged from bankruptcy </w:t>
      </w:r>
      <w:r w:rsidR="006E4DAD">
        <w:t xml:space="preserve">differed from those that went private. And over time, the industries </w:t>
      </w:r>
      <w:r w:rsidR="00726741">
        <w:t xml:space="preserve">for the large firm bankruptcies shifted. </w:t>
      </w:r>
      <w:r w:rsidR="00245D78">
        <w:t>In the 2000s, telecommunications, banking and finance, retail, manufacturing, steel, and automotive</w:t>
      </w:r>
      <w:r w:rsidR="004F0FF6">
        <w:t xml:space="preserve"> accounted for most large filers</w:t>
      </w:r>
      <w:r w:rsidR="00245D78">
        <w:t xml:space="preserve">. However, a broader range of industries was </w:t>
      </w:r>
      <w:r w:rsidR="00F331F7">
        <w:t>represented</w:t>
      </w:r>
      <w:r w:rsidR="00245D78">
        <w:t xml:space="preserve"> in </w:t>
      </w:r>
      <w:r w:rsidR="00B31445">
        <w:t xml:space="preserve">the 2000s than in </w:t>
      </w:r>
      <w:r w:rsidR="00245D78">
        <w:t>pr</w:t>
      </w:r>
      <w:r w:rsidR="00B31445">
        <w:t>ior</w:t>
      </w:r>
      <w:r w:rsidR="00245D78">
        <w:t xml:space="preserve"> decades. Real estate, construction and supplies, and publishing </w:t>
      </w:r>
      <w:r w:rsidR="008F5D1E">
        <w:t>and</w:t>
      </w:r>
      <w:r w:rsidR="00245D78">
        <w:t xml:space="preserve"> printing bankruptcies were disproportionately private, while telecommunications, computers and software, and automotive and steel were disproportionately public.</w:t>
      </w:r>
      <w:r w:rsidR="004F0FF6">
        <w:t xml:space="preserve"> By </w:t>
      </w:r>
      <w:r w:rsidR="00245D78">
        <w:t xml:space="preserve">the 2010s, </w:t>
      </w:r>
      <w:r w:rsidR="00B31445">
        <w:t xml:space="preserve">other industry shifts occurred: </w:t>
      </w:r>
      <w:r w:rsidR="00245D78">
        <w:t xml:space="preserve">oil </w:t>
      </w:r>
      <w:r w:rsidR="00960BFB">
        <w:t>and</w:t>
      </w:r>
      <w:r w:rsidR="00245D78">
        <w:t xml:space="preserve"> gas and banking and finance were the </w:t>
      </w:r>
      <w:r w:rsidR="00363517">
        <w:t xml:space="preserve">most frequent large firm filers. Transportation bankruptcies </w:t>
      </w:r>
      <w:r w:rsidR="00190E00">
        <w:t>became more frequent</w:t>
      </w:r>
      <w:r w:rsidR="00363517">
        <w:t xml:space="preserve">. </w:t>
      </w:r>
      <w:r w:rsidR="00190E00">
        <w:t>And i</w:t>
      </w:r>
      <w:r w:rsidR="00363517">
        <w:t>n t</w:t>
      </w:r>
      <w:r w:rsidR="00245D78">
        <w:t xml:space="preserve">he 2020s, healthcare, oil </w:t>
      </w:r>
      <w:r w:rsidR="00960BFB">
        <w:t>and</w:t>
      </w:r>
      <w:r w:rsidR="00245D78">
        <w:t xml:space="preserve"> gas, </w:t>
      </w:r>
      <w:r w:rsidR="008F5D1E">
        <w:t>real-estate,</w:t>
      </w:r>
      <w:r w:rsidR="00245D78">
        <w:t xml:space="preserve"> and retail bankruptcies</w:t>
      </w:r>
      <w:r w:rsidR="00363517">
        <w:t xml:space="preserve"> surged</w:t>
      </w:r>
      <w:r w:rsidR="00245D78">
        <w:t>.</w:t>
      </w:r>
    </w:p>
    <w:p w14:paraId="46CD0DB0" w14:textId="77777777" w:rsidR="006E3C1A" w:rsidRDefault="00C92FA2" w:rsidP="007F7FA3">
      <w:pPr>
        <w:pStyle w:val="Paragraphformat"/>
      </w:pPr>
      <w:r>
        <w:t xml:space="preserve">Hence, </w:t>
      </w:r>
      <w:r w:rsidR="00F64D59">
        <w:t xml:space="preserve">it’s possible that the increasing “going private” quality of the large firm bankruptcy process relates to the changing industries </w:t>
      </w:r>
      <w:r w:rsidR="008139E3">
        <w:t>from which the filers were drawn.</w:t>
      </w:r>
      <w:r w:rsidR="00F64D59">
        <w:t xml:space="preserve"> </w:t>
      </w:r>
      <w:r w:rsidR="008F2B09">
        <w:t>Other possibilities that could explain the change could be the f</w:t>
      </w:r>
      <w:r w:rsidR="004D3DE6">
        <w:t xml:space="preserve">iler’s </w:t>
      </w:r>
      <w:r w:rsidR="008F2B09">
        <w:t>capital structure</w:t>
      </w:r>
      <w:r w:rsidR="0010388B">
        <w:t xml:space="preserve"> or</w:t>
      </w:r>
      <w:r w:rsidR="008F2B09">
        <w:t xml:space="preserve"> </w:t>
      </w:r>
      <w:r w:rsidR="00D10B9E">
        <w:t>its</w:t>
      </w:r>
      <w:r w:rsidR="008F2B09">
        <w:t xml:space="preserve"> </w:t>
      </w:r>
      <w:r w:rsidR="0010388B">
        <w:t xml:space="preserve">earnings level. Or </w:t>
      </w:r>
      <w:r w:rsidR="002456AB">
        <w:t xml:space="preserve">the interest rate environment at the time of filing could explain the change over time. Lower interest rates might make private acquisitions more viable. </w:t>
      </w:r>
    </w:p>
    <w:p w14:paraId="4EEA1D1B" w14:textId="31CF159C" w:rsidR="00BD5D53" w:rsidRDefault="002456AB" w:rsidP="007F7FA3">
      <w:pPr>
        <w:pStyle w:val="Paragraphformat"/>
      </w:pPr>
      <w:r>
        <w:t xml:space="preserve">To assess the likelihood that these considerations swamp the apparent secular going private trend, we ran regressions. </w:t>
      </w:r>
      <w:r w:rsidR="00BA2CF7">
        <w:t>The results do show</w:t>
      </w:r>
      <w:r w:rsidR="00402217">
        <w:t xml:space="preserve"> these considerations </w:t>
      </w:r>
      <w:r w:rsidR="0069031B">
        <w:t xml:space="preserve">to be </w:t>
      </w:r>
      <w:r w:rsidR="00402217">
        <w:t>relevant.</w:t>
      </w:r>
      <w:r w:rsidR="000A536C">
        <w:t xml:space="preserve"> </w:t>
      </w:r>
      <w:r w:rsidR="0069031B">
        <w:t>Moreover, f</w:t>
      </w:r>
      <w:r w:rsidR="00C2506E">
        <w:t xml:space="preserve">irms that owned more assets prior to bankruptcy </w:t>
      </w:r>
      <w:r w:rsidR="00D05FF5">
        <w:t>were</w:t>
      </w:r>
      <w:r w:rsidR="00C2506E">
        <w:t xml:space="preserve"> more likely to emerge as publicly traded firms</w:t>
      </w:r>
      <w:r w:rsidR="00833EF6">
        <w:t xml:space="preserve">, </w:t>
      </w:r>
      <w:r w:rsidR="00E00FFB">
        <w:t xml:space="preserve">as </w:t>
      </w:r>
      <w:r w:rsidR="00833EF6">
        <w:t>column (1) in Table 1 shows</w:t>
      </w:r>
      <w:r w:rsidR="00D05FF5">
        <w:t>.</w:t>
      </w:r>
      <w:r w:rsidR="00783E3B" w:rsidRPr="00225374">
        <w:rPr>
          <w:rStyle w:val="FootnoteReference"/>
        </w:rPr>
        <w:footnoteReference w:id="13"/>
      </w:r>
      <w:r w:rsidR="0079360B">
        <w:t xml:space="preserve"> </w:t>
      </w:r>
      <w:r w:rsidR="00BF398D">
        <w:t>Similarly, earnings</w:t>
      </w:r>
      <w:r w:rsidR="00744883">
        <w:t xml:space="preserve">, the </w:t>
      </w:r>
      <w:r w:rsidR="00BF398D">
        <w:t>prime rate</w:t>
      </w:r>
      <w:r w:rsidR="00DB2929">
        <w:t xml:space="preserve"> at filing</w:t>
      </w:r>
      <w:r w:rsidR="00744883">
        <w:t xml:space="preserve">, and the interest rate are factors. But even after controlling for these and similar features, the time variable is significant. </w:t>
      </w:r>
      <w:r w:rsidR="00C17662">
        <w:t>There is a secular trend against public firms emerging as public firms. Column (6) shows the trend via the year variable.</w:t>
      </w:r>
    </w:p>
    <w:p w14:paraId="33FC7D8F" w14:textId="1CCE2334" w:rsidR="00E00FFB" w:rsidRDefault="00E00FFB">
      <w:pPr>
        <w:rPr>
          <w:b/>
          <w:bCs/>
        </w:rPr>
      </w:pPr>
    </w:p>
    <w:p w14:paraId="6A24EFFE" w14:textId="77777777" w:rsidR="00E32850" w:rsidRDefault="00E32850">
      <w:pPr>
        <w:rPr>
          <w:b/>
          <w:bCs/>
        </w:rPr>
      </w:pPr>
      <w:r>
        <w:rPr>
          <w:b/>
          <w:bCs/>
        </w:rPr>
        <w:br w:type="page"/>
      </w:r>
    </w:p>
    <w:p w14:paraId="559A1120" w14:textId="77777777" w:rsidR="00AC6BDC" w:rsidRPr="00A33557" w:rsidRDefault="00AC6BDC" w:rsidP="00AC6BDC">
      <w:pPr>
        <w:keepNext/>
        <w:widowControl w:val="0"/>
        <w:autoSpaceDE w:val="0"/>
        <w:autoSpaceDN w:val="0"/>
        <w:adjustRightInd w:val="0"/>
        <w:rPr>
          <w:b/>
          <w:bCs/>
        </w:rPr>
      </w:pPr>
      <w:bookmarkStart w:id="40" w:name="Table1"/>
      <w:bookmarkEnd w:id="40"/>
      <w:r w:rsidRPr="00A33557">
        <w:rPr>
          <w:b/>
          <w:bCs/>
        </w:rPr>
        <w:lastRenderedPageBreak/>
        <w:t>Table 1: Early Predictors of Emergence as a Publicly Traded Company</w:t>
      </w:r>
    </w:p>
    <w:p w14:paraId="128FE965" w14:textId="77777777" w:rsidR="00AC6BDC" w:rsidRDefault="00AC6BDC" w:rsidP="00AC6BDC">
      <w:pPr>
        <w:ind w:firstLine="288"/>
      </w:pPr>
    </w:p>
    <w:tbl>
      <w:tblPr>
        <w:tblW w:w="8301" w:type="dxa"/>
        <w:tblInd w:w="-468" w:type="dxa"/>
        <w:tblLook w:val="0000" w:firstRow="0" w:lastRow="0" w:firstColumn="0" w:lastColumn="0" w:noHBand="0" w:noVBand="0"/>
      </w:tblPr>
      <w:tblGrid>
        <w:gridCol w:w="2015"/>
        <w:gridCol w:w="970"/>
        <w:gridCol w:w="970"/>
        <w:gridCol w:w="995"/>
        <w:gridCol w:w="970"/>
        <w:gridCol w:w="1411"/>
        <w:gridCol w:w="970"/>
      </w:tblGrid>
      <w:tr w:rsidR="00AC6BDC" w14:paraId="277F1746" w14:textId="77777777" w:rsidTr="003E56A6">
        <w:trPr>
          <w:trHeight w:val="351"/>
        </w:trPr>
        <w:tc>
          <w:tcPr>
            <w:tcW w:w="0" w:type="auto"/>
            <w:tcBorders>
              <w:top w:val="double" w:sz="4" w:space="0" w:color="auto"/>
              <w:left w:val="nil"/>
              <w:bottom w:val="nil"/>
              <w:right w:val="nil"/>
            </w:tcBorders>
            <w:vAlign w:val="center"/>
          </w:tcPr>
          <w:p w14:paraId="35F98954" w14:textId="77777777" w:rsidR="00AC6BDC" w:rsidRPr="005B1A9C" w:rsidRDefault="00AC6BDC" w:rsidP="003E56A6">
            <w:pPr>
              <w:widowControl w:val="0"/>
              <w:autoSpaceDE w:val="0"/>
              <w:autoSpaceDN w:val="0"/>
              <w:adjustRightInd w:val="0"/>
              <w:jc w:val="center"/>
              <w:rPr>
                <w:sz w:val="21"/>
                <w:szCs w:val="21"/>
              </w:rPr>
            </w:pPr>
          </w:p>
        </w:tc>
        <w:tc>
          <w:tcPr>
            <w:tcW w:w="0" w:type="auto"/>
            <w:tcBorders>
              <w:top w:val="double" w:sz="4" w:space="0" w:color="auto"/>
              <w:left w:val="nil"/>
              <w:bottom w:val="nil"/>
              <w:right w:val="nil"/>
            </w:tcBorders>
            <w:vAlign w:val="center"/>
          </w:tcPr>
          <w:p w14:paraId="411639DA"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(1)</w:t>
            </w:r>
          </w:p>
        </w:tc>
        <w:tc>
          <w:tcPr>
            <w:tcW w:w="0" w:type="auto"/>
            <w:tcBorders>
              <w:top w:val="double" w:sz="4" w:space="0" w:color="auto"/>
              <w:left w:val="nil"/>
              <w:bottom w:val="nil"/>
              <w:right w:val="nil"/>
            </w:tcBorders>
            <w:vAlign w:val="center"/>
          </w:tcPr>
          <w:p w14:paraId="0CB62DF9"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(2)</w:t>
            </w:r>
          </w:p>
        </w:tc>
        <w:tc>
          <w:tcPr>
            <w:tcW w:w="0" w:type="auto"/>
            <w:tcBorders>
              <w:top w:val="double" w:sz="4" w:space="0" w:color="auto"/>
              <w:left w:val="nil"/>
              <w:bottom w:val="nil"/>
              <w:right w:val="nil"/>
            </w:tcBorders>
            <w:vAlign w:val="center"/>
          </w:tcPr>
          <w:p w14:paraId="440E71C3"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(3)</w:t>
            </w:r>
          </w:p>
        </w:tc>
        <w:tc>
          <w:tcPr>
            <w:tcW w:w="0" w:type="auto"/>
            <w:tcBorders>
              <w:top w:val="double" w:sz="4" w:space="0" w:color="auto"/>
              <w:left w:val="nil"/>
              <w:bottom w:val="nil"/>
              <w:right w:val="nil"/>
            </w:tcBorders>
            <w:vAlign w:val="center"/>
          </w:tcPr>
          <w:p w14:paraId="792F2A8A"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(4)</w:t>
            </w:r>
          </w:p>
        </w:tc>
        <w:tc>
          <w:tcPr>
            <w:tcW w:w="0" w:type="auto"/>
            <w:tcBorders>
              <w:top w:val="double" w:sz="4" w:space="0" w:color="auto"/>
              <w:left w:val="nil"/>
              <w:bottom w:val="nil"/>
              <w:right w:val="nil"/>
            </w:tcBorders>
            <w:vAlign w:val="center"/>
          </w:tcPr>
          <w:p w14:paraId="217FF522"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(5)</w:t>
            </w:r>
          </w:p>
        </w:tc>
        <w:tc>
          <w:tcPr>
            <w:tcW w:w="0" w:type="auto"/>
            <w:tcBorders>
              <w:top w:val="double" w:sz="4" w:space="0" w:color="auto"/>
              <w:left w:val="nil"/>
              <w:bottom w:val="nil"/>
              <w:right w:val="nil"/>
            </w:tcBorders>
            <w:vAlign w:val="center"/>
          </w:tcPr>
          <w:p w14:paraId="44EBDCB6"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(6)</w:t>
            </w:r>
          </w:p>
        </w:tc>
      </w:tr>
      <w:tr w:rsidR="00AC6BDC" w14:paraId="29008CFB" w14:textId="77777777" w:rsidTr="003E56A6">
        <w:trPr>
          <w:trHeight w:val="391"/>
        </w:trPr>
        <w:tc>
          <w:tcPr>
            <w:tcW w:w="0" w:type="auto"/>
            <w:tcBorders>
              <w:top w:val="nil"/>
              <w:left w:val="nil"/>
              <w:bottom w:val="nil"/>
              <w:right w:val="nil"/>
            </w:tcBorders>
            <w:vAlign w:val="center"/>
          </w:tcPr>
          <w:p w14:paraId="51AC9426" w14:textId="77777777" w:rsidR="00AC6BDC" w:rsidRPr="005B1A9C" w:rsidRDefault="00AC6BDC" w:rsidP="003E56A6">
            <w:pPr>
              <w:widowControl w:val="0"/>
              <w:autoSpaceDE w:val="0"/>
              <w:autoSpaceDN w:val="0"/>
              <w:adjustRightInd w:val="0"/>
              <w:jc w:val="center"/>
              <w:rPr>
                <w:sz w:val="21"/>
                <w:szCs w:val="21"/>
              </w:rPr>
            </w:pPr>
          </w:p>
        </w:tc>
        <w:tc>
          <w:tcPr>
            <w:tcW w:w="0" w:type="auto"/>
            <w:tcBorders>
              <w:top w:val="nil"/>
              <w:left w:val="nil"/>
              <w:bottom w:val="nil"/>
              <w:right w:val="nil"/>
            </w:tcBorders>
            <w:vAlign w:val="center"/>
          </w:tcPr>
          <w:p w14:paraId="64BC46BA"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Capital</w:t>
            </w:r>
          </w:p>
        </w:tc>
        <w:tc>
          <w:tcPr>
            <w:tcW w:w="0" w:type="auto"/>
            <w:tcBorders>
              <w:top w:val="nil"/>
              <w:left w:val="nil"/>
              <w:bottom w:val="nil"/>
              <w:right w:val="nil"/>
            </w:tcBorders>
            <w:vAlign w:val="center"/>
          </w:tcPr>
          <w:p w14:paraId="25F22E01"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Industry</w:t>
            </w:r>
          </w:p>
        </w:tc>
        <w:tc>
          <w:tcPr>
            <w:tcW w:w="0" w:type="auto"/>
            <w:tcBorders>
              <w:top w:val="nil"/>
              <w:left w:val="nil"/>
              <w:bottom w:val="nil"/>
              <w:right w:val="nil"/>
            </w:tcBorders>
            <w:vAlign w:val="center"/>
          </w:tcPr>
          <w:p w14:paraId="56DBAD6F"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Advisors</w:t>
            </w:r>
          </w:p>
        </w:tc>
        <w:tc>
          <w:tcPr>
            <w:tcW w:w="0" w:type="auto"/>
            <w:tcBorders>
              <w:top w:val="nil"/>
              <w:left w:val="nil"/>
              <w:bottom w:val="nil"/>
              <w:right w:val="nil"/>
            </w:tcBorders>
            <w:vAlign w:val="center"/>
          </w:tcPr>
          <w:p w14:paraId="449969B2"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Court</w:t>
            </w:r>
          </w:p>
        </w:tc>
        <w:tc>
          <w:tcPr>
            <w:tcW w:w="0" w:type="auto"/>
            <w:tcBorders>
              <w:top w:val="nil"/>
              <w:left w:val="nil"/>
              <w:bottom w:val="nil"/>
              <w:right w:val="nil"/>
            </w:tcBorders>
            <w:vAlign w:val="center"/>
          </w:tcPr>
          <w:p w14:paraId="4C789A7E"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Intercompany</w:t>
            </w:r>
          </w:p>
        </w:tc>
        <w:tc>
          <w:tcPr>
            <w:tcW w:w="0" w:type="auto"/>
            <w:tcBorders>
              <w:top w:val="nil"/>
              <w:left w:val="nil"/>
              <w:bottom w:val="nil"/>
              <w:right w:val="nil"/>
            </w:tcBorders>
            <w:vAlign w:val="center"/>
          </w:tcPr>
          <w:p w14:paraId="49CBC2E4" w14:textId="77777777" w:rsidR="00AC6BDC" w:rsidRPr="005B1A9C" w:rsidRDefault="00AC6BDC" w:rsidP="003E56A6">
            <w:pPr>
              <w:widowControl w:val="0"/>
              <w:autoSpaceDE w:val="0"/>
              <w:autoSpaceDN w:val="0"/>
              <w:adjustRightInd w:val="0"/>
              <w:jc w:val="center"/>
              <w:rPr>
                <w:sz w:val="21"/>
                <w:szCs w:val="21"/>
              </w:rPr>
            </w:pPr>
            <w:r w:rsidRPr="005B1A9C">
              <w:rPr>
                <w:sz w:val="21"/>
                <w:szCs w:val="21"/>
              </w:rPr>
              <w:t>Trend</w:t>
            </w:r>
          </w:p>
        </w:tc>
      </w:tr>
      <w:tr w:rsidR="00AC6BDC" w14:paraId="7C43933D" w14:textId="77777777" w:rsidTr="003E56A6">
        <w:trPr>
          <w:trHeight w:hRule="exact" w:val="261"/>
        </w:trPr>
        <w:tc>
          <w:tcPr>
            <w:tcW w:w="0" w:type="auto"/>
            <w:tcBorders>
              <w:top w:val="single" w:sz="4" w:space="0" w:color="auto"/>
              <w:left w:val="nil"/>
              <w:bottom w:val="nil"/>
              <w:right w:val="nil"/>
            </w:tcBorders>
            <w:vAlign w:val="center"/>
          </w:tcPr>
          <w:p w14:paraId="152D3F18" w14:textId="77777777" w:rsidR="00AC6BDC" w:rsidRPr="00CC4486" w:rsidRDefault="00AC6BDC" w:rsidP="003E56A6">
            <w:pPr>
              <w:widowControl w:val="0"/>
              <w:autoSpaceDE w:val="0"/>
              <w:autoSpaceDN w:val="0"/>
              <w:adjustRightInd w:val="0"/>
              <w:rPr>
                <w:sz w:val="18"/>
                <w:szCs w:val="18"/>
              </w:rPr>
            </w:pPr>
            <w:r w:rsidRPr="00CC4486">
              <w:rPr>
                <w:sz w:val="18"/>
                <w:szCs w:val="18"/>
              </w:rPr>
              <w:t>Log Assets</w:t>
            </w:r>
          </w:p>
        </w:tc>
        <w:tc>
          <w:tcPr>
            <w:tcW w:w="0" w:type="auto"/>
            <w:tcBorders>
              <w:top w:val="single" w:sz="4" w:space="0" w:color="auto"/>
              <w:left w:val="nil"/>
              <w:bottom w:val="nil"/>
              <w:right w:val="nil"/>
            </w:tcBorders>
            <w:vAlign w:val="center"/>
          </w:tcPr>
          <w:p w14:paraId="03DA414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0.0976</w:t>
            </w:r>
            <w:r w:rsidRPr="00CC4486">
              <w:rPr>
                <w:sz w:val="18"/>
                <w:szCs w:val="18"/>
                <w:vertAlign w:val="superscript"/>
              </w:rPr>
              <w:t>***</w:t>
            </w:r>
          </w:p>
        </w:tc>
        <w:tc>
          <w:tcPr>
            <w:tcW w:w="0" w:type="auto"/>
            <w:tcBorders>
              <w:top w:val="single" w:sz="4" w:space="0" w:color="auto"/>
              <w:left w:val="nil"/>
              <w:bottom w:val="nil"/>
              <w:right w:val="nil"/>
            </w:tcBorders>
            <w:vAlign w:val="center"/>
          </w:tcPr>
          <w:p w14:paraId="670623AB"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0.0961</w:t>
            </w:r>
            <w:r w:rsidRPr="00CC4486">
              <w:rPr>
                <w:sz w:val="18"/>
                <w:szCs w:val="18"/>
                <w:vertAlign w:val="superscript"/>
              </w:rPr>
              <w:t>***</w:t>
            </w:r>
          </w:p>
        </w:tc>
        <w:tc>
          <w:tcPr>
            <w:tcW w:w="0" w:type="auto"/>
            <w:tcBorders>
              <w:top w:val="single" w:sz="4" w:space="0" w:color="auto"/>
              <w:left w:val="nil"/>
              <w:bottom w:val="nil"/>
              <w:right w:val="nil"/>
            </w:tcBorders>
            <w:vAlign w:val="center"/>
          </w:tcPr>
          <w:p w14:paraId="719334C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0.0986</w:t>
            </w:r>
            <w:r w:rsidRPr="00CC4486">
              <w:rPr>
                <w:sz w:val="18"/>
                <w:szCs w:val="18"/>
                <w:vertAlign w:val="superscript"/>
              </w:rPr>
              <w:t>***</w:t>
            </w:r>
          </w:p>
        </w:tc>
        <w:tc>
          <w:tcPr>
            <w:tcW w:w="0" w:type="auto"/>
            <w:tcBorders>
              <w:top w:val="single" w:sz="4" w:space="0" w:color="auto"/>
              <w:left w:val="nil"/>
              <w:bottom w:val="nil"/>
              <w:right w:val="nil"/>
            </w:tcBorders>
            <w:vAlign w:val="center"/>
          </w:tcPr>
          <w:p w14:paraId="375CB87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0.0962</w:t>
            </w:r>
            <w:r w:rsidRPr="00CC4486">
              <w:rPr>
                <w:sz w:val="18"/>
                <w:szCs w:val="18"/>
                <w:vertAlign w:val="superscript"/>
              </w:rPr>
              <w:t>***</w:t>
            </w:r>
          </w:p>
        </w:tc>
        <w:tc>
          <w:tcPr>
            <w:tcW w:w="0" w:type="auto"/>
            <w:tcBorders>
              <w:top w:val="single" w:sz="4" w:space="0" w:color="auto"/>
              <w:left w:val="nil"/>
              <w:bottom w:val="nil"/>
              <w:right w:val="nil"/>
            </w:tcBorders>
            <w:vAlign w:val="center"/>
          </w:tcPr>
          <w:p w14:paraId="7B1CB48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0.0995</w:t>
            </w:r>
            <w:r w:rsidRPr="00CC4486">
              <w:rPr>
                <w:sz w:val="18"/>
                <w:szCs w:val="18"/>
                <w:vertAlign w:val="superscript"/>
              </w:rPr>
              <w:t>***</w:t>
            </w:r>
          </w:p>
        </w:tc>
        <w:tc>
          <w:tcPr>
            <w:tcW w:w="0" w:type="auto"/>
            <w:tcBorders>
              <w:top w:val="single" w:sz="4" w:space="0" w:color="auto"/>
              <w:left w:val="nil"/>
              <w:bottom w:val="nil"/>
              <w:right w:val="nil"/>
            </w:tcBorders>
            <w:vAlign w:val="center"/>
          </w:tcPr>
          <w:p w14:paraId="17463A9F"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0.101</w:t>
            </w:r>
            <w:r w:rsidRPr="00CC4486">
              <w:rPr>
                <w:sz w:val="18"/>
                <w:szCs w:val="18"/>
                <w:vertAlign w:val="superscript"/>
              </w:rPr>
              <w:t>***</w:t>
            </w:r>
          </w:p>
        </w:tc>
      </w:tr>
      <w:tr w:rsidR="00AC6BDC" w14:paraId="20304C46" w14:textId="77777777" w:rsidTr="003E56A6">
        <w:trPr>
          <w:trHeight w:hRule="exact" w:val="261"/>
        </w:trPr>
        <w:tc>
          <w:tcPr>
            <w:tcW w:w="0" w:type="auto"/>
            <w:tcBorders>
              <w:top w:val="nil"/>
              <w:left w:val="nil"/>
              <w:bottom w:val="nil"/>
              <w:right w:val="nil"/>
            </w:tcBorders>
            <w:vAlign w:val="center"/>
          </w:tcPr>
          <w:p w14:paraId="4774952E"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E8BCFA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(0.0106)</w:t>
            </w:r>
          </w:p>
        </w:tc>
        <w:tc>
          <w:tcPr>
            <w:tcW w:w="0" w:type="auto"/>
            <w:tcBorders>
              <w:top w:val="nil"/>
              <w:left w:val="nil"/>
              <w:bottom w:val="nil"/>
              <w:right w:val="nil"/>
            </w:tcBorders>
            <w:vAlign w:val="center"/>
          </w:tcPr>
          <w:p w14:paraId="34AA9150"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(0.0104)</w:t>
            </w:r>
          </w:p>
        </w:tc>
        <w:tc>
          <w:tcPr>
            <w:tcW w:w="0" w:type="auto"/>
            <w:tcBorders>
              <w:top w:val="nil"/>
              <w:left w:val="nil"/>
              <w:bottom w:val="nil"/>
              <w:right w:val="nil"/>
            </w:tcBorders>
            <w:vAlign w:val="center"/>
          </w:tcPr>
          <w:p w14:paraId="0E957AC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(0.0113)</w:t>
            </w:r>
          </w:p>
        </w:tc>
        <w:tc>
          <w:tcPr>
            <w:tcW w:w="0" w:type="auto"/>
            <w:tcBorders>
              <w:top w:val="nil"/>
              <w:left w:val="nil"/>
              <w:bottom w:val="nil"/>
              <w:right w:val="nil"/>
            </w:tcBorders>
            <w:vAlign w:val="center"/>
          </w:tcPr>
          <w:p w14:paraId="1793565F"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(0.0116)</w:t>
            </w:r>
          </w:p>
        </w:tc>
        <w:tc>
          <w:tcPr>
            <w:tcW w:w="0" w:type="auto"/>
            <w:tcBorders>
              <w:top w:val="nil"/>
              <w:left w:val="nil"/>
              <w:bottom w:val="nil"/>
              <w:right w:val="nil"/>
            </w:tcBorders>
            <w:vAlign w:val="center"/>
          </w:tcPr>
          <w:p w14:paraId="0A65319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(0.0114)</w:t>
            </w:r>
          </w:p>
        </w:tc>
        <w:tc>
          <w:tcPr>
            <w:tcW w:w="0" w:type="auto"/>
            <w:tcBorders>
              <w:top w:val="nil"/>
              <w:left w:val="nil"/>
              <w:bottom w:val="nil"/>
              <w:right w:val="nil"/>
            </w:tcBorders>
            <w:vAlign w:val="center"/>
          </w:tcPr>
          <w:p w14:paraId="672C0E5F"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(0.0111)</w:t>
            </w:r>
          </w:p>
        </w:tc>
      </w:tr>
      <w:tr w:rsidR="00AC6BDC" w14:paraId="64528B91" w14:textId="77777777" w:rsidTr="003E56A6">
        <w:trPr>
          <w:trHeight w:hRule="exact" w:val="261"/>
        </w:trPr>
        <w:tc>
          <w:tcPr>
            <w:tcW w:w="0" w:type="auto"/>
            <w:tcBorders>
              <w:top w:val="nil"/>
              <w:left w:val="nil"/>
              <w:bottom w:val="nil"/>
              <w:right w:val="nil"/>
            </w:tcBorders>
            <w:vAlign w:val="center"/>
          </w:tcPr>
          <w:p w14:paraId="77EAD345"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6B806F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CEFDFCF"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969FD3C"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224DC5B"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B268F1D"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14D0F58" w14:textId="77777777" w:rsidR="00AC6BDC" w:rsidRPr="00CC4486" w:rsidRDefault="00AC6BDC" w:rsidP="003E56A6">
            <w:pPr>
              <w:widowControl w:val="0"/>
              <w:autoSpaceDE w:val="0"/>
              <w:autoSpaceDN w:val="0"/>
              <w:adjustRightInd w:val="0"/>
              <w:jc w:val="center"/>
              <w:rPr>
                <w:sz w:val="18"/>
                <w:szCs w:val="18"/>
              </w:rPr>
            </w:pPr>
          </w:p>
        </w:tc>
      </w:tr>
      <w:tr w:rsidR="00AC6BDC" w14:paraId="53B38098" w14:textId="77777777" w:rsidTr="003E56A6">
        <w:trPr>
          <w:trHeight w:hRule="exact" w:val="261"/>
        </w:trPr>
        <w:tc>
          <w:tcPr>
            <w:tcW w:w="0" w:type="auto"/>
            <w:tcBorders>
              <w:top w:val="nil"/>
              <w:left w:val="nil"/>
              <w:bottom w:val="nil"/>
              <w:right w:val="nil"/>
            </w:tcBorders>
            <w:vAlign w:val="center"/>
          </w:tcPr>
          <w:p w14:paraId="4DC12965" w14:textId="77777777" w:rsidR="00AC6BDC" w:rsidRPr="00CC4486" w:rsidRDefault="00AC6BDC" w:rsidP="003E56A6">
            <w:pPr>
              <w:widowControl w:val="0"/>
              <w:autoSpaceDE w:val="0"/>
              <w:autoSpaceDN w:val="0"/>
              <w:adjustRightInd w:val="0"/>
              <w:rPr>
                <w:sz w:val="18"/>
                <w:szCs w:val="18"/>
              </w:rPr>
            </w:pPr>
            <w:r w:rsidRPr="00CC4486">
              <w:rPr>
                <w:sz w:val="18"/>
                <w:szCs w:val="18"/>
              </w:rPr>
              <w:t>EBIT</w:t>
            </w:r>
          </w:p>
        </w:tc>
        <w:tc>
          <w:tcPr>
            <w:tcW w:w="0" w:type="auto"/>
            <w:tcBorders>
              <w:top w:val="nil"/>
              <w:left w:val="nil"/>
              <w:bottom w:val="nil"/>
              <w:right w:val="nil"/>
            </w:tcBorders>
            <w:vAlign w:val="center"/>
          </w:tcPr>
          <w:p w14:paraId="065DDAD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-0.0177</w:t>
            </w:r>
            <w:r w:rsidRPr="00CC4486">
              <w:rPr>
                <w:sz w:val="18"/>
                <w:szCs w:val="18"/>
                <w:vertAlign w:val="superscript"/>
              </w:rPr>
              <w:t>***</w:t>
            </w:r>
          </w:p>
        </w:tc>
        <w:tc>
          <w:tcPr>
            <w:tcW w:w="0" w:type="auto"/>
            <w:tcBorders>
              <w:top w:val="nil"/>
              <w:left w:val="nil"/>
              <w:bottom w:val="nil"/>
              <w:right w:val="nil"/>
            </w:tcBorders>
            <w:vAlign w:val="center"/>
          </w:tcPr>
          <w:p w14:paraId="59A21B9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-0.0154</w:t>
            </w:r>
            <w:r w:rsidRPr="00CC4486">
              <w:rPr>
                <w:sz w:val="18"/>
                <w:szCs w:val="18"/>
                <w:vertAlign w:val="superscript"/>
              </w:rPr>
              <w:t>***</w:t>
            </w:r>
          </w:p>
        </w:tc>
        <w:tc>
          <w:tcPr>
            <w:tcW w:w="0" w:type="auto"/>
            <w:tcBorders>
              <w:top w:val="nil"/>
              <w:left w:val="nil"/>
              <w:bottom w:val="nil"/>
              <w:right w:val="nil"/>
            </w:tcBorders>
            <w:vAlign w:val="center"/>
          </w:tcPr>
          <w:p w14:paraId="3B09386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-0.0136</w:t>
            </w:r>
            <w:r w:rsidRPr="00CC4486">
              <w:rPr>
                <w:sz w:val="18"/>
                <w:szCs w:val="18"/>
                <w:vertAlign w:val="superscript"/>
              </w:rPr>
              <w:t>***</w:t>
            </w:r>
          </w:p>
        </w:tc>
        <w:tc>
          <w:tcPr>
            <w:tcW w:w="0" w:type="auto"/>
            <w:tcBorders>
              <w:top w:val="nil"/>
              <w:left w:val="nil"/>
              <w:bottom w:val="nil"/>
              <w:right w:val="nil"/>
            </w:tcBorders>
            <w:vAlign w:val="center"/>
          </w:tcPr>
          <w:p w14:paraId="6BC5013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-0.0136</w:t>
            </w:r>
            <w:r w:rsidRPr="00CC4486">
              <w:rPr>
                <w:sz w:val="18"/>
                <w:szCs w:val="18"/>
                <w:vertAlign w:val="superscript"/>
              </w:rPr>
              <w:t>***</w:t>
            </w:r>
          </w:p>
        </w:tc>
        <w:tc>
          <w:tcPr>
            <w:tcW w:w="0" w:type="auto"/>
            <w:tcBorders>
              <w:top w:val="nil"/>
              <w:left w:val="nil"/>
              <w:bottom w:val="nil"/>
              <w:right w:val="nil"/>
            </w:tcBorders>
            <w:vAlign w:val="center"/>
          </w:tcPr>
          <w:p w14:paraId="7FCC46E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-0.0136</w:t>
            </w:r>
            <w:r w:rsidRPr="00CC4486">
              <w:rPr>
                <w:sz w:val="18"/>
                <w:szCs w:val="18"/>
                <w:vertAlign w:val="superscript"/>
              </w:rPr>
              <w:t>***</w:t>
            </w:r>
          </w:p>
        </w:tc>
        <w:tc>
          <w:tcPr>
            <w:tcW w:w="0" w:type="auto"/>
            <w:tcBorders>
              <w:top w:val="nil"/>
              <w:left w:val="nil"/>
              <w:bottom w:val="nil"/>
              <w:right w:val="nil"/>
            </w:tcBorders>
            <w:vAlign w:val="center"/>
          </w:tcPr>
          <w:p w14:paraId="5AC85D6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-0.0142</w:t>
            </w:r>
            <w:r w:rsidRPr="00CC4486">
              <w:rPr>
                <w:sz w:val="18"/>
                <w:szCs w:val="18"/>
                <w:vertAlign w:val="superscript"/>
              </w:rPr>
              <w:t>***</w:t>
            </w:r>
          </w:p>
        </w:tc>
      </w:tr>
      <w:tr w:rsidR="00AC6BDC" w14:paraId="4BB71734" w14:textId="77777777" w:rsidTr="003E56A6">
        <w:trPr>
          <w:trHeight w:hRule="exact" w:val="261"/>
        </w:trPr>
        <w:tc>
          <w:tcPr>
            <w:tcW w:w="0" w:type="auto"/>
            <w:tcBorders>
              <w:top w:val="nil"/>
              <w:left w:val="nil"/>
              <w:bottom w:val="nil"/>
              <w:right w:val="nil"/>
            </w:tcBorders>
            <w:vAlign w:val="center"/>
          </w:tcPr>
          <w:p w14:paraId="28593B0F"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23B8140"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(0.00291)</w:t>
            </w:r>
          </w:p>
        </w:tc>
        <w:tc>
          <w:tcPr>
            <w:tcW w:w="0" w:type="auto"/>
            <w:tcBorders>
              <w:top w:val="nil"/>
              <w:left w:val="nil"/>
              <w:bottom w:val="nil"/>
              <w:right w:val="nil"/>
            </w:tcBorders>
            <w:vAlign w:val="center"/>
          </w:tcPr>
          <w:p w14:paraId="3FDA1CB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(0.00256)</w:t>
            </w:r>
          </w:p>
        </w:tc>
        <w:tc>
          <w:tcPr>
            <w:tcW w:w="0" w:type="auto"/>
            <w:tcBorders>
              <w:top w:val="nil"/>
              <w:left w:val="nil"/>
              <w:bottom w:val="nil"/>
              <w:right w:val="nil"/>
            </w:tcBorders>
            <w:vAlign w:val="center"/>
          </w:tcPr>
          <w:p w14:paraId="2D8C4F4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(0.00267)</w:t>
            </w:r>
          </w:p>
        </w:tc>
        <w:tc>
          <w:tcPr>
            <w:tcW w:w="0" w:type="auto"/>
            <w:tcBorders>
              <w:top w:val="nil"/>
              <w:left w:val="nil"/>
              <w:bottom w:val="nil"/>
              <w:right w:val="nil"/>
            </w:tcBorders>
            <w:vAlign w:val="center"/>
          </w:tcPr>
          <w:p w14:paraId="7AC958FC"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(0.00265)</w:t>
            </w:r>
          </w:p>
        </w:tc>
        <w:tc>
          <w:tcPr>
            <w:tcW w:w="0" w:type="auto"/>
            <w:tcBorders>
              <w:top w:val="nil"/>
              <w:left w:val="nil"/>
              <w:bottom w:val="nil"/>
              <w:right w:val="nil"/>
            </w:tcBorders>
            <w:vAlign w:val="center"/>
          </w:tcPr>
          <w:p w14:paraId="1967BCB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(0.00270)</w:t>
            </w:r>
          </w:p>
        </w:tc>
        <w:tc>
          <w:tcPr>
            <w:tcW w:w="0" w:type="auto"/>
            <w:tcBorders>
              <w:top w:val="nil"/>
              <w:left w:val="nil"/>
              <w:bottom w:val="nil"/>
              <w:right w:val="nil"/>
            </w:tcBorders>
            <w:vAlign w:val="center"/>
          </w:tcPr>
          <w:p w14:paraId="3BBFE4B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(0.00274)</w:t>
            </w:r>
          </w:p>
        </w:tc>
      </w:tr>
      <w:tr w:rsidR="00AC6BDC" w14:paraId="770211AA" w14:textId="77777777" w:rsidTr="003E56A6">
        <w:trPr>
          <w:trHeight w:hRule="exact" w:val="261"/>
        </w:trPr>
        <w:tc>
          <w:tcPr>
            <w:tcW w:w="0" w:type="auto"/>
            <w:tcBorders>
              <w:top w:val="nil"/>
              <w:left w:val="nil"/>
              <w:bottom w:val="nil"/>
              <w:right w:val="nil"/>
            </w:tcBorders>
            <w:vAlign w:val="center"/>
          </w:tcPr>
          <w:p w14:paraId="4A01F8FC"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48B9C63F"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9F72B8A"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A4E2001"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22E9C28"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129838C"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0A8639C" w14:textId="77777777" w:rsidR="00AC6BDC" w:rsidRPr="00CC4486" w:rsidRDefault="00AC6BDC" w:rsidP="003E56A6">
            <w:pPr>
              <w:widowControl w:val="0"/>
              <w:autoSpaceDE w:val="0"/>
              <w:autoSpaceDN w:val="0"/>
              <w:adjustRightInd w:val="0"/>
              <w:jc w:val="center"/>
              <w:rPr>
                <w:sz w:val="18"/>
                <w:szCs w:val="18"/>
              </w:rPr>
            </w:pPr>
          </w:p>
        </w:tc>
      </w:tr>
      <w:tr w:rsidR="00AC6BDC" w14:paraId="3C98AFE4" w14:textId="77777777" w:rsidTr="003E56A6">
        <w:trPr>
          <w:trHeight w:hRule="exact" w:val="261"/>
        </w:trPr>
        <w:tc>
          <w:tcPr>
            <w:tcW w:w="0" w:type="auto"/>
            <w:tcBorders>
              <w:top w:val="nil"/>
              <w:left w:val="nil"/>
              <w:bottom w:val="nil"/>
              <w:right w:val="nil"/>
            </w:tcBorders>
            <w:vAlign w:val="center"/>
          </w:tcPr>
          <w:p w14:paraId="256C973A" w14:textId="77777777" w:rsidR="00AC6BDC" w:rsidRPr="00CC4486" w:rsidRDefault="00AC6BDC" w:rsidP="003E56A6">
            <w:pPr>
              <w:widowControl w:val="0"/>
              <w:autoSpaceDE w:val="0"/>
              <w:autoSpaceDN w:val="0"/>
              <w:adjustRightInd w:val="0"/>
              <w:rPr>
                <w:sz w:val="18"/>
                <w:szCs w:val="18"/>
              </w:rPr>
            </w:pPr>
            <w:r w:rsidRPr="00CC4486">
              <w:rPr>
                <w:sz w:val="18"/>
                <w:szCs w:val="18"/>
              </w:rPr>
              <w:t>Prime Rate at Filing</w:t>
            </w:r>
          </w:p>
        </w:tc>
        <w:tc>
          <w:tcPr>
            <w:tcW w:w="0" w:type="auto"/>
            <w:tcBorders>
              <w:top w:val="nil"/>
              <w:left w:val="nil"/>
              <w:bottom w:val="nil"/>
              <w:right w:val="nil"/>
            </w:tcBorders>
            <w:vAlign w:val="center"/>
          </w:tcPr>
          <w:p w14:paraId="51F2584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0.0247</w:t>
            </w:r>
            <w:r w:rsidRPr="00CC4486">
              <w:rPr>
                <w:sz w:val="18"/>
                <w:szCs w:val="18"/>
                <w:vertAlign w:val="superscript"/>
              </w:rPr>
              <w:t>***</w:t>
            </w:r>
          </w:p>
        </w:tc>
        <w:tc>
          <w:tcPr>
            <w:tcW w:w="0" w:type="auto"/>
            <w:tcBorders>
              <w:top w:val="nil"/>
              <w:left w:val="nil"/>
              <w:bottom w:val="nil"/>
              <w:right w:val="nil"/>
            </w:tcBorders>
            <w:vAlign w:val="center"/>
          </w:tcPr>
          <w:p w14:paraId="593144D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0.0248</w:t>
            </w:r>
            <w:r w:rsidRPr="00CC4486">
              <w:rPr>
                <w:sz w:val="18"/>
                <w:szCs w:val="18"/>
                <w:vertAlign w:val="superscript"/>
              </w:rPr>
              <w:t>***</w:t>
            </w:r>
          </w:p>
        </w:tc>
        <w:tc>
          <w:tcPr>
            <w:tcW w:w="0" w:type="auto"/>
            <w:tcBorders>
              <w:top w:val="nil"/>
              <w:left w:val="nil"/>
              <w:bottom w:val="nil"/>
              <w:right w:val="nil"/>
            </w:tcBorders>
            <w:vAlign w:val="center"/>
          </w:tcPr>
          <w:p w14:paraId="522B4DB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0.0269</w:t>
            </w:r>
            <w:r w:rsidRPr="00CC4486">
              <w:rPr>
                <w:sz w:val="18"/>
                <w:szCs w:val="18"/>
                <w:vertAlign w:val="superscript"/>
              </w:rPr>
              <w:t>***</w:t>
            </w:r>
          </w:p>
        </w:tc>
        <w:tc>
          <w:tcPr>
            <w:tcW w:w="0" w:type="auto"/>
            <w:tcBorders>
              <w:top w:val="nil"/>
              <w:left w:val="nil"/>
              <w:bottom w:val="nil"/>
              <w:right w:val="nil"/>
            </w:tcBorders>
            <w:vAlign w:val="center"/>
          </w:tcPr>
          <w:p w14:paraId="62513C3F"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0.0271</w:t>
            </w:r>
            <w:r w:rsidRPr="00CC4486">
              <w:rPr>
                <w:sz w:val="18"/>
                <w:szCs w:val="18"/>
                <w:vertAlign w:val="superscript"/>
              </w:rPr>
              <w:t>***</w:t>
            </w:r>
          </w:p>
        </w:tc>
        <w:tc>
          <w:tcPr>
            <w:tcW w:w="0" w:type="auto"/>
            <w:tcBorders>
              <w:top w:val="nil"/>
              <w:left w:val="nil"/>
              <w:bottom w:val="nil"/>
              <w:right w:val="nil"/>
            </w:tcBorders>
            <w:vAlign w:val="center"/>
          </w:tcPr>
          <w:p w14:paraId="618123C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0.0285</w:t>
            </w:r>
            <w:r w:rsidRPr="00CC4486">
              <w:rPr>
                <w:sz w:val="18"/>
                <w:szCs w:val="18"/>
                <w:vertAlign w:val="superscript"/>
              </w:rPr>
              <w:t>***</w:t>
            </w:r>
          </w:p>
        </w:tc>
        <w:tc>
          <w:tcPr>
            <w:tcW w:w="0" w:type="auto"/>
            <w:tcBorders>
              <w:top w:val="nil"/>
              <w:left w:val="nil"/>
              <w:bottom w:val="nil"/>
              <w:right w:val="nil"/>
            </w:tcBorders>
            <w:vAlign w:val="center"/>
          </w:tcPr>
          <w:p w14:paraId="3245D8B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-0.00630</w:t>
            </w:r>
          </w:p>
        </w:tc>
      </w:tr>
      <w:tr w:rsidR="00AC6BDC" w14:paraId="7C7EAA31" w14:textId="77777777" w:rsidTr="003E56A6">
        <w:trPr>
          <w:trHeight w:hRule="exact" w:val="261"/>
        </w:trPr>
        <w:tc>
          <w:tcPr>
            <w:tcW w:w="0" w:type="auto"/>
            <w:tcBorders>
              <w:top w:val="nil"/>
              <w:left w:val="nil"/>
              <w:bottom w:val="nil"/>
              <w:right w:val="nil"/>
            </w:tcBorders>
            <w:vAlign w:val="center"/>
          </w:tcPr>
          <w:p w14:paraId="48A08084"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06F14C1"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(0.00528)</w:t>
            </w:r>
          </w:p>
        </w:tc>
        <w:tc>
          <w:tcPr>
            <w:tcW w:w="0" w:type="auto"/>
            <w:tcBorders>
              <w:top w:val="nil"/>
              <w:left w:val="nil"/>
              <w:bottom w:val="nil"/>
              <w:right w:val="nil"/>
            </w:tcBorders>
            <w:vAlign w:val="center"/>
          </w:tcPr>
          <w:p w14:paraId="507C10EC"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(0.00523)</w:t>
            </w:r>
          </w:p>
        </w:tc>
        <w:tc>
          <w:tcPr>
            <w:tcW w:w="0" w:type="auto"/>
            <w:tcBorders>
              <w:top w:val="nil"/>
              <w:left w:val="nil"/>
              <w:bottom w:val="nil"/>
              <w:right w:val="nil"/>
            </w:tcBorders>
            <w:vAlign w:val="center"/>
          </w:tcPr>
          <w:p w14:paraId="42A1FB49"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(0.00595)</w:t>
            </w:r>
          </w:p>
        </w:tc>
        <w:tc>
          <w:tcPr>
            <w:tcW w:w="0" w:type="auto"/>
            <w:tcBorders>
              <w:top w:val="nil"/>
              <w:left w:val="nil"/>
              <w:bottom w:val="nil"/>
              <w:right w:val="nil"/>
            </w:tcBorders>
            <w:vAlign w:val="center"/>
          </w:tcPr>
          <w:p w14:paraId="5B31F948"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(0.00607)</w:t>
            </w:r>
          </w:p>
        </w:tc>
        <w:tc>
          <w:tcPr>
            <w:tcW w:w="0" w:type="auto"/>
            <w:tcBorders>
              <w:top w:val="nil"/>
              <w:left w:val="nil"/>
              <w:bottom w:val="nil"/>
              <w:right w:val="nil"/>
            </w:tcBorders>
            <w:vAlign w:val="center"/>
          </w:tcPr>
          <w:p w14:paraId="2735303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(0.00593)</w:t>
            </w:r>
          </w:p>
        </w:tc>
        <w:tc>
          <w:tcPr>
            <w:tcW w:w="0" w:type="auto"/>
            <w:tcBorders>
              <w:top w:val="nil"/>
              <w:left w:val="nil"/>
              <w:bottom w:val="nil"/>
              <w:right w:val="nil"/>
            </w:tcBorders>
            <w:vAlign w:val="center"/>
          </w:tcPr>
          <w:p w14:paraId="3E87D838"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(0.00880)</w:t>
            </w:r>
          </w:p>
        </w:tc>
      </w:tr>
      <w:tr w:rsidR="00AC6BDC" w14:paraId="66E3E0A4" w14:textId="77777777" w:rsidTr="003E56A6">
        <w:trPr>
          <w:trHeight w:hRule="exact" w:val="261"/>
        </w:trPr>
        <w:tc>
          <w:tcPr>
            <w:tcW w:w="0" w:type="auto"/>
            <w:tcBorders>
              <w:top w:val="nil"/>
              <w:left w:val="nil"/>
              <w:bottom w:val="nil"/>
              <w:right w:val="nil"/>
            </w:tcBorders>
            <w:vAlign w:val="center"/>
          </w:tcPr>
          <w:p w14:paraId="22540F71"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DE11C6C"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00C21D2"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C7A2CD0"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615F1E4"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2ED98DD"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00E1260" w14:textId="77777777" w:rsidR="00AC6BDC" w:rsidRPr="00CC4486" w:rsidRDefault="00AC6BDC" w:rsidP="003E56A6">
            <w:pPr>
              <w:widowControl w:val="0"/>
              <w:autoSpaceDE w:val="0"/>
              <w:autoSpaceDN w:val="0"/>
              <w:adjustRightInd w:val="0"/>
              <w:jc w:val="center"/>
              <w:rPr>
                <w:sz w:val="18"/>
                <w:szCs w:val="18"/>
              </w:rPr>
            </w:pPr>
          </w:p>
        </w:tc>
      </w:tr>
      <w:tr w:rsidR="00AC6BDC" w14:paraId="02EF1AF6" w14:textId="77777777" w:rsidTr="003E56A6">
        <w:trPr>
          <w:trHeight w:hRule="exact" w:val="261"/>
        </w:trPr>
        <w:tc>
          <w:tcPr>
            <w:tcW w:w="0" w:type="auto"/>
            <w:tcBorders>
              <w:top w:val="nil"/>
              <w:left w:val="nil"/>
              <w:bottom w:val="nil"/>
              <w:right w:val="nil"/>
            </w:tcBorders>
            <w:vAlign w:val="center"/>
          </w:tcPr>
          <w:p w14:paraId="4F2DD668" w14:textId="77777777" w:rsidR="00AC6BDC" w:rsidRPr="00CC4486" w:rsidRDefault="00AC6BDC" w:rsidP="003E56A6">
            <w:pPr>
              <w:widowControl w:val="0"/>
              <w:autoSpaceDE w:val="0"/>
              <w:autoSpaceDN w:val="0"/>
              <w:adjustRightInd w:val="0"/>
              <w:rPr>
                <w:sz w:val="18"/>
                <w:szCs w:val="18"/>
              </w:rPr>
            </w:pPr>
            <w:r w:rsidRPr="00CC4486">
              <w:rPr>
                <w:sz w:val="18"/>
                <w:szCs w:val="18"/>
              </w:rPr>
              <w:t>Obtained DIP Financing</w:t>
            </w:r>
          </w:p>
        </w:tc>
        <w:tc>
          <w:tcPr>
            <w:tcW w:w="0" w:type="auto"/>
            <w:tcBorders>
              <w:top w:val="nil"/>
              <w:left w:val="nil"/>
              <w:bottom w:val="nil"/>
              <w:right w:val="nil"/>
            </w:tcBorders>
            <w:vAlign w:val="center"/>
          </w:tcPr>
          <w:p w14:paraId="2C87440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-0.163</w:t>
            </w:r>
            <w:r w:rsidRPr="00CC4486">
              <w:rPr>
                <w:sz w:val="18"/>
                <w:szCs w:val="18"/>
                <w:vertAlign w:val="superscript"/>
              </w:rPr>
              <w:t>***</w:t>
            </w:r>
          </w:p>
        </w:tc>
        <w:tc>
          <w:tcPr>
            <w:tcW w:w="0" w:type="auto"/>
            <w:tcBorders>
              <w:top w:val="nil"/>
              <w:left w:val="nil"/>
              <w:bottom w:val="nil"/>
              <w:right w:val="nil"/>
            </w:tcBorders>
            <w:vAlign w:val="center"/>
          </w:tcPr>
          <w:p w14:paraId="5C4977C4"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-0.176</w:t>
            </w:r>
            <w:r w:rsidRPr="00CC4486">
              <w:rPr>
                <w:sz w:val="18"/>
                <w:szCs w:val="18"/>
                <w:vertAlign w:val="superscript"/>
              </w:rPr>
              <w:t>***</w:t>
            </w:r>
          </w:p>
        </w:tc>
        <w:tc>
          <w:tcPr>
            <w:tcW w:w="0" w:type="auto"/>
            <w:tcBorders>
              <w:top w:val="nil"/>
              <w:left w:val="nil"/>
              <w:bottom w:val="nil"/>
              <w:right w:val="nil"/>
            </w:tcBorders>
            <w:vAlign w:val="center"/>
          </w:tcPr>
          <w:p w14:paraId="09846F0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-0.159</w:t>
            </w:r>
            <w:r w:rsidRPr="00CC4486">
              <w:rPr>
                <w:sz w:val="18"/>
                <w:szCs w:val="18"/>
                <w:vertAlign w:val="superscript"/>
              </w:rPr>
              <w:t>***</w:t>
            </w:r>
          </w:p>
        </w:tc>
        <w:tc>
          <w:tcPr>
            <w:tcW w:w="0" w:type="auto"/>
            <w:tcBorders>
              <w:top w:val="nil"/>
              <w:left w:val="nil"/>
              <w:bottom w:val="nil"/>
              <w:right w:val="nil"/>
            </w:tcBorders>
            <w:vAlign w:val="center"/>
          </w:tcPr>
          <w:p w14:paraId="38A4045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-0.159</w:t>
            </w:r>
            <w:r w:rsidRPr="00CC4486">
              <w:rPr>
                <w:sz w:val="18"/>
                <w:szCs w:val="18"/>
                <w:vertAlign w:val="superscript"/>
              </w:rPr>
              <w:t>***</w:t>
            </w:r>
          </w:p>
        </w:tc>
        <w:tc>
          <w:tcPr>
            <w:tcW w:w="0" w:type="auto"/>
            <w:tcBorders>
              <w:top w:val="nil"/>
              <w:left w:val="nil"/>
              <w:bottom w:val="nil"/>
              <w:right w:val="nil"/>
            </w:tcBorders>
            <w:vAlign w:val="center"/>
          </w:tcPr>
          <w:p w14:paraId="074711D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-0.165</w:t>
            </w:r>
            <w:r w:rsidRPr="00CC4486">
              <w:rPr>
                <w:sz w:val="18"/>
                <w:szCs w:val="18"/>
                <w:vertAlign w:val="superscript"/>
              </w:rPr>
              <w:t>***</w:t>
            </w:r>
          </w:p>
        </w:tc>
        <w:tc>
          <w:tcPr>
            <w:tcW w:w="0" w:type="auto"/>
            <w:tcBorders>
              <w:top w:val="nil"/>
              <w:left w:val="nil"/>
              <w:bottom w:val="nil"/>
              <w:right w:val="nil"/>
            </w:tcBorders>
            <w:vAlign w:val="center"/>
          </w:tcPr>
          <w:p w14:paraId="4C841A3B"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-0.116</w:t>
            </w:r>
            <w:r w:rsidRPr="00CC4486">
              <w:rPr>
                <w:sz w:val="18"/>
                <w:szCs w:val="18"/>
                <w:vertAlign w:val="superscript"/>
              </w:rPr>
              <w:t>**</w:t>
            </w:r>
          </w:p>
        </w:tc>
      </w:tr>
      <w:tr w:rsidR="00AC6BDC" w14:paraId="68707018" w14:textId="77777777" w:rsidTr="003E56A6">
        <w:trPr>
          <w:trHeight w:hRule="exact" w:val="261"/>
        </w:trPr>
        <w:tc>
          <w:tcPr>
            <w:tcW w:w="0" w:type="auto"/>
            <w:tcBorders>
              <w:top w:val="nil"/>
              <w:left w:val="nil"/>
              <w:bottom w:val="nil"/>
              <w:right w:val="nil"/>
            </w:tcBorders>
            <w:vAlign w:val="center"/>
          </w:tcPr>
          <w:p w14:paraId="29E9F475"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F5402F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(0.0344)</w:t>
            </w:r>
          </w:p>
        </w:tc>
        <w:tc>
          <w:tcPr>
            <w:tcW w:w="0" w:type="auto"/>
            <w:tcBorders>
              <w:top w:val="nil"/>
              <w:left w:val="nil"/>
              <w:bottom w:val="nil"/>
              <w:right w:val="nil"/>
            </w:tcBorders>
            <w:vAlign w:val="center"/>
          </w:tcPr>
          <w:p w14:paraId="2502EC7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(0.0347)</w:t>
            </w:r>
          </w:p>
        </w:tc>
        <w:tc>
          <w:tcPr>
            <w:tcW w:w="0" w:type="auto"/>
            <w:tcBorders>
              <w:top w:val="nil"/>
              <w:left w:val="nil"/>
              <w:bottom w:val="nil"/>
              <w:right w:val="nil"/>
            </w:tcBorders>
            <w:vAlign w:val="center"/>
          </w:tcPr>
          <w:p w14:paraId="7C365B2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(0.0354)</w:t>
            </w:r>
          </w:p>
        </w:tc>
        <w:tc>
          <w:tcPr>
            <w:tcW w:w="0" w:type="auto"/>
            <w:tcBorders>
              <w:top w:val="nil"/>
              <w:left w:val="nil"/>
              <w:bottom w:val="nil"/>
              <w:right w:val="nil"/>
            </w:tcBorders>
            <w:vAlign w:val="center"/>
          </w:tcPr>
          <w:p w14:paraId="4C54FEA1"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(0.0359)</w:t>
            </w:r>
          </w:p>
        </w:tc>
        <w:tc>
          <w:tcPr>
            <w:tcW w:w="0" w:type="auto"/>
            <w:tcBorders>
              <w:top w:val="nil"/>
              <w:left w:val="nil"/>
              <w:bottom w:val="nil"/>
              <w:right w:val="nil"/>
            </w:tcBorders>
            <w:vAlign w:val="center"/>
          </w:tcPr>
          <w:p w14:paraId="73B9375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(0.0353)</w:t>
            </w:r>
          </w:p>
        </w:tc>
        <w:tc>
          <w:tcPr>
            <w:tcW w:w="0" w:type="auto"/>
            <w:tcBorders>
              <w:top w:val="nil"/>
              <w:left w:val="nil"/>
              <w:bottom w:val="nil"/>
              <w:right w:val="nil"/>
            </w:tcBorders>
            <w:vAlign w:val="center"/>
          </w:tcPr>
          <w:p w14:paraId="238CB7B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(0.0359)</w:t>
            </w:r>
          </w:p>
        </w:tc>
      </w:tr>
      <w:tr w:rsidR="00AC6BDC" w14:paraId="3A369327" w14:textId="77777777" w:rsidTr="003E56A6">
        <w:trPr>
          <w:trHeight w:hRule="exact" w:val="261"/>
        </w:trPr>
        <w:tc>
          <w:tcPr>
            <w:tcW w:w="0" w:type="auto"/>
            <w:tcBorders>
              <w:top w:val="nil"/>
              <w:left w:val="nil"/>
              <w:bottom w:val="nil"/>
              <w:right w:val="nil"/>
            </w:tcBorders>
            <w:vAlign w:val="center"/>
          </w:tcPr>
          <w:p w14:paraId="3C8944A7"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791B7EC6"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EDB766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45A2CA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26FD75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7A4E1D3"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B781E7E" w14:textId="77777777" w:rsidR="00AC6BDC" w:rsidRPr="00CC4486" w:rsidRDefault="00AC6BDC" w:rsidP="003E56A6">
            <w:pPr>
              <w:widowControl w:val="0"/>
              <w:autoSpaceDE w:val="0"/>
              <w:autoSpaceDN w:val="0"/>
              <w:adjustRightInd w:val="0"/>
              <w:jc w:val="center"/>
              <w:rPr>
                <w:sz w:val="18"/>
                <w:szCs w:val="18"/>
              </w:rPr>
            </w:pPr>
          </w:p>
        </w:tc>
      </w:tr>
      <w:tr w:rsidR="00AC6BDC" w14:paraId="774EACAD" w14:textId="77777777" w:rsidTr="003E56A6">
        <w:trPr>
          <w:trHeight w:hRule="exact" w:val="261"/>
        </w:trPr>
        <w:tc>
          <w:tcPr>
            <w:tcW w:w="0" w:type="auto"/>
            <w:tcBorders>
              <w:top w:val="nil"/>
              <w:left w:val="nil"/>
              <w:bottom w:val="nil"/>
              <w:right w:val="nil"/>
            </w:tcBorders>
            <w:vAlign w:val="center"/>
          </w:tcPr>
          <w:p w14:paraId="5AB80EAA" w14:textId="77777777" w:rsidR="00AC6BDC" w:rsidRPr="00CC4486" w:rsidRDefault="00AC6BDC" w:rsidP="003E56A6">
            <w:pPr>
              <w:widowControl w:val="0"/>
              <w:autoSpaceDE w:val="0"/>
              <w:autoSpaceDN w:val="0"/>
              <w:adjustRightInd w:val="0"/>
              <w:rPr>
                <w:sz w:val="18"/>
                <w:szCs w:val="18"/>
              </w:rPr>
            </w:pPr>
            <w:r w:rsidRPr="00CC4486">
              <w:rPr>
                <w:sz w:val="18"/>
                <w:szCs w:val="18"/>
              </w:rPr>
              <w:t>Intercompany Claims</w:t>
            </w:r>
          </w:p>
        </w:tc>
        <w:tc>
          <w:tcPr>
            <w:tcW w:w="0" w:type="auto"/>
            <w:tcBorders>
              <w:top w:val="nil"/>
              <w:left w:val="nil"/>
              <w:bottom w:val="nil"/>
              <w:right w:val="nil"/>
            </w:tcBorders>
            <w:vAlign w:val="center"/>
          </w:tcPr>
          <w:p w14:paraId="6217853E"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B5F9489"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CD20CA8"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13C6E6A"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66482C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0.273</w:t>
            </w:r>
            <w:r w:rsidRPr="00CC4486">
              <w:rPr>
                <w:sz w:val="18"/>
                <w:szCs w:val="18"/>
                <w:vertAlign w:val="superscript"/>
              </w:rPr>
              <w:t>**</w:t>
            </w:r>
          </w:p>
        </w:tc>
        <w:tc>
          <w:tcPr>
            <w:tcW w:w="0" w:type="auto"/>
            <w:tcBorders>
              <w:top w:val="nil"/>
              <w:left w:val="nil"/>
              <w:bottom w:val="nil"/>
              <w:right w:val="nil"/>
            </w:tcBorders>
            <w:vAlign w:val="center"/>
          </w:tcPr>
          <w:p w14:paraId="58F98420"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0.235</w:t>
            </w:r>
            <w:r w:rsidRPr="00CC4486">
              <w:rPr>
                <w:sz w:val="18"/>
                <w:szCs w:val="18"/>
                <w:vertAlign w:val="superscript"/>
              </w:rPr>
              <w:t>*</w:t>
            </w:r>
          </w:p>
        </w:tc>
      </w:tr>
      <w:tr w:rsidR="00AC6BDC" w14:paraId="50B91771" w14:textId="77777777" w:rsidTr="003E56A6">
        <w:trPr>
          <w:trHeight w:hRule="exact" w:val="261"/>
        </w:trPr>
        <w:tc>
          <w:tcPr>
            <w:tcW w:w="0" w:type="auto"/>
            <w:tcBorders>
              <w:top w:val="nil"/>
              <w:left w:val="nil"/>
              <w:bottom w:val="nil"/>
              <w:right w:val="nil"/>
            </w:tcBorders>
            <w:vAlign w:val="center"/>
          </w:tcPr>
          <w:p w14:paraId="20435CC4"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34A7EAE"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BEAAAE1"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4AA797E"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B03A513"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5E09CA0"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(0.0940)</w:t>
            </w:r>
          </w:p>
        </w:tc>
        <w:tc>
          <w:tcPr>
            <w:tcW w:w="0" w:type="auto"/>
            <w:tcBorders>
              <w:top w:val="nil"/>
              <w:left w:val="nil"/>
              <w:bottom w:val="nil"/>
              <w:right w:val="nil"/>
            </w:tcBorders>
            <w:vAlign w:val="center"/>
          </w:tcPr>
          <w:p w14:paraId="64E56DFB"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(0.0915)</w:t>
            </w:r>
          </w:p>
        </w:tc>
      </w:tr>
      <w:tr w:rsidR="00AC6BDC" w14:paraId="0FF5C630" w14:textId="77777777" w:rsidTr="003E56A6">
        <w:trPr>
          <w:trHeight w:hRule="exact" w:val="261"/>
        </w:trPr>
        <w:tc>
          <w:tcPr>
            <w:tcW w:w="0" w:type="auto"/>
            <w:tcBorders>
              <w:top w:val="nil"/>
              <w:left w:val="nil"/>
              <w:bottom w:val="nil"/>
              <w:right w:val="nil"/>
            </w:tcBorders>
            <w:vAlign w:val="center"/>
          </w:tcPr>
          <w:p w14:paraId="67C51B0C"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FAB82C4"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41C43FCB"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0D01721"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A14124B"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F0EC820"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520374A" w14:textId="77777777" w:rsidR="00AC6BDC" w:rsidRPr="00CC4486" w:rsidRDefault="00AC6BDC" w:rsidP="003E56A6">
            <w:pPr>
              <w:widowControl w:val="0"/>
              <w:autoSpaceDE w:val="0"/>
              <w:autoSpaceDN w:val="0"/>
              <w:adjustRightInd w:val="0"/>
              <w:jc w:val="center"/>
              <w:rPr>
                <w:sz w:val="18"/>
                <w:szCs w:val="18"/>
              </w:rPr>
            </w:pPr>
          </w:p>
        </w:tc>
      </w:tr>
      <w:tr w:rsidR="00AC6BDC" w14:paraId="231B6310" w14:textId="77777777" w:rsidTr="003E56A6">
        <w:trPr>
          <w:trHeight w:hRule="exact" w:val="261"/>
        </w:trPr>
        <w:tc>
          <w:tcPr>
            <w:tcW w:w="0" w:type="auto"/>
            <w:tcBorders>
              <w:top w:val="nil"/>
              <w:left w:val="nil"/>
              <w:bottom w:val="nil"/>
              <w:right w:val="nil"/>
            </w:tcBorders>
            <w:vAlign w:val="center"/>
          </w:tcPr>
          <w:p w14:paraId="62C0CAAB" w14:textId="77777777" w:rsidR="00AC6BDC" w:rsidRPr="00CC4486" w:rsidRDefault="00AC6BDC" w:rsidP="003E56A6">
            <w:pPr>
              <w:widowControl w:val="0"/>
              <w:autoSpaceDE w:val="0"/>
              <w:autoSpaceDN w:val="0"/>
              <w:adjustRightInd w:val="0"/>
              <w:rPr>
                <w:sz w:val="18"/>
                <w:szCs w:val="18"/>
              </w:rPr>
            </w:pPr>
            <w:r w:rsidRPr="00CC4486">
              <w:rPr>
                <w:sz w:val="18"/>
                <w:szCs w:val="18"/>
              </w:rPr>
              <w:t>Year</w:t>
            </w:r>
          </w:p>
        </w:tc>
        <w:tc>
          <w:tcPr>
            <w:tcW w:w="0" w:type="auto"/>
            <w:tcBorders>
              <w:top w:val="nil"/>
              <w:left w:val="nil"/>
              <w:bottom w:val="nil"/>
              <w:right w:val="nil"/>
            </w:tcBorders>
            <w:vAlign w:val="center"/>
          </w:tcPr>
          <w:p w14:paraId="192BFAE8"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474568A1"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4CCBB3DE"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DC01B26"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DDE4FEF"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4AD301C" w14:textId="77777777" w:rsidR="00AC6BDC" w:rsidRPr="00080C59" w:rsidRDefault="00AC6BDC" w:rsidP="003E56A6">
            <w:pPr>
              <w:widowControl w:val="0"/>
              <w:autoSpaceDE w:val="0"/>
              <w:autoSpaceDN w:val="0"/>
              <w:adjustRightInd w:val="0"/>
              <w:jc w:val="center"/>
              <w:rPr>
                <w:b/>
                <w:bCs/>
                <w:sz w:val="18"/>
                <w:szCs w:val="18"/>
              </w:rPr>
            </w:pPr>
            <w:r w:rsidRPr="00080C59">
              <w:rPr>
                <w:b/>
                <w:bCs/>
                <w:sz w:val="18"/>
                <w:szCs w:val="18"/>
              </w:rPr>
              <w:t>-0.0156</w:t>
            </w:r>
            <w:r w:rsidRPr="00080C59">
              <w:rPr>
                <w:b/>
                <w:bCs/>
                <w:sz w:val="18"/>
                <w:szCs w:val="18"/>
                <w:vertAlign w:val="superscript"/>
              </w:rPr>
              <w:t>***</w:t>
            </w:r>
          </w:p>
        </w:tc>
      </w:tr>
      <w:tr w:rsidR="00AC6BDC" w14:paraId="7F9FB7CC" w14:textId="77777777" w:rsidTr="003E56A6">
        <w:trPr>
          <w:trHeight w:hRule="exact" w:val="261"/>
        </w:trPr>
        <w:tc>
          <w:tcPr>
            <w:tcW w:w="0" w:type="auto"/>
            <w:tcBorders>
              <w:top w:val="nil"/>
              <w:left w:val="nil"/>
              <w:bottom w:val="nil"/>
              <w:right w:val="nil"/>
            </w:tcBorders>
            <w:vAlign w:val="center"/>
          </w:tcPr>
          <w:p w14:paraId="6CB41BD3"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49C64A3"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ECDAC24"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3519C4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CE4EFEF"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5D5A11C"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F926E57" w14:textId="77777777" w:rsidR="00AC6BDC" w:rsidRPr="00080C59" w:rsidRDefault="00AC6BDC" w:rsidP="003E56A6">
            <w:pPr>
              <w:widowControl w:val="0"/>
              <w:autoSpaceDE w:val="0"/>
              <w:autoSpaceDN w:val="0"/>
              <w:adjustRightInd w:val="0"/>
              <w:jc w:val="center"/>
              <w:rPr>
                <w:b/>
                <w:bCs/>
                <w:sz w:val="18"/>
                <w:szCs w:val="18"/>
              </w:rPr>
            </w:pPr>
            <w:r w:rsidRPr="00080C59">
              <w:rPr>
                <w:b/>
                <w:bCs/>
                <w:sz w:val="18"/>
                <w:szCs w:val="18"/>
              </w:rPr>
              <w:t>(0.00303)</w:t>
            </w:r>
          </w:p>
        </w:tc>
      </w:tr>
      <w:tr w:rsidR="00AC6BDC" w14:paraId="3B1EBA54" w14:textId="77777777" w:rsidTr="003E56A6">
        <w:trPr>
          <w:trHeight w:hRule="exact" w:val="261"/>
        </w:trPr>
        <w:tc>
          <w:tcPr>
            <w:tcW w:w="0" w:type="auto"/>
            <w:tcBorders>
              <w:top w:val="nil"/>
              <w:left w:val="nil"/>
              <w:bottom w:val="nil"/>
              <w:right w:val="nil"/>
            </w:tcBorders>
            <w:vAlign w:val="center"/>
          </w:tcPr>
          <w:p w14:paraId="2D5B1628"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1A6DB88D"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E4DBFA7"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7BE5FFC"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D74F2D5"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A949643"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1559415" w14:textId="77777777" w:rsidR="00AC6BDC" w:rsidRPr="00CC4486" w:rsidRDefault="00AC6BDC" w:rsidP="003E56A6">
            <w:pPr>
              <w:widowControl w:val="0"/>
              <w:autoSpaceDE w:val="0"/>
              <w:autoSpaceDN w:val="0"/>
              <w:adjustRightInd w:val="0"/>
              <w:jc w:val="center"/>
              <w:rPr>
                <w:sz w:val="18"/>
                <w:szCs w:val="18"/>
              </w:rPr>
            </w:pPr>
          </w:p>
        </w:tc>
      </w:tr>
      <w:tr w:rsidR="00AC6BDC" w14:paraId="71C386A2" w14:textId="77777777" w:rsidTr="003E56A6">
        <w:trPr>
          <w:trHeight w:hRule="exact" w:val="261"/>
        </w:trPr>
        <w:tc>
          <w:tcPr>
            <w:tcW w:w="0" w:type="auto"/>
            <w:tcBorders>
              <w:top w:val="nil"/>
              <w:left w:val="nil"/>
              <w:bottom w:val="nil"/>
              <w:right w:val="nil"/>
            </w:tcBorders>
            <w:vAlign w:val="center"/>
          </w:tcPr>
          <w:p w14:paraId="24DEF40C" w14:textId="77777777" w:rsidR="00AC6BDC" w:rsidRPr="00CC4486" w:rsidRDefault="00AC6BDC" w:rsidP="003E56A6">
            <w:pPr>
              <w:widowControl w:val="0"/>
              <w:autoSpaceDE w:val="0"/>
              <w:autoSpaceDN w:val="0"/>
              <w:adjustRightInd w:val="0"/>
              <w:rPr>
                <w:sz w:val="18"/>
                <w:szCs w:val="18"/>
              </w:rPr>
            </w:pPr>
            <w:r w:rsidRPr="00CC4486">
              <w:rPr>
                <w:sz w:val="18"/>
                <w:szCs w:val="18"/>
              </w:rPr>
              <w:t>Industry</w:t>
            </w:r>
          </w:p>
        </w:tc>
        <w:tc>
          <w:tcPr>
            <w:tcW w:w="0" w:type="auto"/>
            <w:tcBorders>
              <w:top w:val="nil"/>
              <w:left w:val="nil"/>
              <w:bottom w:val="nil"/>
              <w:right w:val="nil"/>
            </w:tcBorders>
            <w:vAlign w:val="center"/>
          </w:tcPr>
          <w:p w14:paraId="1845276F"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nil"/>
              <w:right w:val="nil"/>
            </w:tcBorders>
            <w:vAlign w:val="center"/>
          </w:tcPr>
          <w:p w14:paraId="3006943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077088A7"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03372884"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761A0C1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604FD5A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r>
      <w:tr w:rsidR="00AC6BDC" w14:paraId="054F2E4F" w14:textId="77777777" w:rsidTr="003E56A6">
        <w:trPr>
          <w:trHeight w:hRule="exact" w:val="261"/>
        </w:trPr>
        <w:tc>
          <w:tcPr>
            <w:tcW w:w="0" w:type="auto"/>
            <w:tcBorders>
              <w:top w:val="nil"/>
              <w:left w:val="nil"/>
              <w:bottom w:val="nil"/>
              <w:right w:val="nil"/>
            </w:tcBorders>
            <w:vAlign w:val="center"/>
          </w:tcPr>
          <w:p w14:paraId="7510EC6F"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254B5AA2"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6E0B983"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639CD6E"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28AAB95"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4CE55CED"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62ADC39" w14:textId="77777777" w:rsidR="00AC6BDC" w:rsidRPr="00CC4486" w:rsidRDefault="00AC6BDC" w:rsidP="003E56A6">
            <w:pPr>
              <w:widowControl w:val="0"/>
              <w:autoSpaceDE w:val="0"/>
              <w:autoSpaceDN w:val="0"/>
              <w:adjustRightInd w:val="0"/>
              <w:jc w:val="center"/>
              <w:rPr>
                <w:sz w:val="18"/>
                <w:szCs w:val="18"/>
              </w:rPr>
            </w:pPr>
          </w:p>
        </w:tc>
      </w:tr>
      <w:tr w:rsidR="00AC6BDC" w14:paraId="31C36B91" w14:textId="77777777" w:rsidTr="003E56A6">
        <w:trPr>
          <w:trHeight w:hRule="exact" w:val="261"/>
        </w:trPr>
        <w:tc>
          <w:tcPr>
            <w:tcW w:w="0" w:type="auto"/>
            <w:tcBorders>
              <w:top w:val="nil"/>
              <w:left w:val="nil"/>
              <w:bottom w:val="nil"/>
              <w:right w:val="nil"/>
            </w:tcBorders>
            <w:vAlign w:val="center"/>
          </w:tcPr>
          <w:p w14:paraId="49B037A2" w14:textId="77777777" w:rsidR="00AC6BDC" w:rsidRPr="00CC4486" w:rsidRDefault="00AC6BDC" w:rsidP="003E56A6">
            <w:pPr>
              <w:widowControl w:val="0"/>
              <w:autoSpaceDE w:val="0"/>
              <w:autoSpaceDN w:val="0"/>
              <w:adjustRightInd w:val="0"/>
              <w:rPr>
                <w:sz w:val="18"/>
                <w:szCs w:val="18"/>
              </w:rPr>
            </w:pPr>
            <w:r w:rsidRPr="00CC4486">
              <w:rPr>
                <w:sz w:val="18"/>
                <w:szCs w:val="18"/>
              </w:rPr>
              <w:t>Advisors</w:t>
            </w:r>
          </w:p>
        </w:tc>
        <w:tc>
          <w:tcPr>
            <w:tcW w:w="0" w:type="auto"/>
            <w:tcBorders>
              <w:top w:val="nil"/>
              <w:left w:val="nil"/>
              <w:bottom w:val="nil"/>
              <w:right w:val="nil"/>
            </w:tcBorders>
            <w:vAlign w:val="center"/>
          </w:tcPr>
          <w:p w14:paraId="08531EC4"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nil"/>
              <w:right w:val="nil"/>
            </w:tcBorders>
            <w:vAlign w:val="center"/>
          </w:tcPr>
          <w:p w14:paraId="77D001AB"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nil"/>
              <w:right w:val="nil"/>
            </w:tcBorders>
            <w:vAlign w:val="center"/>
          </w:tcPr>
          <w:p w14:paraId="01DCED5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138AE686"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52BA5F1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52DE35D1"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r>
      <w:tr w:rsidR="00AC6BDC" w14:paraId="240D2EED" w14:textId="77777777" w:rsidTr="003E56A6">
        <w:trPr>
          <w:trHeight w:hRule="exact" w:val="261"/>
        </w:trPr>
        <w:tc>
          <w:tcPr>
            <w:tcW w:w="0" w:type="auto"/>
            <w:tcBorders>
              <w:top w:val="nil"/>
              <w:left w:val="nil"/>
              <w:bottom w:val="nil"/>
              <w:right w:val="nil"/>
            </w:tcBorders>
            <w:vAlign w:val="center"/>
          </w:tcPr>
          <w:p w14:paraId="31026EF2" w14:textId="77777777" w:rsidR="00AC6BDC" w:rsidRPr="00CC4486" w:rsidRDefault="00AC6BDC"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45670884"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CBE7830"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21580CF"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DFB67F5"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0CFE4EA" w14:textId="77777777" w:rsidR="00AC6BDC" w:rsidRPr="00CC4486" w:rsidRDefault="00AC6BDC"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28DC6B7" w14:textId="77777777" w:rsidR="00AC6BDC" w:rsidRPr="00CC4486" w:rsidRDefault="00AC6BDC" w:rsidP="003E56A6">
            <w:pPr>
              <w:widowControl w:val="0"/>
              <w:autoSpaceDE w:val="0"/>
              <w:autoSpaceDN w:val="0"/>
              <w:adjustRightInd w:val="0"/>
              <w:jc w:val="center"/>
              <w:rPr>
                <w:sz w:val="18"/>
                <w:szCs w:val="18"/>
              </w:rPr>
            </w:pPr>
          </w:p>
        </w:tc>
      </w:tr>
      <w:tr w:rsidR="00AC6BDC" w14:paraId="776368CC" w14:textId="77777777" w:rsidTr="003E56A6">
        <w:trPr>
          <w:trHeight w:hRule="exact" w:val="261"/>
        </w:trPr>
        <w:tc>
          <w:tcPr>
            <w:tcW w:w="0" w:type="auto"/>
            <w:tcBorders>
              <w:top w:val="nil"/>
              <w:left w:val="nil"/>
              <w:bottom w:val="single" w:sz="4" w:space="0" w:color="auto"/>
              <w:right w:val="nil"/>
            </w:tcBorders>
            <w:vAlign w:val="center"/>
          </w:tcPr>
          <w:p w14:paraId="28CE08C6" w14:textId="77777777" w:rsidR="00AC6BDC" w:rsidRPr="00CC4486" w:rsidRDefault="00AC6BDC" w:rsidP="003E56A6">
            <w:pPr>
              <w:widowControl w:val="0"/>
              <w:autoSpaceDE w:val="0"/>
              <w:autoSpaceDN w:val="0"/>
              <w:adjustRightInd w:val="0"/>
              <w:rPr>
                <w:sz w:val="18"/>
                <w:szCs w:val="18"/>
              </w:rPr>
            </w:pPr>
            <w:r w:rsidRPr="00CC4486">
              <w:rPr>
                <w:sz w:val="18"/>
                <w:szCs w:val="18"/>
              </w:rPr>
              <w:t>Court</w:t>
            </w:r>
          </w:p>
        </w:tc>
        <w:tc>
          <w:tcPr>
            <w:tcW w:w="0" w:type="auto"/>
            <w:tcBorders>
              <w:top w:val="nil"/>
              <w:left w:val="nil"/>
              <w:bottom w:val="single" w:sz="4" w:space="0" w:color="auto"/>
              <w:right w:val="nil"/>
            </w:tcBorders>
            <w:vAlign w:val="center"/>
          </w:tcPr>
          <w:p w14:paraId="0333632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single" w:sz="4" w:space="0" w:color="auto"/>
              <w:right w:val="nil"/>
            </w:tcBorders>
            <w:vAlign w:val="center"/>
          </w:tcPr>
          <w:p w14:paraId="656EC29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single" w:sz="4" w:space="0" w:color="auto"/>
              <w:right w:val="nil"/>
            </w:tcBorders>
            <w:vAlign w:val="center"/>
          </w:tcPr>
          <w:p w14:paraId="652C7113"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single" w:sz="4" w:space="0" w:color="auto"/>
              <w:right w:val="nil"/>
            </w:tcBorders>
            <w:vAlign w:val="center"/>
          </w:tcPr>
          <w:p w14:paraId="74FAE2A8"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single" w:sz="4" w:space="0" w:color="auto"/>
              <w:right w:val="nil"/>
            </w:tcBorders>
            <w:vAlign w:val="center"/>
          </w:tcPr>
          <w:p w14:paraId="57D6316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c>
          <w:tcPr>
            <w:tcW w:w="0" w:type="auto"/>
            <w:tcBorders>
              <w:top w:val="nil"/>
              <w:left w:val="nil"/>
              <w:bottom w:val="single" w:sz="4" w:space="0" w:color="auto"/>
              <w:right w:val="nil"/>
            </w:tcBorders>
            <w:vAlign w:val="center"/>
          </w:tcPr>
          <w:p w14:paraId="4F33201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No</w:t>
            </w:r>
          </w:p>
        </w:tc>
      </w:tr>
      <w:tr w:rsidR="00AC6BDC" w14:paraId="647B09D0" w14:textId="77777777" w:rsidTr="003E56A6">
        <w:trPr>
          <w:trHeight w:hRule="exact" w:val="261"/>
        </w:trPr>
        <w:tc>
          <w:tcPr>
            <w:tcW w:w="0" w:type="auto"/>
            <w:tcBorders>
              <w:top w:val="single" w:sz="4" w:space="0" w:color="auto"/>
              <w:left w:val="nil"/>
              <w:bottom w:val="nil"/>
              <w:right w:val="nil"/>
            </w:tcBorders>
            <w:vAlign w:val="center"/>
          </w:tcPr>
          <w:p w14:paraId="3BB854C5" w14:textId="77777777" w:rsidR="00AC6BDC" w:rsidRPr="00CC4486" w:rsidRDefault="00AC6BDC" w:rsidP="003E56A6">
            <w:pPr>
              <w:widowControl w:val="0"/>
              <w:autoSpaceDE w:val="0"/>
              <w:autoSpaceDN w:val="0"/>
              <w:adjustRightInd w:val="0"/>
              <w:rPr>
                <w:sz w:val="18"/>
                <w:szCs w:val="18"/>
              </w:rPr>
            </w:pPr>
            <w:r w:rsidRPr="00CC4486">
              <w:rPr>
                <w:i/>
                <w:iCs/>
                <w:sz w:val="18"/>
                <w:szCs w:val="18"/>
              </w:rPr>
              <w:t>R</w:t>
            </w:r>
            <w:r w:rsidRPr="00CC4486">
              <w:rPr>
                <w:sz w:val="18"/>
                <w:szCs w:val="18"/>
                <w:vertAlign w:val="superscript"/>
              </w:rPr>
              <w:t>2</w:t>
            </w:r>
          </w:p>
        </w:tc>
        <w:tc>
          <w:tcPr>
            <w:tcW w:w="0" w:type="auto"/>
            <w:tcBorders>
              <w:top w:val="single" w:sz="4" w:space="0" w:color="auto"/>
              <w:left w:val="nil"/>
              <w:bottom w:val="nil"/>
              <w:right w:val="nil"/>
            </w:tcBorders>
            <w:vAlign w:val="center"/>
          </w:tcPr>
          <w:p w14:paraId="2998CA62"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0.134</w:t>
            </w:r>
          </w:p>
        </w:tc>
        <w:tc>
          <w:tcPr>
            <w:tcW w:w="0" w:type="auto"/>
            <w:tcBorders>
              <w:top w:val="single" w:sz="4" w:space="0" w:color="auto"/>
              <w:left w:val="nil"/>
              <w:bottom w:val="nil"/>
              <w:right w:val="nil"/>
            </w:tcBorders>
            <w:vAlign w:val="center"/>
          </w:tcPr>
          <w:p w14:paraId="6598C9A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0.152</w:t>
            </w:r>
          </w:p>
        </w:tc>
        <w:tc>
          <w:tcPr>
            <w:tcW w:w="0" w:type="auto"/>
            <w:tcBorders>
              <w:top w:val="single" w:sz="4" w:space="0" w:color="auto"/>
              <w:left w:val="nil"/>
              <w:bottom w:val="nil"/>
              <w:right w:val="nil"/>
            </w:tcBorders>
            <w:vAlign w:val="center"/>
          </w:tcPr>
          <w:p w14:paraId="317CBA0D"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0.232</w:t>
            </w:r>
          </w:p>
        </w:tc>
        <w:tc>
          <w:tcPr>
            <w:tcW w:w="0" w:type="auto"/>
            <w:tcBorders>
              <w:top w:val="single" w:sz="4" w:space="0" w:color="auto"/>
              <w:left w:val="nil"/>
              <w:bottom w:val="nil"/>
              <w:right w:val="nil"/>
            </w:tcBorders>
            <w:vAlign w:val="center"/>
          </w:tcPr>
          <w:p w14:paraId="18FA48E9"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0.233</w:t>
            </w:r>
          </w:p>
        </w:tc>
        <w:tc>
          <w:tcPr>
            <w:tcW w:w="0" w:type="auto"/>
            <w:tcBorders>
              <w:top w:val="single" w:sz="4" w:space="0" w:color="auto"/>
              <w:left w:val="nil"/>
              <w:bottom w:val="nil"/>
              <w:right w:val="nil"/>
            </w:tcBorders>
            <w:vAlign w:val="center"/>
          </w:tcPr>
          <w:p w14:paraId="54CBD15C"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0.240</w:t>
            </w:r>
          </w:p>
        </w:tc>
        <w:tc>
          <w:tcPr>
            <w:tcW w:w="0" w:type="auto"/>
            <w:tcBorders>
              <w:top w:val="single" w:sz="4" w:space="0" w:color="auto"/>
              <w:left w:val="nil"/>
              <w:bottom w:val="nil"/>
              <w:right w:val="nil"/>
            </w:tcBorders>
            <w:vAlign w:val="center"/>
          </w:tcPr>
          <w:p w14:paraId="2A2B9189"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0.267</w:t>
            </w:r>
          </w:p>
        </w:tc>
      </w:tr>
      <w:tr w:rsidR="00AC6BDC" w14:paraId="581171AD" w14:textId="77777777" w:rsidTr="003E56A6">
        <w:trPr>
          <w:trHeight w:hRule="exact" w:val="261"/>
        </w:trPr>
        <w:tc>
          <w:tcPr>
            <w:tcW w:w="0" w:type="auto"/>
            <w:tcBorders>
              <w:top w:val="nil"/>
              <w:left w:val="nil"/>
              <w:bottom w:val="single" w:sz="4" w:space="0" w:color="auto"/>
              <w:right w:val="nil"/>
            </w:tcBorders>
            <w:vAlign w:val="center"/>
          </w:tcPr>
          <w:p w14:paraId="5F34509E" w14:textId="77777777" w:rsidR="00AC6BDC" w:rsidRPr="00CC4486" w:rsidRDefault="00AC6BDC" w:rsidP="003E56A6">
            <w:pPr>
              <w:widowControl w:val="0"/>
              <w:autoSpaceDE w:val="0"/>
              <w:autoSpaceDN w:val="0"/>
              <w:adjustRightInd w:val="0"/>
              <w:rPr>
                <w:sz w:val="18"/>
                <w:szCs w:val="18"/>
              </w:rPr>
            </w:pPr>
            <w:r w:rsidRPr="00CC4486">
              <w:rPr>
                <w:i/>
                <w:iCs/>
                <w:sz w:val="18"/>
                <w:szCs w:val="18"/>
              </w:rPr>
              <w:t>N</w:t>
            </w:r>
          </w:p>
        </w:tc>
        <w:tc>
          <w:tcPr>
            <w:tcW w:w="0" w:type="auto"/>
            <w:tcBorders>
              <w:top w:val="nil"/>
              <w:left w:val="nil"/>
              <w:bottom w:val="single" w:sz="4" w:space="0" w:color="auto"/>
              <w:right w:val="nil"/>
            </w:tcBorders>
            <w:vAlign w:val="center"/>
          </w:tcPr>
          <w:p w14:paraId="7505B85A"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825</w:t>
            </w:r>
          </w:p>
        </w:tc>
        <w:tc>
          <w:tcPr>
            <w:tcW w:w="0" w:type="auto"/>
            <w:tcBorders>
              <w:top w:val="nil"/>
              <w:left w:val="nil"/>
              <w:bottom w:val="single" w:sz="4" w:space="0" w:color="auto"/>
              <w:right w:val="nil"/>
            </w:tcBorders>
            <w:vAlign w:val="center"/>
          </w:tcPr>
          <w:p w14:paraId="777E57AB"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825</w:t>
            </w:r>
          </w:p>
        </w:tc>
        <w:tc>
          <w:tcPr>
            <w:tcW w:w="0" w:type="auto"/>
            <w:tcBorders>
              <w:top w:val="nil"/>
              <w:left w:val="nil"/>
              <w:bottom w:val="single" w:sz="4" w:space="0" w:color="auto"/>
              <w:right w:val="nil"/>
            </w:tcBorders>
            <w:vAlign w:val="center"/>
          </w:tcPr>
          <w:p w14:paraId="44F62871"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825</w:t>
            </w:r>
          </w:p>
        </w:tc>
        <w:tc>
          <w:tcPr>
            <w:tcW w:w="0" w:type="auto"/>
            <w:tcBorders>
              <w:top w:val="nil"/>
              <w:left w:val="nil"/>
              <w:bottom w:val="single" w:sz="4" w:space="0" w:color="auto"/>
              <w:right w:val="nil"/>
            </w:tcBorders>
            <w:vAlign w:val="center"/>
          </w:tcPr>
          <w:p w14:paraId="327A517E"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824</w:t>
            </w:r>
          </w:p>
        </w:tc>
        <w:tc>
          <w:tcPr>
            <w:tcW w:w="0" w:type="auto"/>
            <w:tcBorders>
              <w:top w:val="nil"/>
              <w:left w:val="nil"/>
              <w:bottom w:val="single" w:sz="4" w:space="0" w:color="auto"/>
              <w:right w:val="nil"/>
            </w:tcBorders>
            <w:vAlign w:val="center"/>
          </w:tcPr>
          <w:p w14:paraId="19950B78"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825</w:t>
            </w:r>
          </w:p>
        </w:tc>
        <w:tc>
          <w:tcPr>
            <w:tcW w:w="0" w:type="auto"/>
            <w:tcBorders>
              <w:top w:val="nil"/>
              <w:left w:val="nil"/>
              <w:bottom w:val="single" w:sz="4" w:space="0" w:color="auto"/>
              <w:right w:val="nil"/>
            </w:tcBorders>
            <w:vAlign w:val="center"/>
          </w:tcPr>
          <w:p w14:paraId="05E5B305" w14:textId="77777777" w:rsidR="00AC6BDC" w:rsidRPr="00CC4486" w:rsidRDefault="00AC6BDC" w:rsidP="003E56A6">
            <w:pPr>
              <w:widowControl w:val="0"/>
              <w:autoSpaceDE w:val="0"/>
              <w:autoSpaceDN w:val="0"/>
              <w:adjustRightInd w:val="0"/>
              <w:jc w:val="center"/>
              <w:rPr>
                <w:sz w:val="18"/>
                <w:szCs w:val="18"/>
              </w:rPr>
            </w:pPr>
            <w:r w:rsidRPr="00CC4486">
              <w:rPr>
                <w:sz w:val="18"/>
                <w:szCs w:val="18"/>
              </w:rPr>
              <w:t>825</w:t>
            </w:r>
          </w:p>
        </w:tc>
      </w:tr>
    </w:tbl>
    <w:p w14:paraId="3042CFCB" w14:textId="77777777" w:rsidR="00AC6BDC" w:rsidRDefault="00AC6BDC" w:rsidP="00AC6BDC">
      <w:pPr>
        <w:ind w:firstLine="288"/>
      </w:pPr>
    </w:p>
    <w:p w14:paraId="01630D19" w14:textId="77777777" w:rsidR="00BD5D53" w:rsidRDefault="00BD5D53" w:rsidP="00A0593F">
      <w:pPr>
        <w:ind w:firstLine="288"/>
      </w:pPr>
    </w:p>
    <w:p w14:paraId="26806EF5" w14:textId="098E0661" w:rsidR="00BD5D53" w:rsidRPr="00BD5D53" w:rsidRDefault="00BD5D53" w:rsidP="00CA09FB">
      <w:pPr>
        <w:widowControl w:val="0"/>
        <w:autoSpaceDE w:val="0"/>
        <w:autoSpaceDN w:val="0"/>
        <w:adjustRightInd w:val="0"/>
        <w:jc w:val="both"/>
        <w:rPr>
          <w:sz w:val="16"/>
          <w:szCs w:val="16"/>
        </w:rPr>
      </w:pPr>
      <w:r w:rsidRPr="00BD5D53">
        <w:rPr>
          <w:sz w:val="16"/>
          <w:szCs w:val="16"/>
        </w:rPr>
        <w:t>Robust standard errors in parentheses.  Linear probability model is shown; result</w:t>
      </w:r>
      <w:r w:rsidR="00ED258B">
        <w:rPr>
          <w:sz w:val="16"/>
          <w:szCs w:val="16"/>
        </w:rPr>
        <w:t>s</w:t>
      </w:r>
      <w:r w:rsidRPr="00BD5D53">
        <w:rPr>
          <w:sz w:val="16"/>
          <w:szCs w:val="16"/>
        </w:rPr>
        <w:t xml:space="preserve"> are qualitatively similar with logit or probit models. Main results are robust to clustering standard errors at the year level or using classical standard errors. </w:t>
      </w:r>
      <w:r w:rsidR="00670AFF" w:rsidRPr="00BD5D53">
        <w:rPr>
          <w:sz w:val="16"/>
          <w:szCs w:val="16"/>
        </w:rPr>
        <w:t>Assets and</w:t>
      </w:r>
      <w:r w:rsidR="00670AFF" w:rsidRPr="007A175C">
        <w:rPr>
          <w:caps/>
          <w:sz w:val="16"/>
          <w:szCs w:val="16"/>
        </w:rPr>
        <w:t xml:space="preserve"> Ebit </w:t>
      </w:r>
      <w:r w:rsidR="00670AFF" w:rsidRPr="00BD5D53">
        <w:rPr>
          <w:sz w:val="16"/>
          <w:szCs w:val="16"/>
        </w:rPr>
        <w:t xml:space="preserve">are in real </w:t>
      </w:r>
      <w:r w:rsidR="00670AFF">
        <w:rPr>
          <w:sz w:val="16"/>
          <w:szCs w:val="16"/>
        </w:rPr>
        <w:t>2022</w:t>
      </w:r>
      <w:r w:rsidR="00657224">
        <w:rPr>
          <w:sz w:val="16"/>
          <w:szCs w:val="16"/>
        </w:rPr>
        <w:t>-</w:t>
      </w:r>
      <w:r w:rsidR="00670AFF">
        <w:rPr>
          <w:sz w:val="16"/>
          <w:szCs w:val="16"/>
        </w:rPr>
        <w:t xml:space="preserve">dollar </w:t>
      </w:r>
      <w:r w:rsidR="00670AFF" w:rsidRPr="00BD5D53">
        <w:rPr>
          <w:sz w:val="16"/>
          <w:szCs w:val="16"/>
        </w:rPr>
        <w:t xml:space="preserve">terms. </w:t>
      </w:r>
      <w:r w:rsidR="00670AFF">
        <w:rPr>
          <w:sz w:val="16"/>
          <w:szCs w:val="16"/>
        </w:rPr>
        <w:t xml:space="preserve">Log assets are the natural logarithm of assets at petition in millions of real dollars. Assets at petition come from schedule A of the Bankruptcy petition or the first 10-K or 10-Q filed during the bankruptcy.  EBIT comes from the last 10-K filed before bankruptcy and is in billions of real 2022 dollars. </w:t>
      </w:r>
      <w:r w:rsidRPr="00BD5D53">
        <w:rPr>
          <w:sz w:val="16"/>
          <w:szCs w:val="16"/>
        </w:rPr>
        <w:t>The following are binary indicator variables: Obtained DIP Financing and Intercompany Claims. Industry control indicators use Fama</w:t>
      </w:r>
      <w:r w:rsidR="009A63D2">
        <w:rPr>
          <w:sz w:val="16"/>
          <w:szCs w:val="16"/>
        </w:rPr>
        <w:t>–</w:t>
      </w:r>
      <w:r w:rsidRPr="00BD5D53">
        <w:rPr>
          <w:sz w:val="16"/>
          <w:szCs w:val="16"/>
        </w:rPr>
        <w:t>French 5-industry classification. The Advisors indicator controls for the attorneys for the debtor and the creditors committee. The court indicator variables control for filings in NY, DE, or other. Court also includes judicial experience, defined as the number of years of experience the bankruptcy judge had on the bench as of the bankruptcy filing date. Court variables were not statistically significant predictors.</w:t>
      </w:r>
    </w:p>
    <w:p w14:paraId="282D7323" w14:textId="77777777" w:rsidR="00BD5D53" w:rsidRPr="00BD5D53" w:rsidRDefault="00BD5D53" w:rsidP="00CA09FB">
      <w:pPr>
        <w:widowControl w:val="0"/>
        <w:autoSpaceDE w:val="0"/>
        <w:autoSpaceDN w:val="0"/>
        <w:adjustRightInd w:val="0"/>
        <w:jc w:val="both"/>
        <w:rPr>
          <w:sz w:val="16"/>
          <w:szCs w:val="16"/>
        </w:rPr>
      </w:pP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0.10,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0.05,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0.01,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0.001</w:t>
      </w:r>
    </w:p>
    <w:p w14:paraId="5E0C4781" w14:textId="77777777" w:rsidR="00BD5D53" w:rsidRDefault="00BD5D53" w:rsidP="00A0593F">
      <w:pPr>
        <w:ind w:firstLine="288"/>
      </w:pPr>
    </w:p>
    <w:p w14:paraId="21FCAF0D" w14:textId="77777777" w:rsidR="00BD5D53" w:rsidRDefault="00BD5D53" w:rsidP="00A0593F">
      <w:pPr>
        <w:ind w:firstLine="288"/>
      </w:pPr>
    </w:p>
    <w:p w14:paraId="6BFD6616" w14:textId="77777777" w:rsidR="00B474F7" w:rsidRDefault="00B474F7">
      <w:pPr>
        <w:rPr>
          <w:b/>
          <w:bCs/>
        </w:rPr>
      </w:pPr>
      <w:r>
        <w:rPr>
          <w:b/>
          <w:bCs/>
        </w:rPr>
        <w:br w:type="page"/>
      </w:r>
    </w:p>
    <w:p w14:paraId="5A8AC734" w14:textId="77777777" w:rsidR="00155FCB" w:rsidRPr="00A33557" w:rsidRDefault="00155FCB" w:rsidP="00155FCB">
      <w:pPr>
        <w:keepNext/>
        <w:widowControl w:val="0"/>
        <w:autoSpaceDE w:val="0"/>
        <w:autoSpaceDN w:val="0"/>
        <w:adjustRightInd w:val="0"/>
        <w:rPr>
          <w:b/>
          <w:bCs/>
        </w:rPr>
      </w:pPr>
      <w:bookmarkStart w:id="41" w:name="Table2"/>
      <w:bookmarkEnd w:id="41"/>
      <w:r w:rsidRPr="00A33557">
        <w:rPr>
          <w:b/>
          <w:bCs/>
        </w:rPr>
        <w:lastRenderedPageBreak/>
        <w:t>Table 2: Late Predictors and Correlates of Emergence as a Publicly Traded Company</w:t>
      </w:r>
    </w:p>
    <w:p w14:paraId="19090802" w14:textId="77777777" w:rsidR="00155FCB" w:rsidRDefault="00155FCB" w:rsidP="00155FCB">
      <w:pPr>
        <w:ind w:firstLine="288"/>
      </w:pPr>
    </w:p>
    <w:tbl>
      <w:tblPr>
        <w:tblW w:w="6786" w:type="dxa"/>
        <w:tblLook w:val="0000" w:firstRow="0" w:lastRow="0" w:firstColumn="0" w:lastColumn="0" w:noHBand="0" w:noVBand="0"/>
      </w:tblPr>
      <w:tblGrid>
        <w:gridCol w:w="2071"/>
        <w:gridCol w:w="2783"/>
        <w:gridCol w:w="981"/>
        <w:gridCol w:w="951"/>
      </w:tblGrid>
      <w:tr w:rsidR="00155FCB" w14:paraId="2835E6D0" w14:textId="77777777" w:rsidTr="003E56A6">
        <w:tc>
          <w:tcPr>
            <w:tcW w:w="0" w:type="auto"/>
            <w:tcBorders>
              <w:top w:val="double" w:sz="4" w:space="0" w:color="auto"/>
              <w:left w:val="nil"/>
              <w:bottom w:val="nil"/>
              <w:right w:val="nil"/>
            </w:tcBorders>
            <w:vAlign w:val="center"/>
          </w:tcPr>
          <w:p w14:paraId="0A8500B5" w14:textId="77777777" w:rsidR="00155FCB" w:rsidRPr="00210CAD" w:rsidRDefault="00155FCB" w:rsidP="003E56A6">
            <w:pPr>
              <w:widowControl w:val="0"/>
              <w:autoSpaceDE w:val="0"/>
              <w:autoSpaceDN w:val="0"/>
              <w:adjustRightInd w:val="0"/>
              <w:jc w:val="center"/>
              <w:rPr>
                <w:sz w:val="21"/>
                <w:szCs w:val="21"/>
              </w:rPr>
            </w:pPr>
          </w:p>
        </w:tc>
        <w:tc>
          <w:tcPr>
            <w:tcW w:w="0" w:type="auto"/>
            <w:tcBorders>
              <w:top w:val="double" w:sz="4" w:space="0" w:color="auto"/>
              <w:left w:val="nil"/>
              <w:bottom w:val="nil"/>
              <w:right w:val="nil"/>
            </w:tcBorders>
            <w:vAlign w:val="center"/>
          </w:tcPr>
          <w:p w14:paraId="2B78DA46"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(1)</w:t>
            </w:r>
          </w:p>
        </w:tc>
        <w:tc>
          <w:tcPr>
            <w:tcW w:w="0" w:type="auto"/>
            <w:tcBorders>
              <w:top w:val="double" w:sz="4" w:space="0" w:color="auto"/>
              <w:left w:val="nil"/>
              <w:bottom w:val="nil"/>
              <w:right w:val="nil"/>
            </w:tcBorders>
            <w:vAlign w:val="center"/>
          </w:tcPr>
          <w:p w14:paraId="565A83F3"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(2)</w:t>
            </w:r>
          </w:p>
        </w:tc>
        <w:tc>
          <w:tcPr>
            <w:tcW w:w="0" w:type="auto"/>
            <w:tcBorders>
              <w:top w:val="double" w:sz="4" w:space="0" w:color="auto"/>
              <w:left w:val="nil"/>
              <w:bottom w:val="nil"/>
              <w:right w:val="nil"/>
            </w:tcBorders>
            <w:vAlign w:val="center"/>
          </w:tcPr>
          <w:p w14:paraId="6984D6EB"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(3)</w:t>
            </w:r>
          </w:p>
        </w:tc>
      </w:tr>
      <w:tr w:rsidR="00155FCB" w14:paraId="3DE3A566" w14:textId="77777777" w:rsidTr="003E56A6">
        <w:tc>
          <w:tcPr>
            <w:tcW w:w="0" w:type="auto"/>
            <w:tcBorders>
              <w:top w:val="nil"/>
              <w:left w:val="nil"/>
              <w:bottom w:val="nil"/>
              <w:right w:val="nil"/>
            </w:tcBorders>
            <w:vAlign w:val="center"/>
          </w:tcPr>
          <w:p w14:paraId="36E4938D" w14:textId="77777777" w:rsidR="00155FCB" w:rsidRPr="00210CAD" w:rsidRDefault="00155FCB" w:rsidP="003E56A6">
            <w:pPr>
              <w:widowControl w:val="0"/>
              <w:autoSpaceDE w:val="0"/>
              <w:autoSpaceDN w:val="0"/>
              <w:adjustRightInd w:val="0"/>
              <w:jc w:val="center"/>
              <w:rPr>
                <w:sz w:val="21"/>
                <w:szCs w:val="21"/>
              </w:rPr>
            </w:pPr>
          </w:p>
        </w:tc>
        <w:tc>
          <w:tcPr>
            <w:tcW w:w="0" w:type="auto"/>
            <w:tcBorders>
              <w:top w:val="nil"/>
              <w:left w:val="nil"/>
              <w:bottom w:val="nil"/>
              <w:right w:val="nil"/>
            </w:tcBorders>
            <w:vAlign w:val="center"/>
          </w:tcPr>
          <w:p w14:paraId="79FD67D4"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Duration &amp; Exit Interest Rates</w:t>
            </w:r>
          </w:p>
        </w:tc>
        <w:tc>
          <w:tcPr>
            <w:tcW w:w="0" w:type="auto"/>
            <w:tcBorders>
              <w:top w:val="nil"/>
              <w:left w:val="nil"/>
              <w:bottom w:val="nil"/>
              <w:right w:val="nil"/>
            </w:tcBorders>
            <w:vAlign w:val="center"/>
          </w:tcPr>
          <w:p w14:paraId="09852788"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 xml:space="preserve">363 </w:t>
            </w:r>
            <w:r>
              <w:rPr>
                <w:sz w:val="21"/>
                <w:szCs w:val="21"/>
              </w:rPr>
              <w:t>S</w:t>
            </w:r>
            <w:r w:rsidRPr="00210CAD">
              <w:rPr>
                <w:sz w:val="21"/>
                <w:szCs w:val="21"/>
              </w:rPr>
              <w:t>ale</w:t>
            </w:r>
          </w:p>
        </w:tc>
        <w:tc>
          <w:tcPr>
            <w:tcW w:w="0" w:type="auto"/>
            <w:tcBorders>
              <w:top w:val="nil"/>
              <w:left w:val="nil"/>
              <w:bottom w:val="nil"/>
              <w:right w:val="nil"/>
            </w:tcBorders>
            <w:vAlign w:val="center"/>
          </w:tcPr>
          <w:p w14:paraId="544A3517" w14:textId="77777777" w:rsidR="00155FCB" w:rsidRPr="00210CAD" w:rsidRDefault="00155FCB" w:rsidP="003E56A6">
            <w:pPr>
              <w:widowControl w:val="0"/>
              <w:autoSpaceDE w:val="0"/>
              <w:autoSpaceDN w:val="0"/>
              <w:adjustRightInd w:val="0"/>
              <w:jc w:val="center"/>
              <w:rPr>
                <w:sz w:val="21"/>
                <w:szCs w:val="21"/>
              </w:rPr>
            </w:pPr>
            <w:r w:rsidRPr="00210CAD">
              <w:rPr>
                <w:sz w:val="21"/>
                <w:szCs w:val="21"/>
              </w:rPr>
              <w:t>Trend</w:t>
            </w:r>
          </w:p>
        </w:tc>
      </w:tr>
      <w:tr w:rsidR="00155FCB" w14:paraId="47B8CF13" w14:textId="77777777" w:rsidTr="003E56A6">
        <w:trPr>
          <w:trHeight w:hRule="exact" w:val="252"/>
        </w:trPr>
        <w:tc>
          <w:tcPr>
            <w:tcW w:w="0" w:type="auto"/>
            <w:tcBorders>
              <w:top w:val="single" w:sz="4" w:space="0" w:color="auto"/>
              <w:left w:val="nil"/>
              <w:bottom w:val="nil"/>
              <w:right w:val="nil"/>
            </w:tcBorders>
            <w:vAlign w:val="center"/>
          </w:tcPr>
          <w:p w14:paraId="614CFF10" w14:textId="77777777" w:rsidR="00155FCB" w:rsidRPr="00CC4486" w:rsidRDefault="00155FCB" w:rsidP="003E56A6">
            <w:pPr>
              <w:widowControl w:val="0"/>
              <w:autoSpaceDE w:val="0"/>
              <w:autoSpaceDN w:val="0"/>
              <w:adjustRightInd w:val="0"/>
              <w:rPr>
                <w:sz w:val="18"/>
                <w:szCs w:val="18"/>
              </w:rPr>
            </w:pPr>
            <w:r w:rsidRPr="00CC4486">
              <w:rPr>
                <w:sz w:val="18"/>
                <w:szCs w:val="18"/>
              </w:rPr>
              <w:t>Log Assets</w:t>
            </w:r>
          </w:p>
        </w:tc>
        <w:tc>
          <w:tcPr>
            <w:tcW w:w="0" w:type="auto"/>
            <w:tcBorders>
              <w:top w:val="single" w:sz="4" w:space="0" w:color="auto"/>
              <w:left w:val="nil"/>
              <w:bottom w:val="nil"/>
              <w:right w:val="nil"/>
            </w:tcBorders>
            <w:vAlign w:val="center"/>
          </w:tcPr>
          <w:p w14:paraId="61E1EDD0"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0.104</w:t>
            </w:r>
            <w:r w:rsidRPr="00CC4486">
              <w:rPr>
                <w:sz w:val="18"/>
                <w:szCs w:val="18"/>
                <w:vertAlign w:val="superscript"/>
              </w:rPr>
              <w:t>***</w:t>
            </w:r>
          </w:p>
        </w:tc>
        <w:tc>
          <w:tcPr>
            <w:tcW w:w="0" w:type="auto"/>
            <w:tcBorders>
              <w:top w:val="single" w:sz="4" w:space="0" w:color="auto"/>
              <w:left w:val="nil"/>
              <w:bottom w:val="nil"/>
              <w:right w:val="nil"/>
            </w:tcBorders>
            <w:vAlign w:val="center"/>
          </w:tcPr>
          <w:p w14:paraId="336D3F12"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0.0915</w:t>
            </w:r>
            <w:r w:rsidRPr="00CC4486">
              <w:rPr>
                <w:sz w:val="18"/>
                <w:szCs w:val="18"/>
                <w:vertAlign w:val="superscript"/>
              </w:rPr>
              <w:t>***</w:t>
            </w:r>
          </w:p>
        </w:tc>
        <w:tc>
          <w:tcPr>
            <w:tcW w:w="0" w:type="auto"/>
            <w:tcBorders>
              <w:top w:val="single" w:sz="4" w:space="0" w:color="auto"/>
              <w:left w:val="nil"/>
              <w:bottom w:val="nil"/>
              <w:right w:val="nil"/>
            </w:tcBorders>
            <w:vAlign w:val="center"/>
          </w:tcPr>
          <w:p w14:paraId="01196EB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0.0928</w:t>
            </w:r>
            <w:r w:rsidRPr="00CC4486">
              <w:rPr>
                <w:sz w:val="18"/>
                <w:szCs w:val="18"/>
                <w:vertAlign w:val="superscript"/>
              </w:rPr>
              <w:t>***</w:t>
            </w:r>
          </w:p>
        </w:tc>
      </w:tr>
      <w:tr w:rsidR="00155FCB" w14:paraId="4016C639" w14:textId="77777777" w:rsidTr="003E56A6">
        <w:trPr>
          <w:trHeight w:hRule="exact" w:val="252"/>
        </w:trPr>
        <w:tc>
          <w:tcPr>
            <w:tcW w:w="0" w:type="auto"/>
            <w:tcBorders>
              <w:top w:val="nil"/>
              <w:left w:val="nil"/>
              <w:bottom w:val="nil"/>
              <w:right w:val="nil"/>
            </w:tcBorders>
            <w:vAlign w:val="center"/>
          </w:tcPr>
          <w:p w14:paraId="17ECE406"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75F46A21"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(0.0114)</w:t>
            </w:r>
          </w:p>
        </w:tc>
        <w:tc>
          <w:tcPr>
            <w:tcW w:w="0" w:type="auto"/>
            <w:tcBorders>
              <w:top w:val="nil"/>
              <w:left w:val="nil"/>
              <w:bottom w:val="nil"/>
              <w:right w:val="nil"/>
            </w:tcBorders>
            <w:vAlign w:val="center"/>
          </w:tcPr>
          <w:p w14:paraId="3C987DC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(0.0112)</w:t>
            </w:r>
          </w:p>
        </w:tc>
        <w:tc>
          <w:tcPr>
            <w:tcW w:w="0" w:type="auto"/>
            <w:tcBorders>
              <w:top w:val="nil"/>
              <w:left w:val="nil"/>
              <w:bottom w:val="nil"/>
              <w:right w:val="nil"/>
            </w:tcBorders>
            <w:vAlign w:val="center"/>
          </w:tcPr>
          <w:p w14:paraId="411E3CFE"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(0.0109)</w:t>
            </w:r>
          </w:p>
        </w:tc>
      </w:tr>
      <w:tr w:rsidR="00155FCB" w14:paraId="52BAEA9B" w14:textId="77777777" w:rsidTr="003E56A6">
        <w:trPr>
          <w:trHeight w:hRule="exact" w:val="252"/>
        </w:trPr>
        <w:tc>
          <w:tcPr>
            <w:tcW w:w="0" w:type="auto"/>
            <w:tcBorders>
              <w:top w:val="nil"/>
              <w:left w:val="nil"/>
              <w:bottom w:val="nil"/>
              <w:right w:val="nil"/>
            </w:tcBorders>
            <w:vAlign w:val="center"/>
          </w:tcPr>
          <w:p w14:paraId="44BF4C67"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79E2E122"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FE3CDC4"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15987C9" w14:textId="77777777" w:rsidR="00155FCB" w:rsidRPr="00CC4486" w:rsidRDefault="00155FCB" w:rsidP="003E56A6">
            <w:pPr>
              <w:widowControl w:val="0"/>
              <w:autoSpaceDE w:val="0"/>
              <w:autoSpaceDN w:val="0"/>
              <w:adjustRightInd w:val="0"/>
              <w:jc w:val="center"/>
              <w:rPr>
                <w:sz w:val="18"/>
                <w:szCs w:val="18"/>
              </w:rPr>
            </w:pPr>
          </w:p>
        </w:tc>
      </w:tr>
      <w:tr w:rsidR="00155FCB" w14:paraId="783E0434" w14:textId="77777777" w:rsidTr="003E56A6">
        <w:trPr>
          <w:trHeight w:hRule="exact" w:val="252"/>
        </w:trPr>
        <w:tc>
          <w:tcPr>
            <w:tcW w:w="0" w:type="auto"/>
            <w:tcBorders>
              <w:top w:val="nil"/>
              <w:left w:val="nil"/>
              <w:bottom w:val="nil"/>
              <w:right w:val="nil"/>
            </w:tcBorders>
            <w:vAlign w:val="center"/>
          </w:tcPr>
          <w:p w14:paraId="67C72C2D" w14:textId="77777777" w:rsidR="00155FCB" w:rsidRPr="00CC4486" w:rsidRDefault="00155FCB" w:rsidP="003E56A6">
            <w:pPr>
              <w:widowControl w:val="0"/>
              <w:autoSpaceDE w:val="0"/>
              <w:autoSpaceDN w:val="0"/>
              <w:adjustRightInd w:val="0"/>
              <w:rPr>
                <w:sz w:val="18"/>
                <w:szCs w:val="18"/>
              </w:rPr>
            </w:pPr>
            <w:r w:rsidRPr="00CC4486">
              <w:rPr>
                <w:sz w:val="18"/>
                <w:szCs w:val="18"/>
              </w:rPr>
              <w:t>EBIT</w:t>
            </w:r>
          </w:p>
        </w:tc>
        <w:tc>
          <w:tcPr>
            <w:tcW w:w="0" w:type="auto"/>
            <w:tcBorders>
              <w:top w:val="nil"/>
              <w:left w:val="nil"/>
              <w:bottom w:val="nil"/>
              <w:right w:val="nil"/>
            </w:tcBorders>
            <w:vAlign w:val="center"/>
          </w:tcPr>
          <w:p w14:paraId="5EF69B74"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-0.0126</w:t>
            </w:r>
            <w:r w:rsidRPr="00CC4486">
              <w:rPr>
                <w:sz w:val="18"/>
                <w:szCs w:val="18"/>
                <w:vertAlign w:val="superscript"/>
              </w:rPr>
              <w:t>***</w:t>
            </w:r>
          </w:p>
        </w:tc>
        <w:tc>
          <w:tcPr>
            <w:tcW w:w="0" w:type="auto"/>
            <w:tcBorders>
              <w:top w:val="nil"/>
              <w:left w:val="nil"/>
              <w:bottom w:val="nil"/>
              <w:right w:val="nil"/>
            </w:tcBorders>
            <w:vAlign w:val="center"/>
          </w:tcPr>
          <w:p w14:paraId="35B69A91"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-0.00973</w:t>
            </w:r>
            <w:r w:rsidRPr="00CC4486">
              <w:rPr>
                <w:sz w:val="18"/>
                <w:szCs w:val="18"/>
                <w:vertAlign w:val="superscript"/>
              </w:rPr>
              <w:t>**</w:t>
            </w:r>
          </w:p>
        </w:tc>
        <w:tc>
          <w:tcPr>
            <w:tcW w:w="0" w:type="auto"/>
            <w:tcBorders>
              <w:top w:val="nil"/>
              <w:left w:val="nil"/>
              <w:bottom w:val="nil"/>
              <w:right w:val="nil"/>
            </w:tcBorders>
            <w:vAlign w:val="center"/>
          </w:tcPr>
          <w:p w14:paraId="395475F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-0.0104</w:t>
            </w:r>
            <w:r w:rsidRPr="00CC4486">
              <w:rPr>
                <w:sz w:val="18"/>
                <w:szCs w:val="18"/>
                <w:vertAlign w:val="superscript"/>
              </w:rPr>
              <w:t>**</w:t>
            </w:r>
          </w:p>
        </w:tc>
      </w:tr>
      <w:tr w:rsidR="00155FCB" w14:paraId="324FF2E5" w14:textId="77777777" w:rsidTr="003E56A6">
        <w:trPr>
          <w:trHeight w:hRule="exact" w:val="252"/>
        </w:trPr>
        <w:tc>
          <w:tcPr>
            <w:tcW w:w="0" w:type="auto"/>
            <w:tcBorders>
              <w:top w:val="nil"/>
              <w:left w:val="nil"/>
              <w:bottom w:val="nil"/>
              <w:right w:val="nil"/>
            </w:tcBorders>
            <w:vAlign w:val="center"/>
          </w:tcPr>
          <w:p w14:paraId="7E3434AD"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33D5BF5E"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(0.00278)</w:t>
            </w:r>
          </w:p>
        </w:tc>
        <w:tc>
          <w:tcPr>
            <w:tcW w:w="0" w:type="auto"/>
            <w:tcBorders>
              <w:top w:val="nil"/>
              <w:left w:val="nil"/>
              <w:bottom w:val="nil"/>
              <w:right w:val="nil"/>
            </w:tcBorders>
            <w:vAlign w:val="center"/>
          </w:tcPr>
          <w:p w14:paraId="2A1B4FFE"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(0.00366)</w:t>
            </w:r>
          </w:p>
        </w:tc>
        <w:tc>
          <w:tcPr>
            <w:tcW w:w="0" w:type="auto"/>
            <w:tcBorders>
              <w:top w:val="nil"/>
              <w:left w:val="nil"/>
              <w:bottom w:val="nil"/>
              <w:right w:val="nil"/>
            </w:tcBorders>
            <w:vAlign w:val="center"/>
          </w:tcPr>
          <w:p w14:paraId="74D88AC1"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(0.00366)</w:t>
            </w:r>
          </w:p>
        </w:tc>
      </w:tr>
      <w:tr w:rsidR="00155FCB" w14:paraId="0C77E19C" w14:textId="77777777" w:rsidTr="003E56A6">
        <w:trPr>
          <w:trHeight w:hRule="exact" w:val="252"/>
        </w:trPr>
        <w:tc>
          <w:tcPr>
            <w:tcW w:w="0" w:type="auto"/>
            <w:tcBorders>
              <w:top w:val="nil"/>
              <w:left w:val="nil"/>
              <w:bottom w:val="nil"/>
              <w:right w:val="nil"/>
            </w:tcBorders>
            <w:vAlign w:val="center"/>
          </w:tcPr>
          <w:p w14:paraId="4025FA82"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C08135D"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CDB8ADD"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D6AFCF9" w14:textId="77777777" w:rsidR="00155FCB" w:rsidRPr="00CC4486" w:rsidRDefault="00155FCB" w:rsidP="003E56A6">
            <w:pPr>
              <w:widowControl w:val="0"/>
              <w:autoSpaceDE w:val="0"/>
              <w:autoSpaceDN w:val="0"/>
              <w:adjustRightInd w:val="0"/>
              <w:jc w:val="center"/>
              <w:rPr>
                <w:sz w:val="18"/>
                <w:szCs w:val="18"/>
              </w:rPr>
            </w:pPr>
          </w:p>
        </w:tc>
      </w:tr>
      <w:tr w:rsidR="00155FCB" w14:paraId="033E5088" w14:textId="77777777" w:rsidTr="003E56A6">
        <w:trPr>
          <w:trHeight w:hRule="exact" w:val="252"/>
        </w:trPr>
        <w:tc>
          <w:tcPr>
            <w:tcW w:w="0" w:type="auto"/>
            <w:tcBorders>
              <w:top w:val="nil"/>
              <w:left w:val="nil"/>
              <w:bottom w:val="nil"/>
              <w:right w:val="nil"/>
            </w:tcBorders>
            <w:vAlign w:val="center"/>
          </w:tcPr>
          <w:p w14:paraId="6E16C89A" w14:textId="77777777" w:rsidR="00155FCB" w:rsidRPr="00CC4486" w:rsidRDefault="00155FCB" w:rsidP="003E56A6">
            <w:pPr>
              <w:widowControl w:val="0"/>
              <w:autoSpaceDE w:val="0"/>
              <w:autoSpaceDN w:val="0"/>
              <w:adjustRightInd w:val="0"/>
              <w:rPr>
                <w:sz w:val="18"/>
                <w:szCs w:val="18"/>
              </w:rPr>
            </w:pPr>
            <w:r w:rsidRPr="00CC4486">
              <w:rPr>
                <w:sz w:val="18"/>
                <w:szCs w:val="18"/>
              </w:rPr>
              <w:t>Prime Rate at Filing</w:t>
            </w:r>
          </w:p>
        </w:tc>
        <w:tc>
          <w:tcPr>
            <w:tcW w:w="0" w:type="auto"/>
            <w:tcBorders>
              <w:top w:val="nil"/>
              <w:left w:val="nil"/>
              <w:bottom w:val="nil"/>
              <w:right w:val="nil"/>
            </w:tcBorders>
            <w:vAlign w:val="center"/>
          </w:tcPr>
          <w:p w14:paraId="7B1ABF37"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0.0168</w:t>
            </w:r>
            <w:r w:rsidRPr="00CC4486">
              <w:rPr>
                <w:sz w:val="18"/>
                <w:szCs w:val="18"/>
                <w:vertAlign w:val="superscript"/>
              </w:rPr>
              <w:t>+</w:t>
            </w:r>
          </w:p>
        </w:tc>
        <w:tc>
          <w:tcPr>
            <w:tcW w:w="0" w:type="auto"/>
            <w:tcBorders>
              <w:top w:val="nil"/>
              <w:left w:val="nil"/>
              <w:bottom w:val="nil"/>
              <w:right w:val="nil"/>
            </w:tcBorders>
            <w:vAlign w:val="center"/>
          </w:tcPr>
          <w:p w14:paraId="4C26AA2C"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0.0152</w:t>
            </w:r>
            <w:r w:rsidRPr="00CC4486">
              <w:rPr>
                <w:sz w:val="18"/>
                <w:szCs w:val="18"/>
                <w:vertAlign w:val="superscript"/>
              </w:rPr>
              <w:t>+</w:t>
            </w:r>
          </w:p>
        </w:tc>
        <w:tc>
          <w:tcPr>
            <w:tcW w:w="0" w:type="auto"/>
            <w:tcBorders>
              <w:top w:val="nil"/>
              <w:left w:val="nil"/>
              <w:bottom w:val="nil"/>
              <w:right w:val="nil"/>
            </w:tcBorders>
            <w:vAlign w:val="center"/>
          </w:tcPr>
          <w:p w14:paraId="025B4A4E"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-0.00546</w:t>
            </w:r>
          </w:p>
        </w:tc>
      </w:tr>
      <w:tr w:rsidR="00155FCB" w14:paraId="60F9CE13" w14:textId="77777777" w:rsidTr="003E56A6">
        <w:trPr>
          <w:trHeight w:hRule="exact" w:val="252"/>
        </w:trPr>
        <w:tc>
          <w:tcPr>
            <w:tcW w:w="0" w:type="auto"/>
            <w:tcBorders>
              <w:top w:val="nil"/>
              <w:left w:val="nil"/>
              <w:bottom w:val="nil"/>
              <w:right w:val="nil"/>
            </w:tcBorders>
            <w:vAlign w:val="center"/>
          </w:tcPr>
          <w:p w14:paraId="08A41BBF"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1AC92A8D"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(0.00887)</w:t>
            </w:r>
          </w:p>
        </w:tc>
        <w:tc>
          <w:tcPr>
            <w:tcW w:w="0" w:type="auto"/>
            <w:tcBorders>
              <w:top w:val="nil"/>
              <w:left w:val="nil"/>
              <w:bottom w:val="nil"/>
              <w:right w:val="nil"/>
            </w:tcBorders>
            <w:vAlign w:val="center"/>
          </w:tcPr>
          <w:p w14:paraId="32722FF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(0.00852)</w:t>
            </w:r>
          </w:p>
        </w:tc>
        <w:tc>
          <w:tcPr>
            <w:tcW w:w="0" w:type="auto"/>
            <w:tcBorders>
              <w:top w:val="nil"/>
              <w:left w:val="nil"/>
              <w:bottom w:val="nil"/>
              <w:right w:val="nil"/>
            </w:tcBorders>
            <w:vAlign w:val="center"/>
          </w:tcPr>
          <w:p w14:paraId="61A70F10"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(0.00931)</w:t>
            </w:r>
          </w:p>
        </w:tc>
      </w:tr>
      <w:tr w:rsidR="00155FCB" w14:paraId="5A6EA55E" w14:textId="77777777" w:rsidTr="003E56A6">
        <w:trPr>
          <w:trHeight w:hRule="exact" w:val="252"/>
        </w:trPr>
        <w:tc>
          <w:tcPr>
            <w:tcW w:w="0" w:type="auto"/>
            <w:tcBorders>
              <w:top w:val="nil"/>
              <w:left w:val="nil"/>
              <w:bottom w:val="nil"/>
              <w:right w:val="nil"/>
            </w:tcBorders>
            <w:vAlign w:val="center"/>
          </w:tcPr>
          <w:p w14:paraId="6A639301"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90B80FB"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95FDB14"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D644318" w14:textId="77777777" w:rsidR="00155FCB" w:rsidRPr="00CC4486" w:rsidRDefault="00155FCB" w:rsidP="003E56A6">
            <w:pPr>
              <w:widowControl w:val="0"/>
              <w:autoSpaceDE w:val="0"/>
              <w:autoSpaceDN w:val="0"/>
              <w:adjustRightInd w:val="0"/>
              <w:jc w:val="center"/>
              <w:rPr>
                <w:sz w:val="18"/>
                <w:szCs w:val="18"/>
              </w:rPr>
            </w:pPr>
          </w:p>
        </w:tc>
      </w:tr>
      <w:tr w:rsidR="00155FCB" w14:paraId="27335695" w14:textId="77777777" w:rsidTr="003E56A6">
        <w:trPr>
          <w:trHeight w:hRule="exact" w:val="252"/>
        </w:trPr>
        <w:tc>
          <w:tcPr>
            <w:tcW w:w="0" w:type="auto"/>
            <w:tcBorders>
              <w:top w:val="nil"/>
              <w:left w:val="nil"/>
              <w:bottom w:val="nil"/>
              <w:right w:val="nil"/>
            </w:tcBorders>
            <w:vAlign w:val="center"/>
          </w:tcPr>
          <w:p w14:paraId="61CAE315" w14:textId="77777777" w:rsidR="00155FCB" w:rsidRPr="00CC4486" w:rsidRDefault="00155FCB" w:rsidP="003E56A6">
            <w:pPr>
              <w:widowControl w:val="0"/>
              <w:autoSpaceDE w:val="0"/>
              <w:autoSpaceDN w:val="0"/>
              <w:adjustRightInd w:val="0"/>
              <w:rPr>
                <w:sz w:val="18"/>
                <w:szCs w:val="18"/>
              </w:rPr>
            </w:pPr>
            <w:r w:rsidRPr="00CC4486">
              <w:rPr>
                <w:sz w:val="18"/>
                <w:szCs w:val="18"/>
              </w:rPr>
              <w:t>Obtained DIP Financing</w:t>
            </w:r>
          </w:p>
        </w:tc>
        <w:tc>
          <w:tcPr>
            <w:tcW w:w="0" w:type="auto"/>
            <w:tcBorders>
              <w:top w:val="nil"/>
              <w:left w:val="nil"/>
              <w:bottom w:val="nil"/>
              <w:right w:val="nil"/>
            </w:tcBorders>
            <w:vAlign w:val="center"/>
          </w:tcPr>
          <w:p w14:paraId="3F7697F6"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-0.163</w:t>
            </w:r>
            <w:r w:rsidRPr="00CC4486">
              <w:rPr>
                <w:sz w:val="18"/>
                <w:szCs w:val="18"/>
                <w:vertAlign w:val="superscript"/>
              </w:rPr>
              <w:t>***</w:t>
            </w:r>
          </w:p>
        </w:tc>
        <w:tc>
          <w:tcPr>
            <w:tcW w:w="0" w:type="auto"/>
            <w:tcBorders>
              <w:top w:val="nil"/>
              <w:left w:val="nil"/>
              <w:bottom w:val="nil"/>
              <w:right w:val="nil"/>
            </w:tcBorders>
            <w:vAlign w:val="center"/>
          </w:tcPr>
          <w:p w14:paraId="43B0917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-0.143</w:t>
            </w:r>
            <w:r w:rsidRPr="00CC4486">
              <w:rPr>
                <w:sz w:val="18"/>
                <w:szCs w:val="18"/>
                <w:vertAlign w:val="superscript"/>
              </w:rPr>
              <w:t>***</w:t>
            </w:r>
          </w:p>
        </w:tc>
        <w:tc>
          <w:tcPr>
            <w:tcW w:w="0" w:type="auto"/>
            <w:tcBorders>
              <w:top w:val="nil"/>
              <w:left w:val="nil"/>
              <w:bottom w:val="nil"/>
              <w:right w:val="nil"/>
            </w:tcBorders>
            <w:vAlign w:val="center"/>
          </w:tcPr>
          <w:p w14:paraId="67C90E3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-0.0970</w:t>
            </w:r>
            <w:r w:rsidRPr="00CC4486">
              <w:rPr>
                <w:sz w:val="18"/>
                <w:szCs w:val="18"/>
                <w:vertAlign w:val="superscript"/>
              </w:rPr>
              <w:t>**</w:t>
            </w:r>
          </w:p>
        </w:tc>
      </w:tr>
      <w:tr w:rsidR="00155FCB" w14:paraId="7BB42F69" w14:textId="77777777" w:rsidTr="003E56A6">
        <w:trPr>
          <w:trHeight w:hRule="exact" w:val="252"/>
        </w:trPr>
        <w:tc>
          <w:tcPr>
            <w:tcW w:w="0" w:type="auto"/>
            <w:tcBorders>
              <w:top w:val="nil"/>
              <w:left w:val="nil"/>
              <w:bottom w:val="nil"/>
              <w:right w:val="nil"/>
            </w:tcBorders>
            <w:vAlign w:val="center"/>
          </w:tcPr>
          <w:p w14:paraId="778D5C9B"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526954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(0.0348)</w:t>
            </w:r>
          </w:p>
        </w:tc>
        <w:tc>
          <w:tcPr>
            <w:tcW w:w="0" w:type="auto"/>
            <w:tcBorders>
              <w:top w:val="nil"/>
              <w:left w:val="nil"/>
              <w:bottom w:val="nil"/>
              <w:right w:val="nil"/>
            </w:tcBorders>
            <w:vAlign w:val="center"/>
          </w:tcPr>
          <w:p w14:paraId="34399F1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(0.0342)</w:t>
            </w:r>
          </w:p>
        </w:tc>
        <w:tc>
          <w:tcPr>
            <w:tcW w:w="0" w:type="auto"/>
            <w:tcBorders>
              <w:top w:val="nil"/>
              <w:left w:val="nil"/>
              <w:bottom w:val="nil"/>
              <w:right w:val="nil"/>
            </w:tcBorders>
            <w:vAlign w:val="center"/>
          </w:tcPr>
          <w:p w14:paraId="2198BDC0"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(0.0348)</w:t>
            </w:r>
          </w:p>
        </w:tc>
      </w:tr>
      <w:tr w:rsidR="00155FCB" w14:paraId="769A9C61" w14:textId="77777777" w:rsidTr="003E56A6">
        <w:trPr>
          <w:trHeight w:hRule="exact" w:val="252"/>
        </w:trPr>
        <w:tc>
          <w:tcPr>
            <w:tcW w:w="0" w:type="auto"/>
            <w:tcBorders>
              <w:top w:val="nil"/>
              <w:left w:val="nil"/>
              <w:bottom w:val="nil"/>
              <w:right w:val="nil"/>
            </w:tcBorders>
            <w:vAlign w:val="center"/>
          </w:tcPr>
          <w:p w14:paraId="4A8BC5FB"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6F370B51"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DBA1A2A"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78A7AEC" w14:textId="77777777" w:rsidR="00155FCB" w:rsidRPr="00CC4486" w:rsidRDefault="00155FCB" w:rsidP="003E56A6">
            <w:pPr>
              <w:widowControl w:val="0"/>
              <w:autoSpaceDE w:val="0"/>
              <w:autoSpaceDN w:val="0"/>
              <w:adjustRightInd w:val="0"/>
              <w:jc w:val="center"/>
              <w:rPr>
                <w:sz w:val="18"/>
                <w:szCs w:val="18"/>
              </w:rPr>
            </w:pPr>
          </w:p>
        </w:tc>
      </w:tr>
      <w:tr w:rsidR="00155FCB" w14:paraId="7BEF2FCF" w14:textId="77777777" w:rsidTr="003E56A6">
        <w:trPr>
          <w:trHeight w:hRule="exact" w:val="252"/>
        </w:trPr>
        <w:tc>
          <w:tcPr>
            <w:tcW w:w="0" w:type="auto"/>
            <w:tcBorders>
              <w:top w:val="nil"/>
              <w:left w:val="nil"/>
              <w:bottom w:val="nil"/>
              <w:right w:val="nil"/>
            </w:tcBorders>
            <w:vAlign w:val="center"/>
          </w:tcPr>
          <w:p w14:paraId="246E1D9E" w14:textId="77777777" w:rsidR="00155FCB" w:rsidRPr="00CC4486" w:rsidRDefault="00155FCB" w:rsidP="003E56A6">
            <w:pPr>
              <w:widowControl w:val="0"/>
              <w:autoSpaceDE w:val="0"/>
              <w:autoSpaceDN w:val="0"/>
              <w:adjustRightInd w:val="0"/>
              <w:rPr>
                <w:sz w:val="18"/>
                <w:szCs w:val="18"/>
              </w:rPr>
            </w:pPr>
            <w:r w:rsidRPr="00CC4486">
              <w:rPr>
                <w:sz w:val="18"/>
                <w:szCs w:val="18"/>
              </w:rPr>
              <w:t>Intercompany Claims</w:t>
            </w:r>
          </w:p>
        </w:tc>
        <w:tc>
          <w:tcPr>
            <w:tcW w:w="0" w:type="auto"/>
            <w:tcBorders>
              <w:top w:val="nil"/>
              <w:left w:val="nil"/>
              <w:bottom w:val="nil"/>
              <w:right w:val="nil"/>
            </w:tcBorders>
            <w:vAlign w:val="center"/>
          </w:tcPr>
          <w:p w14:paraId="2F72EAED"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0.263</w:t>
            </w:r>
            <w:r w:rsidRPr="00CC4486">
              <w:rPr>
                <w:sz w:val="18"/>
                <w:szCs w:val="18"/>
                <w:vertAlign w:val="superscript"/>
              </w:rPr>
              <w:t>**</w:t>
            </w:r>
          </w:p>
        </w:tc>
        <w:tc>
          <w:tcPr>
            <w:tcW w:w="0" w:type="auto"/>
            <w:tcBorders>
              <w:top w:val="nil"/>
              <w:left w:val="nil"/>
              <w:bottom w:val="nil"/>
              <w:right w:val="nil"/>
            </w:tcBorders>
            <w:vAlign w:val="center"/>
          </w:tcPr>
          <w:p w14:paraId="66AB463C"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0.202</w:t>
            </w:r>
            <w:r w:rsidRPr="00CC4486">
              <w:rPr>
                <w:sz w:val="18"/>
                <w:szCs w:val="18"/>
                <w:vertAlign w:val="superscript"/>
              </w:rPr>
              <w:t>*</w:t>
            </w:r>
          </w:p>
        </w:tc>
        <w:tc>
          <w:tcPr>
            <w:tcW w:w="0" w:type="auto"/>
            <w:tcBorders>
              <w:top w:val="nil"/>
              <w:left w:val="nil"/>
              <w:bottom w:val="nil"/>
              <w:right w:val="nil"/>
            </w:tcBorders>
            <w:vAlign w:val="center"/>
          </w:tcPr>
          <w:p w14:paraId="53B2583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0.166</w:t>
            </w:r>
            <w:r w:rsidRPr="00CC4486">
              <w:rPr>
                <w:sz w:val="18"/>
                <w:szCs w:val="18"/>
                <w:vertAlign w:val="superscript"/>
              </w:rPr>
              <w:t>+</w:t>
            </w:r>
          </w:p>
        </w:tc>
      </w:tr>
      <w:tr w:rsidR="00155FCB" w14:paraId="01E5BBAD" w14:textId="77777777" w:rsidTr="003E56A6">
        <w:trPr>
          <w:trHeight w:hRule="exact" w:val="252"/>
        </w:trPr>
        <w:tc>
          <w:tcPr>
            <w:tcW w:w="0" w:type="auto"/>
            <w:tcBorders>
              <w:top w:val="nil"/>
              <w:left w:val="nil"/>
              <w:bottom w:val="nil"/>
              <w:right w:val="nil"/>
            </w:tcBorders>
            <w:vAlign w:val="center"/>
          </w:tcPr>
          <w:p w14:paraId="220A25BE"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7A56A224"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(0.0955)</w:t>
            </w:r>
          </w:p>
        </w:tc>
        <w:tc>
          <w:tcPr>
            <w:tcW w:w="0" w:type="auto"/>
            <w:tcBorders>
              <w:top w:val="nil"/>
              <w:left w:val="nil"/>
              <w:bottom w:val="nil"/>
              <w:right w:val="nil"/>
            </w:tcBorders>
            <w:vAlign w:val="center"/>
          </w:tcPr>
          <w:p w14:paraId="68974127"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(0.0931)</w:t>
            </w:r>
          </w:p>
        </w:tc>
        <w:tc>
          <w:tcPr>
            <w:tcW w:w="0" w:type="auto"/>
            <w:tcBorders>
              <w:top w:val="nil"/>
              <w:left w:val="nil"/>
              <w:bottom w:val="nil"/>
              <w:right w:val="nil"/>
            </w:tcBorders>
            <w:vAlign w:val="center"/>
          </w:tcPr>
          <w:p w14:paraId="0DAB5B99"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(0.0899)</w:t>
            </w:r>
          </w:p>
        </w:tc>
      </w:tr>
      <w:tr w:rsidR="00155FCB" w14:paraId="59D875D2" w14:textId="77777777" w:rsidTr="003E56A6">
        <w:trPr>
          <w:trHeight w:hRule="exact" w:val="252"/>
        </w:trPr>
        <w:tc>
          <w:tcPr>
            <w:tcW w:w="0" w:type="auto"/>
            <w:tcBorders>
              <w:top w:val="nil"/>
              <w:left w:val="nil"/>
              <w:bottom w:val="nil"/>
              <w:right w:val="nil"/>
            </w:tcBorders>
            <w:vAlign w:val="center"/>
          </w:tcPr>
          <w:p w14:paraId="655D8D13"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0F9F8B5"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0C70A54"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EE3F270" w14:textId="77777777" w:rsidR="00155FCB" w:rsidRPr="00CC4486" w:rsidRDefault="00155FCB" w:rsidP="003E56A6">
            <w:pPr>
              <w:widowControl w:val="0"/>
              <w:autoSpaceDE w:val="0"/>
              <w:autoSpaceDN w:val="0"/>
              <w:adjustRightInd w:val="0"/>
              <w:jc w:val="center"/>
              <w:rPr>
                <w:sz w:val="18"/>
                <w:szCs w:val="18"/>
              </w:rPr>
            </w:pPr>
          </w:p>
        </w:tc>
      </w:tr>
      <w:tr w:rsidR="00155FCB" w14:paraId="2BC20156" w14:textId="77777777" w:rsidTr="003E56A6">
        <w:trPr>
          <w:trHeight w:hRule="exact" w:val="252"/>
        </w:trPr>
        <w:tc>
          <w:tcPr>
            <w:tcW w:w="0" w:type="auto"/>
            <w:tcBorders>
              <w:top w:val="nil"/>
              <w:left w:val="nil"/>
              <w:bottom w:val="nil"/>
              <w:right w:val="nil"/>
            </w:tcBorders>
            <w:vAlign w:val="center"/>
          </w:tcPr>
          <w:p w14:paraId="602CEFE6" w14:textId="77777777" w:rsidR="00155FCB" w:rsidRPr="00CC4486" w:rsidRDefault="00155FCB" w:rsidP="003E56A6">
            <w:pPr>
              <w:widowControl w:val="0"/>
              <w:autoSpaceDE w:val="0"/>
              <w:autoSpaceDN w:val="0"/>
              <w:adjustRightInd w:val="0"/>
              <w:rPr>
                <w:sz w:val="18"/>
                <w:szCs w:val="18"/>
              </w:rPr>
            </w:pPr>
            <w:r w:rsidRPr="00CC4486">
              <w:rPr>
                <w:sz w:val="18"/>
                <w:szCs w:val="18"/>
              </w:rPr>
              <w:t>Prime Rate at Disposition</w:t>
            </w:r>
          </w:p>
        </w:tc>
        <w:tc>
          <w:tcPr>
            <w:tcW w:w="0" w:type="auto"/>
            <w:tcBorders>
              <w:top w:val="nil"/>
              <w:left w:val="nil"/>
              <w:bottom w:val="nil"/>
              <w:right w:val="nil"/>
            </w:tcBorders>
            <w:vAlign w:val="center"/>
          </w:tcPr>
          <w:p w14:paraId="36FC3900"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0.0296</w:t>
            </w:r>
            <w:r w:rsidRPr="00CC4486">
              <w:rPr>
                <w:sz w:val="18"/>
                <w:szCs w:val="18"/>
                <w:vertAlign w:val="superscript"/>
              </w:rPr>
              <w:t>**</w:t>
            </w:r>
          </w:p>
        </w:tc>
        <w:tc>
          <w:tcPr>
            <w:tcW w:w="0" w:type="auto"/>
            <w:tcBorders>
              <w:top w:val="nil"/>
              <w:left w:val="nil"/>
              <w:bottom w:val="nil"/>
              <w:right w:val="nil"/>
            </w:tcBorders>
            <w:vAlign w:val="center"/>
          </w:tcPr>
          <w:p w14:paraId="052384CD"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0.0233</w:t>
            </w:r>
            <w:r w:rsidRPr="00CC4486">
              <w:rPr>
                <w:sz w:val="18"/>
                <w:szCs w:val="18"/>
                <w:vertAlign w:val="superscript"/>
              </w:rPr>
              <w:t>*</w:t>
            </w:r>
          </w:p>
        </w:tc>
        <w:tc>
          <w:tcPr>
            <w:tcW w:w="0" w:type="auto"/>
            <w:tcBorders>
              <w:top w:val="nil"/>
              <w:left w:val="nil"/>
              <w:bottom w:val="nil"/>
              <w:right w:val="nil"/>
            </w:tcBorders>
            <w:vAlign w:val="center"/>
          </w:tcPr>
          <w:p w14:paraId="3EAA711B"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0.00165</w:t>
            </w:r>
          </w:p>
        </w:tc>
      </w:tr>
      <w:tr w:rsidR="00155FCB" w14:paraId="4F3ABA59" w14:textId="77777777" w:rsidTr="003E56A6">
        <w:trPr>
          <w:trHeight w:hRule="exact" w:val="252"/>
        </w:trPr>
        <w:tc>
          <w:tcPr>
            <w:tcW w:w="0" w:type="auto"/>
            <w:tcBorders>
              <w:top w:val="nil"/>
              <w:left w:val="nil"/>
              <w:bottom w:val="nil"/>
              <w:right w:val="nil"/>
            </w:tcBorders>
            <w:vAlign w:val="center"/>
          </w:tcPr>
          <w:p w14:paraId="4CBA02A1"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1703B1C8"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(0.0105)</w:t>
            </w:r>
          </w:p>
        </w:tc>
        <w:tc>
          <w:tcPr>
            <w:tcW w:w="0" w:type="auto"/>
            <w:tcBorders>
              <w:top w:val="nil"/>
              <w:left w:val="nil"/>
              <w:bottom w:val="nil"/>
              <w:right w:val="nil"/>
            </w:tcBorders>
            <w:vAlign w:val="center"/>
          </w:tcPr>
          <w:p w14:paraId="03C81097"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(0.0102)</w:t>
            </w:r>
          </w:p>
        </w:tc>
        <w:tc>
          <w:tcPr>
            <w:tcW w:w="0" w:type="auto"/>
            <w:tcBorders>
              <w:top w:val="nil"/>
              <w:left w:val="nil"/>
              <w:bottom w:val="nil"/>
              <w:right w:val="nil"/>
            </w:tcBorders>
            <w:vAlign w:val="center"/>
          </w:tcPr>
          <w:p w14:paraId="2D31168C"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(0.0109)</w:t>
            </w:r>
          </w:p>
        </w:tc>
      </w:tr>
      <w:tr w:rsidR="00155FCB" w14:paraId="28638821" w14:textId="77777777" w:rsidTr="003E56A6">
        <w:trPr>
          <w:trHeight w:hRule="exact" w:val="252"/>
        </w:trPr>
        <w:tc>
          <w:tcPr>
            <w:tcW w:w="0" w:type="auto"/>
            <w:tcBorders>
              <w:top w:val="nil"/>
              <w:left w:val="nil"/>
              <w:bottom w:val="nil"/>
              <w:right w:val="nil"/>
            </w:tcBorders>
            <w:vAlign w:val="center"/>
          </w:tcPr>
          <w:p w14:paraId="1B0BB8BC"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2BBAB3F4"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4965F33"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7CEECEA" w14:textId="77777777" w:rsidR="00155FCB" w:rsidRPr="00CC4486" w:rsidRDefault="00155FCB" w:rsidP="003E56A6">
            <w:pPr>
              <w:widowControl w:val="0"/>
              <w:autoSpaceDE w:val="0"/>
              <w:autoSpaceDN w:val="0"/>
              <w:adjustRightInd w:val="0"/>
              <w:jc w:val="center"/>
              <w:rPr>
                <w:sz w:val="18"/>
                <w:szCs w:val="18"/>
              </w:rPr>
            </w:pPr>
          </w:p>
        </w:tc>
      </w:tr>
      <w:tr w:rsidR="00155FCB" w14:paraId="7CDBA041" w14:textId="77777777" w:rsidTr="003E56A6">
        <w:trPr>
          <w:trHeight w:hRule="exact" w:val="252"/>
        </w:trPr>
        <w:tc>
          <w:tcPr>
            <w:tcW w:w="0" w:type="auto"/>
            <w:tcBorders>
              <w:top w:val="nil"/>
              <w:left w:val="nil"/>
              <w:bottom w:val="nil"/>
              <w:right w:val="nil"/>
            </w:tcBorders>
            <w:vAlign w:val="center"/>
          </w:tcPr>
          <w:p w14:paraId="0D6A1988" w14:textId="77777777" w:rsidR="00155FCB" w:rsidRPr="00CC4486" w:rsidRDefault="00155FCB" w:rsidP="003E56A6">
            <w:pPr>
              <w:widowControl w:val="0"/>
              <w:autoSpaceDE w:val="0"/>
              <w:autoSpaceDN w:val="0"/>
              <w:adjustRightInd w:val="0"/>
              <w:rPr>
                <w:sz w:val="18"/>
                <w:szCs w:val="18"/>
              </w:rPr>
            </w:pPr>
            <w:r w:rsidRPr="00CC4486">
              <w:rPr>
                <w:sz w:val="18"/>
                <w:szCs w:val="18"/>
              </w:rPr>
              <w:t>Duration</w:t>
            </w:r>
          </w:p>
        </w:tc>
        <w:tc>
          <w:tcPr>
            <w:tcW w:w="0" w:type="auto"/>
            <w:tcBorders>
              <w:top w:val="nil"/>
              <w:left w:val="nil"/>
              <w:bottom w:val="nil"/>
              <w:right w:val="nil"/>
            </w:tcBorders>
            <w:vAlign w:val="center"/>
          </w:tcPr>
          <w:p w14:paraId="3A622B1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-0.0482</w:t>
            </w:r>
            <w:r w:rsidRPr="00CC4486">
              <w:rPr>
                <w:sz w:val="18"/>
                <w:szCs w:val="18"/>
                <w:vertAlign w:val="superscript"/>
              </w:rPr>
              <w:t>***</w:t>
            </w:r>
          </w:p>
        </w:tc>
        <w:tc>
          <w:tcPr>
            <w:tcW w:w="0" w:type="auto"/>
            <w:tcBorders>
              <w:top w:val="nil"/>
              <w:left w:val="nil"/>
              <w:bottom w:val="nil"/>
              <w:right w:val="nil"/>
            </w:tcBorders>
            <w:vAlign w:val="center"/>
          </w:tcPr>
          <w:p w14:paraId="631B92B4"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-0.0315</w:t>
            </w:r>
            <w:r w:rsidRPr="00CC4486">
              <w:rPr>
                <w:sz w:val="18"/>
                <w:szCs w:val="18"/>
                <w:vertAlign w:val="superscript"/>
              </w:rPr>
              <w:t>**</w:t>
            </w:r>
          </w:p>
        </w:tc>
        <w:tc>
          <w:tcPr>
            <w:tcW w:w="0" w:type="auto"/>
            <w:tcBorders>
              <w:top w:val="nil"/>
              <w:left w:val="nil"/>
              <w:bottom w:val="nil"/>
              <w:right w:val="nil"/>
            </w:tcBorders>
            <w:vAlign w:val="center"/>
          </w:tcPr>
          <w:p w14:paraId="33D7E792"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-0.0436</w:t>
            </w:r>
            <w:r w:rsidRPr="00CC4486">
              <w:rPr>
                <w:sz w:val="18"/>
                <w:szCs w:val="18"/>
                <w:vertAlign w:val="superscript"/>
              </w:rPr>
              <w:t>***</w:t>
            </w:r>
          </w:p>
        </w:tc>
      </w:tr>
      <w:tr w:rsidR="00155FCB" w14:paraId="6FCA7886" w14:textId="77777777" w:rsidTr="003E56A6">
        <w:trPr>
          <w:trHeight w:hRule="exact" w:val="252"/>
        </w:trPr>
        <w:tc>
          <w:tcPr>
            <w:tcW w:w="0" w:type="auto"/>
            <w:tcBorders>
              <w:top w:val="nil"/>
              <w:left w:val="nil"/>
              <w:bottom w:val="nil"/>
              <w:right w:val="nil"/>
            </w:tcBorders>
            <w:vAlign w:val="center"/>
          </w:tcPr>
          <w:p w14:paraId="109FE41D"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60FEE1CF"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(0.0110)</w:t>
            </w:r>
          </w:p>
        </w:tc>
        <w:tc>
          <w:tcPr>
            <w:tcW w:w="0" w:type="auto"/>
            <w:tcBorders>
              <w:top w:val="nil"/>
              <w:left w:val="nil"/>
              <w:bottom w:val="nil"/>
              <w:right w:val="nil"/>
            </w:tcBorders>
            <w:vAlign w:val="center"/>
          </w:tcPr>
          <w:p w14:paraId="2D29A1A9"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(0.0109)</w:t>
            </w:r>
          </w:p>
        </w:tc>
        <w:tc>
          <w:tcPr>
            <w:tcW w:w="0" w:type="auto"/>
            <w:tcBorders>
              <w:top w:val="nil"/>
              <w:left w:val="nil"/>
              <w:bottom w:val="nil"/>
              <w:right w:val="nil"/>
            </w:tcBorders>
            <w:vAlign w:val="center"/>
          </w:tcPr>
          <w:p w14:paraId="312B939B"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(0.0114)</w:t>
            </w:r>
          </w:p>
        </w:tc>
      </w:tr>
      <w:tr w:rsidR="00155FCB" w14:paraId="056509AA" w14:textId="77777777" w:rsidTr="003E56A6">
        <w:trPr>
          <w:trHeight w:hRule="exact" w:val="252"/>
        </w:trPr>
        <w:tc>
          <w:tcPr>
            <w:tcW w:w="0" w:type="auto"/>
            <w:tcBorders>
              <w:top w:val="nil"/>
              <w:left w:val="nil"/>
              <w:bottom w:val="nil"/>
              <w:right w:val="nil"/>
            </w:tcBorders>
            <w:vAlign w:val="center"/>
          </w:tcPr>
          <w:p w14:paraId="457E9701"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2473D19D"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A3D3C1F"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6A381AB2" w14:textId="77777777" w:rsidR="00155FCB" w:rsidRPr="00CC4486" w:rsidRDefault="00155FCB" w:rsidP="003E56A6">
            <w:pPr>
              <w:widowControl w:val="0"/>
              <w:autoSpaceDE w:val="0"/>
              <w:autoSpaceDN w:val="0"/>
              <w:adjustRightInd w:val="0"/>
              <w:jc w:val="center"/>
              <w:rPr>
                <w:sz w:val="18"/>
                <w:szCs w:val="18"/>
              </w:rPr>
            </w:pPr>
          </w:p>
        </w:tc>
      </w:tr>
      <w:tr w:rsidR="00155FCB" w14:paraId="6E7C9A01" w14:textId="77777777" w:rsidTr="003E56A6">
        <w:trPr>
          <w:trHeight w:hRule="exact" w:val="252"/>
        </w:trPr>
        <w:tc>
          <w:tcPr>
            <w:tcW w:w="0" w:type="auto"/>
            <w:tcBorders>
              <w:top w:val="nil"/>
              <w:left w:val="nil"/>
              <w:bottom w:val="nil"/>
              <w:right w:val="nil"/>
            </w:tcBorders>
            <w:vAlign w:val="center"/>
          </w:tcPr>
          <w:p w14:paraId="103080EC" w14:textId="77777777" w:rsidR="00155FCB" w:rsidRPr="00CC4486" w:rsidRDefault="00155FCB" w:rsidP="003E56A6">
            <w:pPr>
              <w:widowControl w:val="0"/>
              <w:autoSpaceDE w:val="0"/>
              <w:autoSpaceDN w:val="0"/>
              <w:adjustRightInd w:val="0"/>
              <w:rPr>
                <w:sz w:val="18"/>
                <w:szCs w:val="18"/>
              </w:rPr>
            </w:pPr>
            <w:r w:rsidRPr="00CC4486">
              <w:rPr>
                <w:sz w:val="18"/>
                <w:szCs w:val="18"/>
              </w:rPr>
              <w:t>363 Sale</w:t>
            </w:r>
          </w:p>
        </w:tc>
        <w:tc>
          <w:tcPr>
            <w:tcW w:w="0" w:type="auto"/>
            <w:tcBorders>
              <w:top w:val="nil"/>
              <w:left w:val="nil"/>
              <w:bottom w:val="nil"/>
              <w:right w:val="nil"/>
            </w:tcBorders>
            <w:vAlign w:val="center"/>
          </w:tcPr>
          <w:p w14:paraId="2FCEA01F"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24E19C8E"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-0.293</w:t>
            </w:r>
            <w:r w:rsidRPr="00CC4486">
              <w:rPr>
                <w:sz w:val="18"/>
                <w:szCs w:val="18"/>
                <w:vertAlign w:val="superscript"/>
              </w:rPr>
              <w:t>***</w:t>
            </w:r>
          </w:p>
        </w:tc>
        <w:tc>
          <w:tcPr>
            <w:tcW w:w="0" w:type="auto"/>
            <w:tcBorders>
              <w:top w:val="nil"/>
              <w:left w:val="nil"/>
              <w:bottom w:val="nil"/>
              <w:right w:val="nil"/>
            </w:tcBorders>
            <w:vAlign w:val="center"/>
          </w:tcPr>
          <w:p w14:paraId="7E3FBE83"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-0.281</w:t>
            </w:r>
            <w:r w:rsidRPr="00CC4486">
              <w:rPr>
                <w:sz w:val="18"/>
                <w:szCs w:val="18"/>
                <w:vertAlign w:val="superscript"/>
              </w:rPr>
              <w:t>***</w:t>
            </w:r>
          </w:p>
        </w:tc>
      </w:tr>
      <w:tr w:rsidR="00155FCB" w14:paraId="496387BA" w14:textId="77777777" w:rsidTr="003E56A6">
        <w:trPr>
          <w:trHeight w:hRule="exact" w:val="252"/>
        </w:trPr>
        <w:tc>
          <w:tcPr>
            <w:tcW w:w="0" w:type="auto"/>
            <w:tcBorders>
              <w:top w:val="nil"/>
              <w:left w:val="nil"/>
              <w:bottom w:val="nil"/>
              <w:right w:val="nil"/>
            </w:tcBorders>
            <w:vAlign w:val="center"/>
          </w:tcPr>
          <w:p w14:paraId="3D2D004A"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0270EE54"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4173BF04"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(0.0342)</w:t>
            </w:r>
          </w:p>
        </w:tc>
        <w:tc>
          <w:tcPr>
            <w:tcW w:w="0" w:type="auto"/>
            <w:tcBorders>
              <w:top w:val="nil"/>
              <w:left w:val="nil"/>
              <w:bottom w:val="nil"/>
              <w:right w:val="nil"/>
            </w:tcBorders>
            <w:vAlign w:val="center"/>
          </w:tcPr>
          <w:p w14:paraId="1073E6A2"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(0.0338)</w:t>
            </w:r>
          </w:p>
        </w:tc>
      </w:tr>
      <w:tr w:rsidR="00155FCB" w14:paraId="2084C385" w14:textId="77777777" w:rsidTr="003E56A6">
        <w:trPr>
          <w:trHeight w:hRule="exact" w:val="252"/>
        </w:trPr>
        <w:tc>
          <w:tcPr>
            <w:tcW w:w="0" w:type="auto"/>
            <w:tcBorders>
              <w:top w:val="nil"/>
              <w:left w:val="nil"/>
              <w:bottom w:val="nil"/>
              <w:right w:val="nil"/>
            </w:tcBorders>
            <w:vAlign w:val="center"/>
          </w:tcPr>
          <w:p w14:paraId="0A5AD13A"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9194BB3"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A7A039F"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5E9AC52" w14:textId="77777777" w:rsidR="00155FCB" w:rsidRPr="00CC4486" w:rsidRDefault="00155FCB" w:rsidP="003E56A6">
            <w:pPr>
              <w:widowControl w:val="0"/>
              <w:autoSpaceDE w:val="0"/>
              <w:autoSpaceDN w:val="0"/>
              <w:adjustRightInd w:val="0"/>
              <w:jc w:val="center"/>
              <w:rPr>
                <w:sz w:val="18"/>
                <w:szCs w:val="18"/>
              </w:rPr>
            </w:pPr>
          </w:p>
        </w:tc>
      </w:tr>
      <w:tr w:rsidR="00155FCB" w14:paraId="4264D7FB" w14:textId="77777777" w:rsidTr="003E56A6">
        <w:trPr>
          <w:trHeight w:hRule="exact" w:val="252"/>
        </w:trPr>
        <w:tc>
          <w:tcPr>
            <w:tcW w:w="0" w:type="auto"/>
            <w:tcBorders>
              <w:top w:val="nil"/>
              <w:left w:val="nil"/>
              <w:bottom w:val="nil"/>
              <w:right w:val="nil"/>
            </w:tcBorders>
            <w:vAlign w:val="center"/>
          </w:tcPr>
          <w:p w14:paraId="204D975D" w14:textId="77777777" w:rsidR="00155FCB" w:rsidRPr="00CC4486" w:rsidRDefault="00155FCB" w:rsidP="003E56A6">
            <w:pPr>
              <w:widowControl w:val="0"/>
              <w:autoSpaceDE w:val="0"/>
              <w:autoSpaceDN w:val="0"/>
              <w:adjustRightInd w:val="0"/>
              <w:rPr>
                <w:sz w:val="18"/>
                <w:szCs w:val="18"/>
              </w:rPr>
            </w:pPr>
            <w:r w:rsidRPr="00CC4486">
              <w:rPr>
                <w:sz w:val="18"/>
                <w:szCs w:val="18"/>
              </w:rPr>
              <w:t>Year</w:t>
            </w:r>
          </w:p>
        </w:tc>
        <w:tc>
          <w:tcPr>
            <w:tcW w:w="0" w:type="auto"/>
            <w:tcBorders>
              <w:top w:val="nil"/>
              <w:left w:val="nil"/>
              <w:bottom w:val="nil"/>
              <w:right w:val="nil"/>
            </w:tcBorders>
            <w:vAlign w:val="center"/>
          </w:tcPr>
          <w:p w14:paraId="5BB4A0A7"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3B8406A7"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300024B" w14:textId="77777777" w:rsidR="00155FCB" w:rsidRPr="00080C59" w:rsidRDefault="00155FCB" w:rsidP="003E56A6">
            <w:pPr>
              <w:widowControl w:val="0"/>
              <w:autoSpaceDE w:val="0"/>
              <w:autoSpaceDN w:val="0"/>
              <w:adjustRightInd w:val="0"/>
              <w:jc w:val="center"/>
              <w:rPr>
                <w:b/>
                <w:bCs/>
                <w:sz w:val="18"/>
                <w:szCs w:val="18"/>
              </w:rPr>
            </w:pPr>
            <w:r w:rsidRPr="00080C59">
              <w:rPr>
                <w:b/>
                <w:bCs/>
                <w:sz w:val="18"/>
                <w:szCs w:val="18"/>
              </w:rPr>
              <w:t>-0.0158</w:t>
            </w:r>
            <w:r w:rsidRPr="00080C59">
              <w:rPr>
                <w:b/>
                <w:bCs/>
                <w:sz w:val="18"/>
                <w:szCs w:val="18"/>
                <w:vertAlign w:val="superscript"/>
              </w:rPr>
              <w:t>***</w:t>
            </w:r>
          </w:p>
        </w:tc>
      </w:tr>
      <w:tr w:rsidR="00155FCB" w14:paraId="15F1B9D8" w14:textId="77777777" w:rsidTr="003E56A6">
        <w:trPr>
          <w:trHeight w:hRule="exact" w:val="252"/>
        </w:trPr>
        <w:tc>
          <w:tcPr>
            <w:tcW w:w="0" w:type="auto"/>
            <w:tcBorders>
              <w:top w:val="nil"/>
              <w:left w:val="nil"/>
              <w:bottom w:val="nil"/>
              <w:right w:val="nil"/>
            </w:tcBorders>
            <w:vAlign w:val="center"/>
          </w:tcPr>
          <w:p w14:paraId="31BE7EC4"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74120316"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20D53AE"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450419C" w14:textId="77777777" w:rsidR="00155FCB" w:rsidRPr="00080C59" w:rsidRDefault="00155FCB" w:rsidP="003E56A6">
            <w:pPr>
              <w:widowControl w:val="0"/>
              <w:autoSpaceDE w:val="0"/>
              <w:autoSpaceDN w:val="0"/>
              <w:adjustRightInd w:val="0"/>
              <w:jc w:val="center"/>
              <w:rPr>
                <w:b/>
                <w:bCs/>
                <w:sz w:val="18"/>
                <w:szCs w:val="18"/>
              </w:rPr>
            </w:pPr>
            <w:r w:rsidRPr="00080C59">
              <w:rPr>
                <w:b/>
                <w:bCs/>
                <w:sz w:val="18"/>
                <w:szCs w:val="18"/>
              </w:rPr>
              <w:t>(0.00318)</w:t>
            </w:r>
          </w:p>
        </w:tc>
      </w:tr>
      <w:tr w:rsidR="00155FCB" w14:paraId="76A59838" w14:textId="77777777" w:rsidTr="003E56A6">
        <w:trPr>
          <w:trHeight w:hRule="exact" w:val="252"/>
        </w:trPr>
        <w:tc>
          <w:tcPr>
            <w:tcW w:w="0" w:type="auto"/>
            <w:tcBorders>
              <w:top w:val="nil"/>
              <w:left w:val="nil"/>
              <w:bottom w:val="nil"/>
              <w:right w:val="nil"/>
            </w:tcBorders>
            <w:vAlign w:val="center"/>
          </w:tcPr>
          <w:p w14:paraId="75734179"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61A3AD06"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5F31B8F0"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1190AF66" w14:textId="77777777" w:rsidR="00155FCB" w:rsidRPr="00CC4486" w:rsidRDefault="00155FCB" w:rsidP="003E56A6">
            <w:pPr>
              <w:widowControl w:val="0"/>
              <w:autoSpaceDE w:val="0"/>
              <w:autoSpaceDN w:val="0"/>
              <w:adjustRightInd w:val="0"/>
              <w:jc w:val="center"/>
              <w:rPr>
                <w:sz w:val="18"/>
                <w:szCs w:val="18"/>
              </w:rPr>
            </w:pPr>
          </w:p>
        </w:tc>
      </w:tr>
      <w:tr w:rsidR="00155FCB" w14:paraId="356E6735" w14:textId="77777777" w:rsidTr="003E56A6">
        <w:trPr>
          <w:trHeight w:hRule="exact" w:val="252"/>
        </w:trPr>
        <w:tc>
          <w:tcPr>
            <w:tcW w:w="0" w:type="auto"/>
            <w:tcBorders>
              <w:top w:val="nil"/>
              <w:left w:val="nil"/>
              <w:bottom w:val="nil"/>
              <w:right w:val="nil"/>
            </w:tcBorders>
            <w:vAlign w:val="center"/>
          </w:tcPr>
          <w:p w14:paraId="49CD9713" w14:textId="77777777" w:rsidR="00155FCB" w:rsidRPr="00CC4486" w:rsidRDefault="00155FCB" w:rsidP="003E56A6">
            <w:pPr>
              <w:widowControl w:val="0"/>
              <w:autoSpaceDE w:val="0"/>
              <w:autoSpaceDN w:val="0"/>
              <w:adjustRightInd w:val="0"/>
              <w:rPr>
                <w:sz w:val="18"/>
                <w:szCs w:val="18"/>
              </w:rPr>
            </w:pPr>
            <w:r w:rsidRPr="00CC4486">
              <w:rPr>
                <w:sz w:val="18"/>
                <w:szCs w:val="18"/>
              </w:rPr>
              <w:t>Industry</w:t>
            </w:r>
          </w:p>
        </w:tc>
        <w:tc>
          <w:tcPr>
            <w:tcW w:w="0" w:type="auto"/>
            <w:tcBorders>
              <w:top w:val="nil"/>
              <w:left w:val="nil"/>
              <w:bottom w:val="nil"/>
              <w:right w:val="nil"/>
            </w:tcBorders>
            <w:vAlign w:val="center"/>
          </w:tcPr>
          <w:p w14:paraId="6F29A21F"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2B3D6085"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nil"/>
              <w:right w:val="nil"/>
            </w:tcBorders>
            <w:vAlign w:val="center"/>
          </w:tcPr>
          <w:p w14:paraId="6CAC9F76"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r>
      <w:tr w:rsidR="00155FCB" w14:paraId="15F290FA" w14:textId="77777777" w:rsidTr="003E56A6">
        <w:trPr>
          <w:trHeight w:hRule="exact" w:val="252"/>
        </w:trPr>
        <w:tc>
          <w:tcPr>
            <w:tcW w:w="0" w:type="auto"/>
            <w:tcBorders>
              <w:top w:val="nil"/>
              <w:left w:val="nil"/>
              <w:bottom w:val="nil"/>
              <w:right w:val="nil"/>
            </w:tcBorders>
            <w:vAlign w:val="center"/>
          </w:tcPr>
          <w:p w14:paraId="677A211C" w14:textId="77777777" w:rsidR="00155FCB" w:rsidRPr="00CC4486" w:rsidRDefault="00155FCB" w:rsidP="003E56A6">
            <w:pPr>
              <w:widowControl w:val="0"/>
              <w:autoSpaceDE w:val="0"/>
              <w:autoSpaceDN w:val="0"/>
              <w:adjustRightInd w:val="0"/>
              <w:rPr>
                <w:sz w:val="18"/>
                <w:szCs w:val="18"/>
              </w:rPr>
            </w:pPr>
          </w:p>
        </w:tc>
        <w:tc>
          <w:tcPr>
            <w:tcW w:w="0" w:type="auto"/>
            <w:tcBorders>
              <w:top w:val="nil"/>
              <w:left w:val="nil"/>
              <w:bottom w:val="nil"/>
              <w:right w:val="nil"/>
            </w:tcBorders>
            <w:vAlign w:val="center"/>
          </w:tcPr>
          <w:p w14:paraId="53552C9A"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059CEC56" w14:textId="77777777" w:rsidR="00155FCB" w:rsidRPr="00CC4486" w:rsidRDefault="00155FCB" w:rsidP="003E56A6">
            <w:pPr>
              <w:widowControl w:val="0"/>
              <w:autoSpaceDE w:val="0"/>
              <w:autoSpaceDN w:val="0"/>
              <w:adjustRightInd w:val="0"/>
              <w:jc w:val="center"/>
              <w:rPr>
                <w:sz w:val="18"/>
                <w:szCs w:val="18"/>
              </w:rPr>
            </w:pPr>
          </w:p>
        </w:tc>
        <w:tc>
          <w:tcPr>
            <w:tcW w:w="0" w:type="auto"/>
            <w:tcBorders>
              <w:top w:val="nil"/>
              <w:left w:val="nil"/>
              <w:bottom w:val="nil"/>
              <w:right w:val="nil"/>
            </w:tcBorders>
            <w:vAlign w:val="center"/>
          </w:tcPr>
          <w:p w14:paraId="7023514B" w14:textId="77777777" w:rsidR="00155FCB" w:rsidRPr="00CC4486" w:rsidRDefault="00155FCB" w:rsidP="003E56A6">
            <w:pPr>
              <w:widowControl w:val="0"/>
              <w:autoSpaceDE w:val="0"/>
              <w:autoSpaceDN w:val="0"/>
              <w:adjustRightInd w:val="0"/>
              <w:jc w:val="center"/>
              <w:rPr>
                <w:sz w:val="18"/>
                <w:szCs w:val="18"/>
              </w:rPr>
            </w:pPr>
          </w:p>
        </w:tc>
      </w:tr>
      <w:tr w:rsidR="00155FCB" w14:paraId="502A30A6" w14:textId="77777777" w:rsidTr="003E56A6">
        <w:trPr>
          <w:trHeight w:hRule="exact" w:val="252"/>
        </w:trPr>
        <w:tc>
          <w:tcPr>
            <w:tcW w:w="0" w:type="auto"/>
            <w:tcBorders>
              <w:top w:val="nil"/>
              <w:left w:val="nil"/>
              <w:bottom w:val="single" w:sz="4" w:space="0" w:color="auto"/>
              <w:right w:val="nil"/>
            </w:tcBorders>
            <w:vAlign w:val="center"/>
          </w:tcPr>
          <w:p w14:paraId="15B07B7F" w14:textId="77777777" w:rsidR="00155FCB" w:rsidRPr="00CC4486" w:rsidRDefault="00155FCB" w:rsidP="003E56A6">
            <w:pPr>
              <w:widowControl w:val="0"/>
              <w:autoSpaceDE w:val="0"/>
              <w:autoSpaceDN w:val="0"/>
              <w:adjustRightInd w:val="0"/>
              <w:rPr>
                <w:sz w:val="18"/>
                <w:szCs w:val="18"/>
              </w:rPr>
            </w:pPr>
            <w:r w:rsidRPr="00CC4486">
              <w:rPr>
                <w:sz w:val="18"/>
                <w:szCs w:val="18"/>
              </w:rPr>
              <w:t>Advisors</w:t>
            </w:r>
          </w:p>
        </w:tc>
        <w:tc>
          <w:tcPr>
            <w:tcW w:w="0" w:type="auto"/>
            <w:tcBorders>
              <w:top w:val="nil"/>
              <w:left w:val="nil"/>
              <w:bottom w:val="single" w:sz="4" w:space="0" w:color="auto"/>
              <w:right w:val="nil"/>
            </w:tcBorders>
            <w:vAlign w:val="center"/>
          </w:tcPr>
          <w:p w14:paraId="2E7E8537"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single" w:sz="4" w:space="0" w:color="auto"/>
              <w:right w:val="nil"/>
            </w:tcBorders>
            <w:vAlign w:val="center"/>
          </w:tcPr>
          <w:p w14:paraId="46C94CCC"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c>
          <w:tcPr>
            <w:tcW w:w="0" w:type="auto"/>
            <w:tcBorders>
              <w:top w:val="nil"/>
              <w:left w:val="nil"/>
              <w:bottom w:val="single" w:sz="4" w:space="0" w:color="auto"/>
              <w:right w:val="nil"/>
            </w:tcBorders>
            <w:vAlign w:val="center"/>
          </w:tcPr>
          <w:p w14:paraId="33940254"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Yes</w:t>
            </w:r>
          </w:p>
        </w:tc>
      </w:tr>
      <w:tr w:rsidR="00155FCB" w14:paraId="20313D28" w14:textId="77777777" w:rsidTr="003E56A6">
        <w:trPr>
          <w:trHeight w:hRule="exact" w:val="252"/>
        </w:trPr>
        <w:tc>
          <w:tcPr>
            <w:tcW w:w="0" w:type="auto"/>
            <w:tcBorders>
              <w:top w:val="single" w:sz="4" w:space="0" w:color="auto"/>
              <w:left w:val="nil"/>
              <w:bottom w:val="nil"/>
              <w:right w:val="nil"/>
            </w:tcBorders>
            <w:vAlign w:val="center"/>
          </w:tcPr>
          <w:p w14:paraId="7D992BDD" w14:textId="77777777" w:rsidR="00155FCB" w:rsidRPr="00CC4486" w:rsidRDefault="00155FCB" w:rsidP="003E56A6">
            <w:pPr>
              <w:widowControl w:val="0"/>
              <w:autoSpaceDE w:val="0"/>
              <w:autoSpaceDN w:val="0"/>
              <w:adjustRightInd w:val="0"/>
              <w:rPr>
                <w:sz w:val="18"/>
                <w:szCs w:val="18"/>
              </w:rPr>
            </w:pPr>
            <w:r w:rsidRPr="00CC4486">
              <w:rPr>
                <w:i/>
                <w:iCs/>
                <w:sz w:val="18"/>
                <w:szCs w:val="18"/>
              </w:rPr>
              <w:t>R</w:t>
            </w:r>
            <w:r w:rsidRPr="00CC4486">
              <w:rPr>
                <w:sz w:val="18"/>
                <w:szCs w:val="18"/>
                <w:vertAlign w:val="superscript"/>
              </w:rPr>
              <w:t>2</w:t>
            </w:r>
          </w:p>
        </w:tc>
        <w:tc>
          <w:tcPr>
            <w:tcW w:w="0" w:type="auto"/>
            <w:tcBorders>
              <w:top w:val="single" w:sz="4" w:space="0" w:color="auto"/>
              <w:left w:val="nil"/>
              <w:bottom w:val="nil"/>
              <w:right w:val="nil"/>
            </w:tcBorders>
            <w:vAlign w:val="center"/>
          </w:tcPr>
          <w:p w14:paraId="7834BC23"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0.265</w:t>
            </w:r>
          </w:p>
        </w:tc>
        <w:tc>
          <w:tcPr>
            <w:tcW w:w="0" w:type="auto"/>
            <w:tcBorders>
              <w:top w:val="single" w:sz="4" w:space="0" w:color="auto"/>
              <w:left w:val="nil"/>
              <w:bottom w:val="nil"/>
              <w:right w:val="nil"/>
            </w:tcBorders>
            <w:vAlign w:val="center"/>
          </w:tcPr>
          <w:p w14:paraId="1A22787D"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0.306</w:t>
            </w:r>
          </w:p>
        </w:tc>
        <w:tc>
          <w:tcPr>
            <w:tcW w:w="0" w:type="auto"/>
            <w:tcBorders>
              <w:top w:val="single" w:sz="4" w:space="0" w:color="auto"/>
              <w:left w:val="nil"/>
              <w:bottom w:val="nil"/>
              <w:right w:val="nil"/>
            </w:tcBorders>
            <w:vAlign w:val="center"/>
          </w:tcPr>
          <w:p w14:paraId="37750AEF"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0.329</w:t>
            </w:r>
          </w:p>
        </w:tc>
      </w:tr>
      <w:tr w:rsidR="00155FCB" w14:paraId="1A28ACC2" w14:textId="77777777" w:rsidTr="003E56A6">
        <w:trPr>
          <w:trHeight w:hRule="exact" w:val="252"/>
        </w:trPr>
        <w:tc>
          <w:tcPr>
            <w:tcW w:w="0" w:type="auto"/>
            <w:tcBorders>
              <w:top w:val="nil"/>
              <w:left w:val="nil"/>
              <w:bottom w:val="single" w:sz="4" w:space="0" w:color="auto"/>
              <w:right w:val="nil"/>
            </w:tcBorders>
            <w:vAlign w:val="center"/>
          </w:tcPr>
          <w:p w14:paraId="1C03E234" w14:textId="77777777" w:rsidR="00155FCB" w:rsidRPr="00CC4486" w:rsidRDefault="00155FCB" w:rsidP="003E56A6">
            <w:pPr>
              <w:widowControl w:val="0"/>
              <w:autoSpaceDE w:val="0"/>
              <w:autoSpaceDN w:val="0"/>
              <w:adjustRightInd w:val="0"/>
              <w:rPr>
                <w:sz w:val="18"/>
                <w:szCs w:val="18"/>
              </w:rPr>
            </w:pPr>
            <w:r w:rsidRPr="00CC4486">
              <w:rPr>
                <w:i/>
                <w:iCs/>
                <w:sz w:val="18"/>
                <w:szCs w:val="18"/>
              </w:rPr>
              <w:t>N</w:t>
            </w:r>
          </w:p>
        </w:tc>
        <w:tc>
          <w:tcPr>
            <w:tcW w:w="0" w:type="auto"/>
            <w:tcBorders>
              <w:top w:val="nil"/>
              <w:left w:val="nil"/>
              <w:bottom w:val="single" w:sz="4" w:space="0" w:color="auto"/>
              <w:right w:val="nil"/>
            </w:tcBorders>
            <w:vAlign w:val="center"/>
          </w:tcPr>
          <w:p w14:paraId="5C09A0FB"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822</w:t>
            </w:r>
          </w:p>
        </w:tc>
        <w:tc>
          <w:tcPr>
            <w:tcW w:w="0" w:type="auto"/>
            <w:tcBorders>
              <w:top w:val="nil"/>
              <w:left w:val="nil"/>
              <w:bottom w:val="single" w:sz="4" w:space="0" w:color="auto"/>
              <w:right w:val="nil"/>
            </w:tcBorders>
            <w:vAlign w:val="center"/>
          </w:tcPr>
          <w:p w14:paraId="7871B0F2"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822</w:t>
            </w:r>
          </w:p>
        </w:tc>
        <w:tc>
          <w:tcPr>
            <w:tcW w:w="0" w:type="auto"/>
            <w:tcBorders>
              <w:top w:val="nil"/>
              <w:left w:val="nil"/>
              <w:bottom w:val="single" w:sz="4" w:space="0" w:color="auto"/>
              <w:right w:val="nil"/>
            </w:tcBorders>
            <w:vAlign w:val="center"/>
          </w:tcPr>
          <w:p w14:paraId="3C9E261B" w14:textId="77777777" w:rsidR="00155FCB" w:rsidRPr="00CC4486" w:rsidRDefault="00155FCB" w:rsidP="003E56A6">
            <w:pPr>
              <w:widowControl w:val="0"/>
              <w:autoSpaceDE w:val="0"/>
              <w:autoSpaceDN w:val="0"/>
              <w:adjustRightInd w:val="0"/>
              <w:jc w:val="center"/>
              <w:rPr>
                <w:sz w:val="18"/>
                <w:szCs w:val="18"/>
              </w:rPr>
            </w:pPr>
            <w:r w:rsidRPr="00CC4486">
              <w:rPr>
                <w:sz w:val="18"/>
                <w:szCs w:val="18"/>
              </w:rPr>
              <w:t>822</w:t>
            </w:r>
          </w:p>
        </w:tc>
      </w:tr>
    </w:tbl>
    <w:p w14:paraId="72C71558" w14:textId="77777777" w:rsidR="00155FCB" w:rsidRDefault="00155FCB" w:rsidP="00CA09FB">
      <w:pPr>
        <w:widowControl w:val="0"/>
        <w:autoSpaceDE w:val="0"/>
        <w:autoSpaceDN w:val="0"/>
        <w:adjustRightInd w:val="0"/>
        <w:jc w:val="both"/>
        <w:rPr>
          <w:sz w:val="16"/>
          <w:szCs w:val="16"/>
        </w:rPr>
      </w:pPr>
    </w:p>
    <w:p w14:paraId="70BDEBDF" w14:textId="28976D1D" w:rsidR="00BD5D53" w:rsidRPr="00BD5D53" w:rsidRDefault="00BD5D53" w:rsidP="00CA09FB">
      <w:pPr>
        <w:widowControl w:val="0"/>
        <w:autoSpaceDE w:val="0"/>
        <w:autoSpaceDN w:val="0"/>
        <w:adjustRightInd w:val="0"/>
        <w:jc w:val="both"/>
        <w:rPr>
          <w:sz w:val="16"/>
          <w:szCs w:val="16"/>
        </w:rPr>
      </w:pPr>
      <w:r w:rsidRPr="00BD5D53">
        <w:rPr>
          <w:sz w:val="16"/>
          <w:szCs w:val="16"/>
        </w:rPr>
        <w:t>Robust standard errors in parentheses.  Linear probability model is shown; result</w:t>
      </w:r>
      <w:r w:rsidR="00ED258B">
        <w:rPr>
          <w:sz w:val="16"/>
          <w:szCs w:val="16"/>
        </w:rPr>
        <w:t>s</w:t>
      </w:r>
      <w:r w:rsidRPr="00BD5D53">
        <w:rPr>
          <w:sz w:val="16"/>
          <w:szCs w:val="16"/>
        </w:rPr>
        <w:t xml:space="preserve"> are qualitatively similar with logit or probit models. Main results are robust to clustering standard errors at the year level or using classical standard errors. </w:t>
      </w:r>
      <w:r w:rsidR="00670AFF" w:rsidRPr="00BD5D53">
        <w:rPr>
          <w:sz w:val="16"/>
          <w:szCs w:val="16"/>
        </w:rPr>
        <w:t>Assets and</w:t>
      </w:r>
      <w:r w:rsidR="00670AFF" w:rsidRPr="007A175C">
        <w:rPr>
          <w:caps/>
          <w:sz w:val="16"/>
          <w:szCs w:val="16"/>
        </w:rPr>
        <w:t xml:space="preserve"> Ebit </w:t>
      </w:r>
      <w:r w:rsidR="00670AFF" w:rsidRPr="00BD5D53">
        <w:rPr>
          <w:sz w:val="16"/>
          <w:szCs w:val="16"/>
        </w:rPr>
        <w:t xml:space="preserve">are in real </w:t>
      </w:r>
      <w:r w:rsidR="00670AFF">
        <w:rPr>
          <w:sz w:val="16"/>
          <w:szCs w:val="16"/>
        </w:rPr>
        <w:t>2022</w:t>
      </w:r>
      <w:r w:rsidR="00657224">
        <w:rPr>
          <w:sz w:val="16"/>
          <w:szCs w:val="16"/>
        </w:rPr>
        <w:t>-</w:t>
      </w:r>
      <w:r w:rsidR="00670AFF">
        <w:rPr>
          <w:sz w:val="16"/>
          <w:szCs w:val="16"/>
        </w:rPr>
        <w:t xml:space="preserve">dollar </w:t>
      </w:r>
      <w:r w:rsidR="00670AFF" w:rsidRPr="00BD5D53">
        <w:rPr>
          <w:sz w:val="16"/>
          <w:szCs w:val="16"/>
        </w:rPr>
        <w:t xml:space="preserve">terms. </w:t>
      </w:r>
      <w:r w:rsidR="00670AFF">
        <w:rPr>
          <w:sz w:val="16"/>
          <w:szCs w:val="16"/>
        </w:rPr>
        <w:t xml:space="preserve">Log assets are the natural logarithm of assets at petition in millions of real dollars. Assets at petition come from schedule A of the Bankruptcy petition or the first 10-K or 10-Q filed during the bankruptcy.  EBIT comes from the last 10-K filed before bankruptcy and is in billions of real 2022 dollars.  </w:t>
      </w:r>
      <w:r w:rsidRPr="00BD5D53">
        <w:rPr>
          <w:sz w:val="16"/>
          <w:szCs w:val="16"/>
        </w:rPr>
        <w:t xml:space="preserve">The following are binary indicator variables: Obtained DIP Financing; Intercompany Claims; and 363 </w:t>
      </w:r>
      <w:r w:rsidR="000E2EB7">
        <w:rPr>
          <w:sz w:val="16"/>
          <w:szCs w:val="16"/>
        </w:rPr>
        <w:t>S</w:t>
      </w:r>
      <w:r w:rsidRPr="00BD5D53">
        <w:rPr>
          <w:sz w:val="16"/>
          <w:szCs w:val="16"/>
        </w:rPr>
        <w:t>ale. Industry control indicators use Fama</w:t>
      </w:r>
      <w:r w:rsidR="00ED258B">
        <w:rPr>
          <w:sz w:val="16"/>
          <w:szCs w:val="16"/>
        </w:rPr>
        <w:t>–</w:t>
      </w:r>
      <w:r w:rsidRPr="00BD5D53">
        <w:rPr>
          <w:sz w:val="16"/>
          <w:szCs w:val="16"/>
        </w:rPr>
        <w:t xml:space="preserve">French 5-industry classification. The </w:t>
      </w:r>
      <w:r w:rsidR="00ED258B">
        <w:rPr>
          <w:sz w:val="16"/>
          <w:szCs w:val="16"/>
        </w:rPr>
        <w:t>A</w:t>
      </w:r>
      <w:r w:rsidRPr="00BD5D53">
        <w:rPr>
          <w:sz w:val="16"/>
          <w:szCs w:val="16"/>
        </w:rPr>
        <w:t>dvisors indicator controls for the attorneys for the debtor and the creditors committee.</w:t>
      </w:r>
    </w:p>
    <w:p w14:paraId="410EC891" w14:textId="77777777" w:rsidR="00BD5D53" w:rsidRPr="00BD5D53" w:rsidRDefault="00BD5D53" w:rsidP="00CA09FB">
      <w:pPr>
        <w:widowControl w:val="0"/>
        <w:autoSpaceDE w:val="0"/>
        <w:autoSpaceDN w:val="0"/>
        <w:adjustRightInd w:val="0"/>
        <w:jc w:val="both"/>
        <w:rPr>
          <w:sz w:val="16"/>
          <w:szCs w:val="16"/>
        </w:rPr>
      </w:pP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0.10,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0.05,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0.01, </w:t>
      </w:r>
      <w:r w:rsidRPr="00BD5D53">
        <w:rPr>
          <w:sz w:val="16"/>
          <w:szCs w:val="16"/>
          <w:vertAlign w:val="superscript"/>
        </w:rPr>
        <w:t>***</w:t>
      </w:r>
      <w:r w:rsidRPr="00BD5D53">
        <w:rPr>
          <w:sz w:val="16"/>
          <w:szCs w:val="16"/>
        </w:rPr>
        <w:t xml:space="preserve"> </w:t>
      </w:r>
      <w:r w:rsidRPr="00BD5D53">
        <w:rPr>
          <w:i/>
          <w:iCs/>
          <w:sz w:val="16"/>
          <w:szCs w:val="16"/>
        </w:rPr>
        <w:t>p</w:t>
      </w:r>
      <w:r w:rsidRPr="00BD5D53">
        <w:rPr>
          <w:sz w:val="16"/>
          <w:szCs w:val="16"/>
        </w:rPr>
        <w:t xml:space="preserve"> &lt; 0.001</w:t>
      </w:r>
    </w:p>
    <w:p w14:paraId="7D0DD3D0" w14:textId="77777777" w:rsidR="00B57F96" w:rsidRDefault="00B57F96">
      <w:pPr>
        <w:rPr>
          <w:sz w:val="21"/>
        </w:rPr>
      </w:pPr>
      <w:r>
        <w:br w:type="page"/>
      </w:r>
    </w:p>
    <w:p w14:paraId="40ED2EEA" w14:textId="751F0649" w:rsidR="00D05FF5" w:rsidRDefault="00D674A3" w:rsidP="007F7FA3">
      <w:pPr>
        <w:pStyle w:val="Paragraphformat"/>
      </w:pPr>
      <w:r>
        <w:lastRenderedPageBreak/>
        <w:t xml:space="preserve">Why are firms with more assets more likely to remain public? </w:t>
      </w:r>
      <w:r w:rsidR="0079360B">
        <w:t xml:space="preserve">Private capital may still not be plentiful enough to </w:t>
      </w:r>
      <w:r>
        <w:t>purchase</w:t>
      </w:r>
      <w:r w:rsidR="0079360B">
        <w:t xml:space="preserve"> or fully finance the largest public firms.  </w:t>
      </w:r>
      <w:r>
        <w:t xml:space="preserve">Alternatively, </w:t>
      </w:r>
      <w:r w:rsidR="006C7D14">
        <w:t>larger</w:t>
      </w:r>
      <w:r>
        <w:t xml:space="preserve"> firms may anticipate buy-side M&amp;A activity and w</w:t>
      </w:r>
      <w:r w:rsidR="001055B2">
        <w:t>ant</w:t>
      </w:r>
      <w:r>
        <w:t xml:space="preserve"> liquid securities </w:t>
      </w:r>
      <w:r w:rsidR="001055B2">
        <w:t xml:space="preserve">for </w:t>
      </w:r>
      <w:r>
        <w:t>currency for acquisitions.</w:t>
      </w:r>
      <w:r w:rsidRPr="00225374">
        <w:rPr>
          <w:rStyle w:val="FootnoteReference"/>
        </w:rPr>
        <w:footnoteReference w:id="14"/>
      </w:r>
      <w:r>
        <w:t xml:space="preserve"> </w:t>
      </w:r>
      <w:r w:rsidR="006C7D14">
        <w:t>C</w:t>
      </w:r>
      <w:r w:rsidR="0079360B">
        <w:t xml:space="preserve">ontinued access to public markets may be more valuable to larger firms. </w:t>
      </w:r>
      <w:r w:rsidR="00A0593F">
        <w:t xml:space="preserve">This is </w:t>
      </w:r>
      <w:r w:rsidR="00783E3B">
        <w:t xml:space="preserve">consistent with prior research finding that </w:t>
      </w:r>
      <w:r w:rsidR="00A0593F">
        <w:t>going</w:t>
      </w:r>
      <w:r w:rsidR="00783E3B">
        <w:t xml:space="preserve"> public</w:t>
      </w:r>
      <w:r w:rsidR="00A0593F">
        <w:t xml:space="preserve"> or remaining public</w:t>
      </w:r>
      <w:r w:rsidR="00783E3B">
        <w:t xml:space="preserve"> is more beneficial to larger firms and less beneficial</w:t>
      </w:r>
      <w:r w:rsidR="00A0593F">
        <w:t>, or proportionately more costly,</w:t>
      </w:r>
      <w:r w:rsidR="00783E3B">
        <w:t xml:space="preserve"> to smaller ones.</w:t>
      </w:r>
      <w:r w:rsidR="00562A37" w:rsidRPr="00225374">
        <w:rPr>
          <w:rStyle w:val="FootnoteReference"/>
        </w:rPr>
        <w:footnoteReference w:id="15"/>
      </w:r>
    </w:p>
    <w:p w14:paraId="2A01BBD6" w14:textId="113ED905" w:rsidR="00F65EA0" w:rsidRDefault="00D05FF5" w:rsidP="007F7FA3">
      <w:pPr>
        <w:pStyle w:val="Paragraphformat"/>
      </w:pPr>
      <w:r>
        <w:t>F</w:t>
      </w:r>
      <w:r w:rsidR="00C2506E">
        <w:t xml:space="preserve">irms with higher </w:t>
      </w:r>
      <w:r w:rsidR="00AD2B04">
        <w:t>EBIT</w:t>
      </w:r>
      <w:r w:rsidR="00C2506E">
        <w:t xml:space="preserve"> prior to bankruptcy are </w:t>
      </w:r>
      <w:r>
        <w:t xml:space="preserve">more likely to go private.  </w:t>
      </w:r>
      <w:r w:rsidR="00AE0D1D">
        <w:t xml:space="preserve">Firms with higher earnings and cash flows </w:t>
      </w:r>
      <w:r w:rsidR="00110A8C">
        <w:t xml:space="preserve">should be better able </w:t>
      </w:r>
      <w:r w:rsidR="00AE0D1D">
        <w:t xml:space="preserve">to </w:t>
      </w:r>
      <w:r w:rsidR="00110A8C">
        <w:t xml:space="preserve">internally </w:t>
      </w:r>
      <w:r w:rsidR="00AE0D1D">
        <w:t xml:space="preserve">finance operations, or to obtain more debt financing on favorable terms. </w:t>
      </w:r>
      <w:r w:rsidR="00B809C9">
        <w:t>Higher</w:t>
      </w:r>
      <w:r w:rsidR="00AE0D1D">
        <w:t xml:space="preserve"> cash flow increases the extent to which </w:t>
      </w:r>
      <w:r w:rsidR="00B809C9">
        <w:t>firms</w:t>
      </w:r>
      <w:r w:rsidR="00AE0D1D">
        <w:t xml:space="preserve"> can access private capital</w:t>
      </w:r>
      <w:r w:rsidR="00B809C9">
        <w:t>—which is primarily in the form of debt</w:t>
      </w:r>
      <w:r w:rsidR="0048272B" w:rsidRPr="00225374">
        <w:rPr>
          <w:rStyle w:val="FootnoteReference"/>
        </w:rPr>
        <w:footnoteReference w:id="16"/>
      </w:r>
      <w:r w:rsidR="00B809C9">
        <w:t>—</w:t>
      </w:r>
      <w:r w:rsidR="00AE0D1D">
        <w:t xml:space="preserve">and reduces their need for public shareholders. </w:t>
      </w:r>
    </w:p>
    <w:p w14:paraId="2CD55E28" w14:textId="4DB7528E" w:rsidR="00B353E6" w:rsidRDefault="00F65EA0" w:rsidP="007F7FA3">
      <w:pPr>
        <w:pStyle w:val="Paragraphformat"/>
      </w:pPr>
      <w:r>
        <w:t>Firms that have DIP financing at the start of the proceeding are more likely to emerge as private firms. B</w:t>
      </w:r>
      <w:r w:rsidR="00AE0D1D">
        <w:t>y definition</w:t>
      </w:r>
      <w:r w:rsidR="00B809C9">
        <w:t>,</w:t>
      </w:r>
      <w:r w:rsidR="00AE0D1D">
        <w:t xml:space="preserve"> </w:t>
      </w:r>
      <w:r>
        <w:t xml:space="preserve">those firms </w:t>
      </w:r>
      <w:r w:rsidR="00AE0D1D">
        <w:t>have access to private debt capital.</w:t>
      </w:r>
      <w:r w:rsidR="00B809C9">
        <w:t xml:space="preserve"> </w:t>
      </w:r>
      <w:r w:rsidR="006A3650">
        <w:t>T</w:t>
      </w:r>
      <w:r w:rsidR="00B353E6">
        <w:t>he</w:t>
      </w:r>
      <w:r w:rsidR="00B809C9">
        <w:t xml:space="preserve"> DIP financing </w:t>
      </w:r>
      <w:r w:rsidR="006A3650">
        <w:t>relevance</w:t>
      </w:r>
      <w:r w:rsidR="00B809C9">
        <w:t xml:space="preserve"> </w:t>
      </w:r>
      <w:r w:rsidR="00CD14A2">
        <w:t>might</w:t>
      </w:r>
      <w:r w:rsidR="00B809C9">
        <w:t xml:space="preserve"> be explained by </w:t>
      </w:r>
      <w:r w:rsidR="00B353E6">
        <w:t>anticipation of</w:t>
      </w:r>
      <w:r w:rsidR="00B809C9">
        <w:t xml:space="preserve"> post-bankruptcy exit strategies. </w:t>
      </w:r>
      <w:r w:rsidR="00B353E6">
        <w:t>According to this view, s</w:t>
      </w:r>
      <w:r w:rsidR="00B809C9">
        <w:t xml:space="preserve">ince DIP financing is typically short term and expensive, </w:t>
      </w:r>
      <w:r w:rsidR="00B353E6">
        <w:t>the choice to obtain DIP financing</w:t>
      </w:r>
      <w:r w:rsidR="00B809C9">
        <w:t xml:space="preserve"> align</w:t>
      </w:r>
      <w:r w:rsidR="004473FE">
        <w:t>s</w:t>
      </w:r>
      <w:r w:rsidR="00B809C9">
        <w:t xml:space="preserve"> with a </w:t>
      </w:r>
      <w:r w:rsidR="00B353E6">
        <w:t xml:space="preserve">pre-planned </w:t>
      </w:r>
      <w:r w:rsidR="00B809C9">
        <w:t xml:space="preserve">strategy of quickly selling the firm. </w:t>
      </w:r>
      <w:r w:rsidR="004A38A0">
        <w:t xml:space="preserve">The two correlate. </w:t>
      </w:r>
      <w:r w:rsidR="00B353E6">
        <w:t xml:space="preserve">Some </w:t>
      </w:r>
      <w:r w:rsidR="004A38A0">
        <w:t xml:space="preserve">also </w:t>
      </w:r>
      <w:r w:rsidR="00B353E6">
        <w:t>argue that DIP lenders may push for a quick sale, even if such a sale is not value-maximizing for claimants as a whole</w:t>
      </w:r>
      <w:r w:rsidR="0050768F">
        <w:t>,</w:t>
      </w:r>
      <w:bookmarkStart w:id="42" w:name="_Ref175141114"/>
      <w:r w:rsidR="0050768F" w:rsidRPr="00225374">
        <w:rPr>
          <w:rStyle w:val="FootnoteReference"/>
        </w:rPr>
        <w:footnoteReference w:id="17"/>
      </w:r>
      <w:bookmarkEnd w:id="42"/>
      <w:r w:rsidR="00B353E6">
        <w:t xml:space="preserve"> </w:t>
      </w:r>
      <w:r w:rsidR="0050768F">
        <w:t xml:space="preserve">while others have pointed out advantages of creditor control </w:t>
      </w:r>
      <w:r w:rsidR="00790FDA">
        <w:t>or</w:t>
      </w:r>
      <w:r w:rsidR="0050768F">
        <w:t xml:space="preserve"> of an </w:t>
      </w:r>
      <w:r w:rsidR="00790FDA">
        <w:t xml:space="preserve">optional </w:t>
      </w:r>
      <w:r w:rsidR="0050768F">
        <w:t>auction regime that helps resolve valuation disputes</w:t>
      </w:r>
      <w:r w:rsidR="00790FDA">
        <w:t>.</w:t>
      </w:r>
      <w:bookmarkStart w:id="43" w:name="_Ref175067091"/>
      <w:r w:rsidR="00790FDA" w:rsidRPr="00225374">
        <w:rPr>
          <w:rStyle w:val="FootnoteReference"/>
        </w:rPr>
        <w:footnoteReference w:id="18"/>
      </w:r>
      <w:bookmarkEnd w:id="43"/>
      <w:r w:rsidR="00790FDA">
        <w:t xml:space="preserve"> Normative views aside, </w:t>
      </w:r>
      <w:r w:rsidR="0050768F">
        <w:t>the literature has generally</w:t>
      </w:r>
      <w:r w:rsidR="00B353E6">
        <w:t xml:space="preserve"> </w:t>
      </w:r>
      <w:r w:rsidR="009F7942">
        <w:t>found evidence, consistent with our findings,</w:t>
      </w:r>
      <w:r w:rsidR="0050768F">
        <w:t xml:space="preserve"> that DIP financing </w:t>
      </w:r>
      <w:r w:rsidR="00B409EA">
        <w:t xml:space="preserve">implicates </w:t>
      </w:r>
      <w:r w:rsidR="0050768F">
        <w:t xml:space="preserve">the </w:t>
      </w:r>
      <w:r w:rsidR="00790FDA">
        <w:t>direction a bankruptcy will take</w:t>
      </w:r>
      <w:r w:rsidR="0050768F">
        <w:t>.</w:t>
      </w:r>
      <w:r w:rsidR="009F7942" w:rsidRPr="00225374">
        <w:rPr>
          <w:rStyle w:val="FootnoteReference"/>
        </w:rPr>
        <w:footnoteReference w:id="19"/>
      </w:r>
    </w:p>
    <w:p w14:paraId="57AE32BF" w14:textId="61B6BCF6" w:rsidR="00C2506E" w:rsidRPr="00127CE0" w:rsidRDefault="00B353E6" w:rsidP="007F7FA3">
      <w:pPr>
        <w:pStyle w:val="Paragraphformat"/>
      </w:pPr>
      <w:r>
        <w:t>I</w:t>
      </w:r>
      <w:r w:rsidR="00B809C9">
        <w:t>n Table 2</w:t>
      </w:r>
      <w:r w:rsidR="00956492">
        <w:t>,</w:t>
      </w:r>
      <w:r w:rsidR="00B809C9">
        <w:t xml:space="preserve"> column</w:t>
      </w:r>
      <w:r w:rsidR="00956492">
        <w:t>s</w:t>
      </w:r>
      <w:r w:rsidR="00B809C9">
        <w:t xml:space="preserve"> (1) and (2)</w:t>
      </w:r>
      <w:r w:rsidR="00956492">
        <w:t>,</w:t>
      </w:r>
      <w:r w:rsidR="00B809C9">
        <w:t xml:space="preserve"> we see that a </w:t>
      </w:r>
      <w:r w:rsidR="00B809C9">
        <w:rPr>
          <w:i/>
          <w:iCs/>
        </w:rPr>
        <w:t xml:space="preserve">shorter </w:t>
      </w:r>
      <w:r w:rsidR="00B809C9">
        <w:t xml:space="preserve">duration in bankruptcy increases the probability that a firm will remain public. And while a 363 sale does </w:t>
      </w:r>
      <w:r w:rsidR="00B809C9">
        <w:lastRenderedPageBreak/>
        <w:t>dramatically reduce the probability that a firm will remain public—as shown in Table 2 columns (2) and (3)</w:t>
      </w:r>
      <w:r w:rsidR="00CD14A2">
        <w:t>—the coefficients on bankruptcy duration and DIP financing remain significant and negative even after controlling for 363 sales.</w:t>
      </w:r>
      <w:r w:rsidR="009F7942">
        <w:t xml:space="preserve"> This is consistent with the view that shorter bankruptcies are typically less costly.</w:t>
      </w:r>
      <w:r w:rsidR="009F7942" w:rsidRPr="00225374">
        <w:rPr>
          <w:rStyle w:val="FootnoteReference"/>
        </w:rPr>
        <w:footnoteReference w:id="20"/>
      </w:r>
      <w:r w:rsidR="009F7942">
        <w:t xml:space="preserve"> </w:t>
      </w:r>
      <w:r w:rsidR="00127CE0">
        <w:t>It is also consistent with the view that remaining public facilitates valuation—or efforts to bypass the need for valuation—and helps resolve bankruptcies faster.</w:t>
      </w:r>
      <w:r w:rsidR="00127CE0" w:rsidRPr="00225374">
        <w:rPr>
          <w:rStyle w:val="FootnoteReference"/>
        </w:rPr>
        <w:footnoteReference w:id="21"/>
      </w:r>
    </w:p>
    <w:p w14:paraId="228A6C3E" w14:textId="2C4EB2DF" w:rsidR="00CD14A2" w:rsidRDefault="00CD14A2" w:rsidP="007F7FA3">
      <w:pPr>
        <w:pStyle w:val="Paragraphformat"/>
      </w:pPr>
      <w:r>
        <w:t xml:space="preserve">Higher prevailing interest rates at filing and at exit increase the likelihood that a firm will remain public in most specifications. Table 1 controls for interest rates at filing, while Table 2 controls for interest rates </w:t>
      </w:r>
      <w:r w:rsidR="00366A13">
        <w:t xml:space="preserve">both </w:t>
      </w:r>
      <w:r>
        <w:t>at filing and at disposition. The relationship between higher interest rates and remaining public are consistent with the interpretation that the availability and cost of private capital—which is more tilted toward debt compared to public markets—informs the parties’ decision about whether the firm should remain public or go private. Lower interest rates may make acquisition</w:t>
      </w:r>
      <w:r w:rsidR="00F51B9B">
        <w:t>s</w:t>
      </w:r>
      <w:r>
        <w:t xml:space="preserve"> easier to finance</w:t>
      </w:r>
      <w:r w:rsidR="00B353E6">
        <w:t xml:space="preserve"> and current market values more attractive. And indeed, interest rates become a weaker predictor of whether a firm will remain public once we control for whether the firm exited via a 363 sale, in Table 2</w:t>
      </w:r>
      <w:r w:rsidR="0043747D">
        <w:t>, c</w:t>
      </w:r>
      <w:r w:rsidR="00B353E6">
        <w:t>olumn (2). Interest rates</w:t>
      </w:r>
      <w:r>
        <w:t xml:space="preserve"> </w:t>
      </w:r>
      <w:r w:rsidR="00B353E6">
        <w:t>cease to be a statistically significant predictor</w:t>
      </w:r>
      <w:r w:rsidR="004E4138">
        <w:t xml:space="preserve"> once the other factors are accounted for, as column (3) shows</w:t>
      </w:r>
      <w:r w:rsidR="00F14064">
        <w:t>.</w:t>
      </w:r>
    </w:p>
    <w:p w14:paraId="4E309BCA" w14:textId="05B5AD2D" w:rsidR="009F7942" w:rsidRPr="00B809C9" w:rsidRDefault="009F7942" w:rsidP="007F7FA3">
      <w:pPr>
        <w:pStyle w:val="Paragraphformat"/>
      </w:pPr>
      <w:r>
        <w:t>The results remain significant after controlling for industry, and industry controls increase the explanatory power of the model, as shown in Table 1</w:t>
      </w:r>
      <w:r w:rsidR="0043747D">
        <w:t>, c</w:t>
      </w:r>
      <w:r>
        <w:t>olumn (2).</w:t>
      </w:r>
    </w:p>
    <w:p w14:paraId="5BC4D181" w14:textId="72EF89C9" w:rsidR="009F7942" w:rsidRDefault="004A1AE7" w:rsidP="007F7FA3">
      <w:pPr>
        <w:pStyle w:val="Paragraphformat"/>
      </w:pPr>
      <w:r>
        <w:t>The identities of the law firms</w:t>
      </w:r>
      <w:r w:rsidR="000A536C">
        <w:t xml:space="preserve"> advis</w:t>
      </w:r>
      <w:r>
        <w:t>ing</w:t>
      </w:r>
      <w:r w:rsidR="000A536C">
        <w:t xml:space="preserve"> the debtor and creditors committee </w:t>
      </w:r>
      <w:r w:rsidR="007505E4">
        <w:t>are also relevant</w:t>
      </w:r>
      <w:r w:rsidR="000A536C">
        <w:t xml:space="preserve">. </w:t>
      </w:r>
      <w:r w:rsidR="009F7942">
        <w:t>In Table (1), column (3), we see the explanatory power (r-squared)</w:t>
      </w:r>
      <w:r w:rsidR="00971280">
        <w:t xml:space="preserve"> of the model</w:t>
      </w:r>
      <w:r w:rsidR="009F7942">
        <w:t xml:space="preserve"> </w:t>
      </w:r>
      <w:r w:rsidR="00971280">
        <w:t>increasing</w:t>
      </w:r>
      <w:r w:rsidR="005D1F2B">
        <w:t xml:space="preserve"> with the advisory variables.</w:t>
      </w:r>
    </w:p>
    <w:p w14:paraId="53FC9B3C" w14:textId="5441BC03" w:rsidR="00BC1D57" w:rsidRDefault="000A215D" w:rsidP="007F7FA3">
      <w:pPr>
        <w:pStyle w:val="Paragraphformat"/>
      </w:pPr>
      <w:r>
        <w:t>T</w:t>
      </w:r>
      <w:r w:rsidR="000A536C">
        <w:t xml:space="preserve">he </w:t>
      </w:r>
      <w:r w:rsidR="004A1AE7">
        <w:t>forum of the bankruptcy (whether N</w:t>
      </w:r>
      <w:r w:rsidR="00053B21">
        <w:t xml:space="preserve">ew </w:t>
      </w:r>
      <w:r w:rsidR="004A1AE7">
        <w:t>Y</w:t>
      </w:r>
      <w:r w:rsidR="00053B21">
        <w:t>ork</w:t>
      </w:r>
      <w:r w:rsidR="004A1AE7">
        <w:t xml:space="preserve">, Delaware, or a less popular jurisdiction) and the experience level of the judge does </w:t>
      </w:r>
      <w:r w:rsidR="009F7942">
        <w:t xml:space="preserve">not help </w:t>
      </w:r>
      <w:r w:rsidR="00096188">
        <w:t xml:space="preserve">to </w:t>
      </w:r>
      <w:r w:rsidR="009F7942">
        <w:t>explain</w:t>
      </w:r>
      <w:r w:rsidR="004A1AE7">
        <w:t xml:space="preserve"> the </w:t>
      </w:r>
      <w:r w:rsidR="00F331F7">
        <w:t>going private</w:t>
      </w:r>
      <w:r w:rsidR="009E2DD8">
        <w:t xml:space="preserve"> decision</w:t>
      </w:r>
      <w:r w:rsidR="004A1AE7">
        <w:t xml:space="preserve">. </w:t>
      </w:r>
      <w:r w:rsidR="009F7942">
        <w:t>Table (1)</w:t>
      </w:r>
      <w:r>
        <w:t>,</w:t>
      </w:r>
      <w:r w:rsidR="009F7942">
        <w:t xml:space="preserve"> column (4)</w:t>
      </w:r>
      <w:r>
        <w:t xml:space="preserve"> so indicates.</w:t>
      </w:r>
      <w:r w:rsidR="009F7942">
        <w:t xml:space="preserve"> </w:t>
      </w:r>
      <w:r w:rsidR="004A1AE7">
        <w:t>This is consistent with</w:t>
      </w:r>
      <w:r w:rsidR="009E2DD8">
        <w:t xml:space="preserve"> prior research finding that modern bankruptcy is increasingly a deal-making and market-driven process in which courts</w:t>
      </w:r>
      <w:r w:rsidR="001E6D42">
        <w:t xml:space="preserve"> often</w:t>
      </w:r>
      <w:r w:rsidR="009E2DD8">
        <w:t xml:space="preserve"> act as facilitators rather than decision-makers</w:t>
      </w:r>
      <w:r w:rsidR="001E6D42">
        <w:t>, particularly regarding business decisions</w:t>
      </w:r>
      <w:r w:rsidR="009E2DD8">
        <w:t>.</w:t>
      </w:r>
      <w:r w:rsidR="001E6D42" w:rsidRPr="00225374">
        <w:rPr>
          <w:rStyle w:val="FootnoteReference"/>
        </w:rPr>
        <w:footnoteReference w:id="22"/>
      </w:r>
    </w:p>
    <w:p w14:paraId="7CCD7CA8" w14:textId="4D3347DD" w:rsidR="009F7942" w:rsidRDefault="00C2100A" w:rsidP="007F7FA3">
      <w:pPr>
        <w:pStyle w:val="Paragraphformat"/>
      </w:pPr>
      <w:r>
        <w:t xml:space="preserve">Could the complexity of a public firm’s capital structure militate </w:t>
      </w:r>
      <w:r w:rsidR="00C946FA">
        <w:t xml:space="preserve">toward remaining public? We used the existence of intercompany claims as a proxy for capital complexity. </w:t>
      </w:r>
      <w:r w:rsidR="009F7942">
        <w:t>The</w:t>
      </w:r>
      <w:r w:rsidR="00C946FA">
        <w:t>ir presence does raise</w:t>
      </w:r>
      <w:r w:rsidR="009F7942">
        <w:t xml:space="preserve"> the chance that a firm will remain</w:t>
      </w:r>
      <w:r w:rsidR="00C946FA">
        <w:t xml:space="preserve"> public,</w:t>
      </w:r>
      <w:r w:rsidR="009F7942">
        <w:t xml:space="preserve"> as shown in Table 1</w:t>
      </w:r>
      <w:r w:rsidR="00C946FA">
        <w:t>,</w:t>
      </w:r>
      <w:r w:rsidR="009F7942">
        <w:t xml:space="preserve"> column (5). Intercompany claims could reflect a more complex capital structure prior to bankruptcy</w:t>
      </w:r>
      <w:r w:rsidR="004A230C">
        <w:t>—which is harder for a private company to handle—</w:t>
      </w:r>
      <w:r w:rsidR="009F7942">
        <w:t>or a more litigious process.</w:t>
      </w:r>
    </w:p>
    <w:p w14:paraId="79788753" w14:textId="1D2D9970" w:rsidR="009F7942" w:rsidRDefault="009F7942" w:rsidP="007F7FA3">
      <w:pPr>
        <w:pStyle w:val="Paragraphformat"/>
      </w:pPr>
      <w:r>
        <w:lastRenderedPageBreak/>
        <w:t>In Table 1</w:t>
      </w:r>
      <w:r w:rsidR="004A230C">
        <w:t>, c</w:t>
      </w:r>
      <w:r>
        <w:t>olumn (6)</w:t>
      </w:r>
      <w:r w:rsidR="004A230C">
        <w:t>,</w:t>
      </w:r>
      <w:r>
        <w:t xml:space="preserve"> and Table 2</w:t>
      </w:r>
      <w:r w:rsidR="004A230C">
        <w:t>, c</w:t>
      </w:r>
      <w:r>
        <w:t xml:space="preserve">olumn (3), we see that the time trend is negative and statistically significant, confirming that firms are </w:t>
      </w:r>
      <w:r w:rsidR="00F92ED6">
        <w:t xml:space="preserve">becoming less likely to remain public (and more likely to go private) in bankruptcy over time, even after controlling for firm characteristics, </w:t>
      </w:r>
      <w:r w:rsidR="00C40CA5">
        <w:t xml:space="preserve">key </w:t>
      </w:r>
      <w:r w:rsidR="00F92ED6">
        <w:t>aspects of the bankruptcy process, and market conditions such as declining interest rates.</w:t>
      </w:r>
    </w:p>
    <w:p w14:paraId="7774B386" w14:textId="77777777" w:rsidR="00E32850" w:rsidRDefault="00E32850" w:rsidP="007F7FA3">
      <w:pPr>
        <w:pStyle w:val="Paragraphformat"/>
      </w:pPr>
    </w:p>
    <w:p w14:paraId="22DE6CC1" w14:textId="77777777" w:rsidR="00E46A2E" w:rsidRDefault="00E46A2E" w:rsidP="007F7FA3">
      <w:pPr>
        <w:pStyle w:val="Paragraphformat"/>
      </w:pPr>
    </w:p>
    <w:p w14:paraId="480A6720" w14:textId="77777777" w:rsidR="00BC1D57" w:rsidRPr="000005C6" w:rsidRDefault="00BC1D57" w:rsidP="000005C6"/>
    <w:p w14:paraId="58BF6F4B" w14:textId="66ECA7EC" w:rsidR="00225374" w:rsidRDefault="00DE6FF5" w:rsidP="00AF5AC3">
      <w:pPr>
        <w:pStyle w:val="Heading1"/>
      </w:pPr>
      <w:bookmarkStart w:id="44" w:name="_Toc175068328"/>
      <w:r>
        <w:t xml:space="preserve">IV.  </w:t>
      </w:r>
      <w:r w:rsidR="00225374">
        <w:t>The Consequences of a Shift in Corporate Bankruptcy from Publicly Traded to Privately Held Firms</w:t>
      </w:r>
      <w:bookmarkEnd w:id="44"/>
      <w:r w:rsidR="00225374">
        <w:t xml:space="preserve"> </w:t>
      </w:r>
    </w:p>
    <w:p w14:paraId="1F33594A" w14:textId="77777777" w:rsidR="00225374" w:rsidRDefault="00225374" w:rsidP="00B7432E">
      <w:pPr>
        <w:pStyle w:val="Heading2"/>
        <w:numPr>
          <w:ilvl w:val="0"/>
          <w:numId w:val="0"/>
        </w:numPr>
        <w:ind w:left="907"/>
      </w:pPr>
    </w:p>
    <w:p w14:paraId="727AF14A" w14:textId="77777777" w:rsidR="00B7432E" w:rsidRDefault="00B7432E" w:rsidP="00B7432E">
      <w:pPr>
        <w:pStyle w:val="Heading2"/>
        <w:numPr>
          <w:ilvl w:val="0"/>
          <w:numId w:val="0"/>
        </w:numPr>
        <w:ind w:left="907" w:hanging="360"/>
      </w:pPr>
      <w:bookmarkStart w:id="45" w:name="_Toc175068329"/>
      <w:r>
        <w:t>A. The Overall Shift</w:t>
      </w:r>
      <w:bookmarkEnd w:id="45"/>
    </w:p>
    <w:p w14:paraId="786197C2" w14:textId="77777777" w:rsidR="00B7432E" w:rsidRDefault="00B7432E" w:rsidP="007F7FA3">
      <w:pPr>
        <w:pStyle w:val="Paragraphformat"/>
      </w:pPr>
    </w:p>
    <w:p w14:paraId="1B429878" w14:textId="72EE7CFA" w:rsidR="00BD4DD3" w:rsidRDefault="00225374" w:rsidP="007F7FA3">
      <w:pPr>
        <w:pStyle w:val="Paragraphformat"/>
      </w:pPr>
      <w:r>
        <w:t xml:space="preserve">Corporate bankruptcy </w:t>
      </w:r>
      <w:r w:rsidR="00367361">
        <w:t xml:space="preserve">has </w:t>
      </w:r>
      <w:r w:rsidR="00B04413">
        <w:t xml:space="preserve">changed </w:t>
      </w:r>
      <w:r>
        <w:t xml:space="preserve">profoundly </w:t>
      </w:r>
      <w:r w:rsidR="00B04413">
        <w:t xml:space="preserve">during </w:t>
      </w:r>
      <w:r>
        <w:t>the last four decades</w:t>
      </w:r>
      <w:r w:rsidR="00B04413">
        <w:t>. Large</w:t>
      </w:r>
      <w:r>
        <w:t xml:space="preserve"> cases have gone from involving mostly publicly traded debtor firms to </w:t>
      </w:r>
      <w:r w:rsidR="00D0179C">
        <w:t xml:space="preserve">being </w:t>
      </w:r>
      <w:r>
        <w:t>mostly privately held firms. Even companies that file bankruptcy as public firms now mostly emerge as privately held firms. Public firms disclose fundamental accounting and financial data</w:t>
      </w:r>
      <w:r w:rsidR="006008DA">
        <w:t xml:space="preserve"> quarterly</w:t>
      </w:r>
      <w:r>
        <w:t xml:space="preserve">, and </w:t>
      </w:r>
      <w:r w:rsidR="006008DA">
        <w:t xml:space="preserve">disclose other </w:t>
      </w:r>
      <w:r w:rsidR="00EB3624">
        <w:t xml:space="preserve">material </w:t>
      </w:r>
      <w:r w:rsidR="006008DA">
        <w:t xml:space="preserve">information </w:t>
      </w:r>
      <w:r>
        <w:t>more frequently</w:t>
      </w:r>
      <w:r w:rsidR="00EB3624">
        <w:t xml:space="preserve">. This information becomes available </w:t>
      </w:r>
      <w:r w:rsidR="00FA7927">
        <w:t xml:space="preserve">in a standardized format </w:t>
      </w:r>
      <w:r w:rsidR="00EB3624">
        <w:t xml:space="preserve">to </w:t>
      </w:r>
      <w:r>
        <w:t>investors</w:t>
      </w:r>
      <w:r w:rsidR="00FA7927">
        <w:t xml:space="preserve">, </w:t>
      </w:r>
      <w:r>
        <w:t>the general public</w:t>
      </w:r>
      <w:r w:rsidR="00FA7927">
        <w:t>,</w:t>
      </w:r>
      <w:r>
        <w:t xml:space="preserve"> researchers, </w:t>
      </w:r>
      <w:r w:rsidR="00BD4DD3">
        <w:t xml:space="preserve">stock </w:t>
      </w:r>
      <w:r>
        <w:t xml:space="preserve">analysts, </w:t>
      </w:r>
      <w:r w:rsidR="00FA7927">
        <w:t xml:space="preserve">and </w:t>
      </w:r>
      <w:r>
        <w:t xml:space="preserve">journalists. This information is processed by investors, who use it to rapidly update market prices in liquid and relatively transparent securities markets, thereby condensing </w:t>
      </w:r>
      <w:r w:rsidR="002D3B6C">
        <w:t xml:space="preserve">it </w:t>
      </w:r>
      <w:r>
        <w:t>into a readily digestible form that can help resolve valuation disputes in bankruptcy.</w:t>
      </w:r>
      <w:r w:rsidR="00BD4DD3">
        <w:t xml:space="preserve">  </w:t>
      </w:r>
    </w:p>
    <w:p w14:paraId="578D9CBB" w14:textId="1288D466" w:rsidR="00225374" w:rsidRDefault="00BD4DD3" w:rsidP="007F7FA3">
      <w:pPr>
        <w:pStyle w:val="Paragraphformat"/>
      </w:pPr>
      <w:r>
        <w:t xml:space="preserve">By contrast, private firms </w:t>
      </w:r>
      <w:r w:rsidR="00264B6C">
        <w:t xml:space="preserve">are under no such disclosure obligations and </w:t>
      </w:r>
      <w:r>
        <w:t>disclose only limited, often contractually negotiated information to small groups of private investors, such as secured creditors or limited partners or LLC interest holders. Interests in such firms rarely trade, and trading prices and volumes are not reported to an exchange or other central database.</w:t>
      </w:r>
    </w:p>
    <w:p w14:paraId="162DEB2B" w14:textId="77777777" w:rsidR="00B7432E" w:rsidRDefault="00B7432E" w:rsidP="007F7FA3">
      <w:pPr>
        <w:pStyle w:val="Paragraphformat"/>
      </w:pPr>
    </w:p>
    <w:p w14:paraId="721D3611" w14:textId="2C5B4026" w:rsidR="00B7432E" w:rsidRDefault="00B7432E" w:rsidP="00636878">
      <w:pPr>
        <w:pStyle w:val="Heading2"/>
        <w:numPr>
          <w:ilvl w:val="0"/>
          <w:numId w:val="33"/>
        </w:numPr>
      </w:pPr>
      <w:bookmarkStart w:id="46" w:name="_Toc175068330"/>
      <w:r>
        <w:t>The Case Management Consequences of the Overall Shift</w:t>
      </w:r>
      <w:bookmarkEnd w:id="46"/>
    </w:p>
    <w:p w14:paraId="3A00FA58" w14:textId="77777777" w:rsidR="00B7432E" w:rsidRDefault="00B7432E" w:rsidP="007F7FA3">
      <w:pPr>
        <w:pStyle w:val="Paragraphformat"/>
      </w:pPr>
    </w:p>
    <w:p w14:paraId="5F01DC61" w14:textId="78D6AE0E" w:rsidR="00672FA3" w:rsidRDefault="00AB5121" w:rsidP="007F7FA3">
      <w:pPr>
        <w:pStyle w:val="Paragraphformat"/>
      </w:pPr>
      <w:r w:rsidRPr="00F7235C">
        <w:rPr>
          <w:i/>
          <w:iCs/>
        </w:rPr>
        <w:t xml:space="preserve">1. </w:t>
      </w:r>
      <w:r w:rsidR="00F7235C">
        <w:rPr>
          <w:i/>
          <w:iCs/>
        </w:rPr>
        <w:t>Degradation of valuation accuracy?</w:t>
      </w:r>
      <w:r>
        <w:t xml:space="preserve"> </w:t>
      </w:r>
      <w:r w:rsidR="00225374" w:rsidRPr="00225374">
        <w:t xml:space="preserve">This evolution brings to light a range of consequences that challenge traditional bankruptcy frameworks, particularly in areas of disclosure, market dynamics, </w:t>
      </w:r>
      <w:r w:rsidR="00BD4DD3">
        <w:t xml:space="preserve">valuation, </w:t>
      </w:r>
      <w:r w:rsidR="00225374" w:rsidRPr="00225374">
        <w:t xml:space="preserve">and procedural fairness. </w:t>
      </w:r>
      <w:r w:rsidR="00671597">
        <w:t>A central feature of business bankruptcies is that the parties must place a value on the debtor</w:t>
      </w:r>
      <w:r w:rsidR="00393199">
        <w:t xml:space="preserve"> and, if the parties cannot agree, the court must do so. </w:t>
      </w:r>
      <w:r>
        <w:t>During</w:t>
      </w:r>
      <w:r w:rsidR="00393199">
        <w:t xml:space="preserve"> recent decades market value has come to define the valuation process, replacing older concepts of intrinsic value</w:t>
      </w:r>
      <w:r w:rsidR="00E312C8">
        <w:t xml:space="preserve"> (that the market could not see</w:t>
      </w:r>
      <w:r w:rsidR="00E22B2B">
        <w:t xml:space="preserve"> but was thought to eventually </w:t>
      </w:r>
      <w:r w:rsidR="002800B7">
        <w:t>catch up with the restructured firm)</w:t>
      </w:r>
      <w:r w:rsidR="00E312C8">
        <w:t>. This market valuation has been buttressed by the availability of public informatio</w:t>
      </w:r>
      <w:r w:rsidR="002B6083">
        <w:t xml:space="preserve">n about the debtor and it implemented via widespread whole-firm sales, validated in an auction with competing bidders. But if less reliable information is available, bidders may become reluctant to bid. </w:t>
      </w:r>
      <w:r w:rsidR="001D1C3C">
        <w:t xml:space="preserve">The market process could </w:t>
      </w:r>
      <w:r w:rsidR="00F331F7">
        <w:t>deteriorate,</w:t>
      </w:r>
      <w:r w:rsidR="001D1C3C">
        <w:t xml:space="preserve"> and insiders (with better information) could become even more dominant. </w:t>
      </w:r>
    </w:p>
    <w:p w14:paraId="1AD83E86" w14:textId="5B35B1D8" w:rsidR="00225374" w:rsidRDefault="001D1C3C" w:rsidP="007F7FA3">
      <w:pPr>
        <w:pStyle w:val="Paragraphformat"/>
      </w:pPr>
      <w:r>
        <w:lastRenderedPageBreak/>
        <w:t xml:space="preserve">Feedback to the </w:t>
      </w:r>
      <w:r w:rsidR="0014505C">
        <w:t>bankruptcy</w:t>
      </w:r>
      <w:r>
        <w:t xml:space="preserve"> process could diminish (and perhaps already has). That is, if the </w:t>
      </w:r>
      <w:r w:rsidR="00604886">
        <w:t xml:space="preserve">firm is </w:t>
      </w:r>
      <w:r w:rsidR="0014505C">
        <w:t>publicly traded</w:t>
      </w:r>
      <w:r w:rsidR="00604886">
        <w:t xml:space="preserve"> after bankruptcy and if the process badly value</w:t>
      </w:r>
      <w:r w:rsidR="00672FA3">
        <w:t>d</w:t>
      </w:r>
      <w:r w:rsidR="00604886">
        <w:t xml:space="preserve"> the firm (either much too high or much too low), </w:t>
      </w:r>
      <w:r w:rsidR="005449AE">
        <w:t xml:space="preserve">trading values in the months after the </w:t>
      </w:r>
      <w:r w:rsidR="0014505C">
        <w:t>bankruptcy</w:t>
      </w:r>
      <w:r w:rsidR="005449AE">
        <w:t xml:space="preserve"> will signal to the parties and the court that mistakes were made. Some </w:t>
      </w:r>
      <w:r w:rsidR="0014505C">
        <w:t>players</w:t>
      </w:r>
      <w:r w:rsidR="005449AE">
        <w:t xml:space="preserve"> will learn from their mistakes. But if the firm is no longer public, that information will not be as readily available and may not be available at all.  Feedback will deteriorate and perhaps disappear.</w:t>
      </w:r>
    </w:p>
    <w:p w14:paraId="09F1D3AF" w14:textId="4426C161" w:rsidR="0032056E" w:rsidRDefault="00A00306" w:rsidP="007F7FA3">
      <w:pPr>
        <w:pStyle w:val="Paragraphformat"/>
      </w:pPr>
      <w:r w:rsidRPr="0032056E">
        <w:rPr>
          <w:i/>
          <w:iCs/>
        </w:rPr>
        <w:t>2. The 363 sale.</w:t>
      </w:r>
      <w:r>
        <w:t xml:space="preserve"> </w:t>
      </w:r>
      <w:r w:rsidR="0032056E">
        <w:t xml:space="preserve">More than one-third of the large firms filing for bankruptcy are now disposed of in 363 sales. Others are restructured with the sale value in </w:t>
      </w:r>
      <w:r w:rsidR="00C60C3D">
        <w:t xml:space="preserve">the parties’ minds. </w:t>
      </w:r>
      <w:r w:rsidR="0032056E">
        <w:t xml:space="preserve">With the absence of a liquid market for private firms’ securities, bankruptcy’s efforts to use markets to resolve valuation disputes will </w:t>
      </w:r>
      <w:r w:rsidR="00C60C3D">
        <w:t>be</w:t>
      </w:r>
      <w:r w:rsidR="0032056E">
        <w:t xml:space="preserve"> set</w:t>
      </w:r>
      <w:r w:rsidR="00C60C3D">
        <w:t xml:space="preserve"> </w:t>
      </w:r>
      <w:r w:rsidR="0032056E">
        <w:t>back. The only market will be the M&amp;A market for 363 sales, not a market for its securities. The 363 sales process will take on even greater importance.</w:t>
      </w:r>
    </w:p>
    <w:p w14:paraId="2162BF4C" w14:textId="5B0D46F3" w:rsidR="00A00306" w:rsidRDefault="0032056E" w:rsidP="007F7FA3">
      <w:pPr>
        <w:pStyle w:val="Paragraphformat"/>
      </w:pPr>
      <w:r>
        <w:t xml:space="preserve">For the </w:t>
      </w:r>
      <w:r w:rsidR="00AA6464">
        <w:t>363-sale</w:t>
      </w:r>
      <w:r>
        <w:t xml:space="preserve"> market to function effectively, it is imperative to address inherent information asymmetries.</w:t>
      </w:r>
      <w:r w:rsidR="00161994">
        <w:t xml:space="preserve"> </w:t>
      </w:r>
      <w:r>
        <w:t>A robust 363</w:t>
      </w:r>
      <w:r w:rsidR="00AA6464">
        <w:t>-</w:t>
      </w:r>
      <w:r>
        <w:t xml:space="preserve">sale process must be in place to ensure that potential qualified buyers, including those unfamiliar with the firm, have access to sufficient information and time to decide whether they wish to bid for the firm, and if so, how much. This necessitates thorough marketing efforts and comprehensive due diligence, without which the attractiveness and fairness of the </w:t>
      </w:r>
      <w:r w:rsidR="00AA6464">
        <w:t>363-sale</w:t>
      </w:r>
      <w:r>
        <w:t xml:space="preserve"> process would be compromised.</w:t>
      </w:r>
    </w:p>
    <w:p w14:paraId="55508482" w14:textId="3012816E" w:rsidR="00D506AD" w:rsidRDefault="00D506AD" w:rsidP="007F7FA3">
      <w:pPr>
        <w:pStyle w:val="Document"/>
      </w:pPr>
      <w:r>
        <w:t xml:space="preserve">A rapid sales process raises fewer concerns </w:t>
      </w:r>
      <w:r w:rsidR="001F4EC7">
        <w:t>for public than for private debtors</w:t>
      </w:r>
      <w:r>
        <w:t>.  For a public firm, publicly available information often puts investors</w:t>
      </w:r>
      <w:r w:rsidR="001F4EC7">
        <w:t xml:space="preserve">, insiders, and acquirors on a </w:t>
      </w:r>
      <w:r w:rsidR="0068226A">
        <w:t xml:space="preserve">more </w:t>
      </w:r>
      <w:r w:rsidR="001F4EC7">
        <w:t>level playing field</w:t>
      </w:r>
      <w:r w:rsidR="0068226A">
        <w:t xml:space="preserve"> than for a private firm. P</w:t>
      </w:r>
      <w:r>
        <w:t xml:space="preserve">otential acquirors </w:t>
      </w:r>
      <w:r w:rsidR="0068226A">
        <w:t xml:space="preserve">will often be aware well </w:t>
      </w:r>
      <w:r>
        <w:t xml:space="preserve">before the bankruptcy filing that the </w:t>
      </w:r>
      <w:r w:rsidR="009621C3">
        <w:t xml:space="preserve">public </w:t>
      </w:r>
      <w:r w:rsidR="0068226A">
        <w:t xml:space="preserve">debtor </w:t>
      </w:r>
      <w:r>
        <w:t xml:space="preserve">is distressed and </w:t>
      </w:r>
      <w:r w:rsidR="009621C3">
        <w:t>could be sold in bankruptcy</w:t>
      </w:r>
      <w:r>
        <w:t xml:space="preserve">. </w:t>
      </w:r>
      <w:r w:rsidR="009621C3">
        <w:t xml:space="preserve">The publicly-distributed financial statement will show the distress, the operating results, </w:t>
      </w:r>
      <w:r w:rsidR="00077997">
        <w:t xml:space="preserve">the debt service, and the cash flows—both their level and their direction. </w:t>
      </w:r>
      <w:r w:rsidR="001F0D59">
        <w:t>M</w:t>
      </w:r>
      <w:r>
        <w:t xml:space="preserve">anagement discussion and analysis </w:t>
      </w:r>
      <w:r w:rsidR="00836A6D">
        <w:t xml:space="preserve">of the firm’s business, prospects, and risks tell investors and potential acquirors much about the </w:t>
      </w:r>
      <w:r w:rsidR="00D7499A">
        <w:t xml:space="preserve">debtor. Plummeting equity prices, or bond defaults, tell investors what other investors think; these are observable for public firms, not for private ones. </w:t>
      </w:r>
      <w:r>
        <w:t xml:space="preserve">This public information </w:t>
      </w:r>
      <w:r w:rsidR="00180694">
        <w:t xml:space="preserve">lays the groundwork for competitive 363 sales. </w:t>
      </w:r>
      <w:r>
        <w:t xml:space="preserve">  </w:t>
      </w:r>
    </w:p>
    <w:p w14:paraId="25CD14F1" w14:textId="058B030C" w:rsidR="00500986" w:rsidRDefault="00D506AD" w:rsidP="007F7FA3">
      <w:pPr>
        <w:pStyle w:val="Document"/>
      </w:pPr>
      <w:r>
        <w:t xml:space="preserve">However, for a private firm, </w:t>
      </w:r>
      <w:r w:rsidR="00F331F7">
        <w:t>descent</w:t>
      </w:r>
      <w:r>
        <w:t xml:space="preserve"> into distress </w:t>
      </w:r>
      <w:r w:rsidR="0022700E">
        <w:t xml:space="preserve">can </w:t>
      </w:r>
      <w:r>
        <w:t xml:space="preserve">surprise those not privy to private information about the </w:t>
      </w:r>
      <w:r w:rsidR="0022700E">
        <w:t xml:space="preserve">firm’s deteriorating </w:t>
      </w:r>
      <w:r>
        <w:t>condition</w:t>
      </w:r>
      <w:r w:rsidR="00B5338F">
        <w:t>. M</w:t>
      </w:r>
      <w:r>
        <w:t xml:space="preserve">anagement, large equity holders, </w:t>
      </w:r>
      <w:r w:rsidR="00B5338F">
        <w:t xml:space="preserve">and </w:t>
      </w:r>
      <w:r>
        <w:t>sophisticated institutional lenders</w:t>
      </w:r>
      <w:r w:rsidR="00B5338F">
        <w:t xml:space="preserve"> may know, but outsiders and potential bidders generally will not.</w:t>
      </w:r>
      <w:r w:rsidR="00B5338F" w:rsidDel="00B5338F">
        <w:t xml:space="preserve"> </w:t>
      </w:r>
      <w:r w:rsidR="00B5338F">
        <w:t xml:space="preserve"> </w:t>
      </w:r>
      <w:r>
        <w:t xml:space="preserve">Even </w:t>
      </w:r>
      <w:r w:rsidR="00B5338F">
        <w:t xml:space="preserve">though the 363-sale </w:t>
      </w:r>
      <w:r>
        <w:t xml:space="preserve">process is </w:t>
      </w:r>
      <w:r w:rsidR="00B5338F">
        <w:t xml:space="preserve">typically </w:t>
      </w:r>
      <w:r>
        <w:t xml:space="preserve">formally open to multiple bidders, outsiders might </w:t>
      </w:r>
      <w:r w:rsidR="00580BE5">
        <w:t xml:space="preserve">be unable </w:t>
      </w:r>
      <w:r w:rsidR="00F331F7">
        <w:t>to</w:t>
      </w:r>
      <w:r w:rsidR="00580BE5">
        <w:t xml:space="preserve"> </w:t>
      </w:r>
      <w:r>
        <w:t xml:space="preserve">act quickly to gather and analyze </w:t>
      </w:r>
      <w:r w:rsidR="00580BE5">
        <w:t xml:space="preserve">private </w:t>
      </w:r>
      <w:r>
        <w:t>information</w:t>
      </w:r>
      <w:r w:rsidR="00580BE5">
        <w:t>. They may decline to bid.</w:t>
      </w:r>
    </w:p>
    <w:p w14:paraId="5ED610D4" w14:textId="34774AFA" w:rsidR="00D506AD" w:rsidRPr="00225374" w:rsidRDefault="00D506AD" w:rsidP="007F7FA3">
      <w:pPr>
        <w:pStyle w:val="Document"/>
      </w:pPr>
      <w:r>
        <w:t xml:space="preserve">Debtors can mitigate such concerns by soliciting multiple qualified bidders </w:t>
      </w:r>
      <w:r>
        <w:rPr>
          <w:i/>
          <w:iCs/>
        </w:rPr>
        <w:t xml:space="preserve">before </w:t>
      </w:r>
      <w:r>
        <w:t>the bankruptcy filing and sharing sufficient information for such potential bidders to determine whether they might wish to conduct due diligence and present an offer. To protect the integrity of a rapid sales process</w:t>
      </w:r>
      <w:r w:rsidRPr="00D506AD">
        <w:t xml:space="preserve"> </w:t>
      </w:r>
      <w:r>
        <w:t xml:space="preserve">in a particular case, especially when the debtor is private, it will be incumbent on bankruptcy judges to ascertain whether debtors actually did enough </w:t>
      </w:r>
      <w:r>
        <w:rPr>
          <w:i/>
          <w:iCs/>
        </w:rPr>
        <w:t xml:space="preserve">before </w:t>
      </w:r>
      <w:r>
        <w:t>the bankruptcy to mitigate concerns about reduced competitiveness.</w:t>
      </w:r>
      <w:r w:rsidR="00B11963">
        <w:t xml:space="preserve"> Or judges may have to keep the bidding process open longer and better </w:t>
      </w:r>
      <w:r w:rsidR="00B11963">
        <w:lastRenderedPageBreak/>
        <w:t>evaluate the flow of information from inside the firm to potential bidders. These will not be easy tasks</w:t>
      </w:r>
      <w:r w:rsidR="00997F1B">
        <w:t>.</w:t>
      </w:r>
    </w:p>
    <w:p w14:paraId="5C8B6F7F" w14:textId="6D2DF3D9" w:rsidR="00225374" w:rsidRDefault="00DA436C" w:rsidP="007F7FA3">
      <w:pPr>
        <w:pStyle w:val="Paragraphformat"/>
      </w:pPr>
      <w:r w:rsidRPr="004167FB">
        <w:rPr>
          <w:i/>
          <w:iCs/>
        </w:rPr>
        <w:t>3. Agency costs and insider power</w:t>
      </w:r>
      <w:r>
        <w:t xml:space="preserve">. </w:t>
      </w:r>
      <w:r w:rsidR="00225374">
        <w:t>Privately held firms</w:t>
      </w:r>
      <w:r w:rsidR="00C001FB">
        <w:t xml:space="preserve"> can maintain</w:t>
      </w:r>
      <w:r w:rsidR="00225374">
        <w:t xml:space="preserve"> strategic privacy during bankruptcy proceedings</w:t>
      </w:r>
      <w:r w:rsidR="0089044E">
        <w:t>, particularly if their private controllers will profit from the firm doing so</w:t>
      </w:r>
      <w:r w:rsidR="00225374">
        <w:t xml:space="preserve">. Unlike their publicly traded counterparts, they are not under the same pressure to disclose sensitive information to the public </w:t>
      </w:r>
      <w:r w:rsidR="00BD4DD3">
        <w:t xml:space="preserve">in a standardized and readily accessible format, </w:t>
      </w:r>
      <w:r w:rsidR="00225374">
        <w:t xml:space="preserve">or to a wide array of stakeholders. This privacy allows insiders to manage the bankruptcy process with </w:t>
      </w:r>
      <w:r w:rsidR="00BD4DD3">
        <w:t>less outside scrutiny</w:t>
      </w:r>
      <w:r w:rsidR="00225374">
        <w:t xml:space="preserve">, </w:t>
      </w:r>
      <w:r w:rsidR="00BD4DD3">
        <w:t xml:space="preserve">and to avoid disclosing potentially sensitive information to competitors or suppliers or employees or customers, </w:t>
      </w:r>
      <w:r w:rsidR="00225374">
        <w:t>potentially leading to more favorable outcomes for those within the firm.</w:t>
      </w:r>
      <w:r w:rsidR="007171F5">
        <w:t xml:space="preserve"> </w:t>
      </w:r>
      <w:r w:rsidR="0089044E">
        <w:t>In some settings, t</w:t>
      </w:r>
      <w:r w:rsidR="007171F5">
        <w:t xml:space="preserve">his </w:t>
      </w:r>
      <w:r w:rsidR="0089044E">
        <w:t xml:space="preserve">privacy </w:t>
      </w:r>
      <w:r w:rsidR="007171F5">
        <w:t xml:space="preserve">may increase </w:t>
      </w:r>
      <w:r w:rsidR="0089044E">
        <w:t xml:space="preserve">the debtor’s </w:t>
      </w:r>
      <w:r w:rsidR="007171F5">
        <w:t xml:space="preserve">value. </w:t>
      </w:r>
      <w:r w:rsidR="00F1143B">
        <w:t xml:space="preserve"> </w:t>
      </w:r>
    </w:p>
    <w:p w14:paraId="7BEFD388" w14:textId="511FC4F6" w:rsidR="00BD4DD3" w:rsidRDefault="008F3644" w:rsidP="007F7FA3">
      <w:pPr>
        <w:pStyle w:val="Paragraphformat"/>
      </w:pPr>
      <w:r>
        <w:t>T</w:t>
      </w:r>
      <w:r w:rsidR="00F1143B">
        <w:t xml:space="preserve">his lack of scrutiny has a </w:t>
      </w:r>
      <w:r w:rsidR="00E51DA7">
        <w:t xml:space="preserve">public </w:t>
      </w:r>
      <w:r w:rsidR="00F1143B">
        <w:t xml:space="preserve">downside. It can </w:t>
      </w:r>
      <w:r w:rsidR="00BD4DD3">
        <w:t xml:space="preserve">exacerbate agency costs and enable managers </w:t>
      </w:r>
      <w:r w:rsidR="00F1143B">
        <w:t xml:space="preserve">and </w:t>
      </w:r>
      <w:r w:rsidR="00BD4DD3">
        <w:t>sophisticated investors to extract rents from less informed or less sophisticated parties.</w:t>
      </w:r>
      <w:r w:rsidR="00C92661">
        <w:t xml:space="preserve"> </w:t>
      </w:r>
      <w:r w:rsidR="003E27D5">
        <w:t>Well-informed i</w:t>
      </w:r>
      <w:r w:rsidR="00C92661">
        <w:t xml:space="preserve">nsiders in an environment where public information is poor </w:t>
      </w:r>
      <w:r w:rsidR="001418A1">
        <w:t>can</w:t>
      </w:r>
      <w:r w:rsidR="003E27D5">
        <w:t xml:space="preserve"> structure transactions that favors themselves</w:t>
      </w:r>
      <w:r w:rsidR="00D82172">
        <w:t>. Winner</w:t>
      </w:r>
      <w:r w:rsidR="003E27D5">
        <w:t>’</w:t>
      </w:r>
      <w:r w:rsidR="00D82172">
        <w:t>s curse features on bidding</w:t>
      </w:r>
      <w:r w:rsidR="00D82172">
        <w:rPr>
          <w:rStyle w:val="FootnoteReference"/>
        </w:rPr>
        <w:footnoteReference w:id="23"/>
      </w:r>
      <w:r w:rsidR="00D82172">
        <w:t xml:space="preserve"> will be more prominent</w:t>
      </w:r>
      <w:r w:rsidR="003E27D5">
        <w:t xml:space="preserve"> in such environments</w:t>
      </w:r>
      <w:r w:rsidR="00D82172">
        <w:t xml:space="preserve">—outsiders will be </w:t>
      </w:r>
      <w:r w:rsidR="00944059">
        <w:t xml:space="preserve">wary of </w:t>
      </w:r>
      <w:r w:rsidR="00D82172">
        <w:t xml:space="preserve"> outbid</w:t>
      </w:r>
      <w:r w:rsidR="00944059">
        <w:t>ding</w:t>
      </w:r>
      <w:r w:rsidR="00D82172">
        <w:t xml:space="preserve"> the insiders for fear that the insiders have better information</w:t>
      </w:r>
      <w:r w:rsidR="003E27D5">
        <w:t xml:space="preserve">: if the insiders refuse to bid more, then they must think (and </w:t>
      </w:r>
      <w:r w:rsidR="00354CAB">
        <w:t xml:space="preserve">typically they </w:t>
      </w:r>
      <w:r w:rsidR="003E27D5">
        <w:t>are better informed) that the firm just is not worth the extra money</w:t>
      </w:r>
      <w:r w:rsidR="00D82172">
        <w:t xml:space="preserve">. </w:t>
      </w:r>
      <w:r w:rsidR="00CC4CFB">
        <w:t xml:space="preserve">As such, some, and possibly many, outsiders will decline to bid for the private firm. </w:t>
      </w:r>
      <w:r w:rsidR="00DA436C">
        <w:t>Auctions</w:t>
      </w:r>
      <w:r w:rsidR="00CC4CFB">
        <w:t xml:space="preserve"> under 363 will degrade and insiders will garner more value. </w:t>
      </w:r>
    </w:p>
    <w:p w14:paraId="4B78E414" w14:textId="2E99A966" w:rsidR="00BD4DD3" w:rsidRDefault="00BD4DD3" w:rsidP="007F7FA3">
      <w:pPr>
        <w:pStyle w:val="Paragraphformat"/>
      </w:pPr>
      <w:r>
        <w:t>Whatever disclosures do take place for private firms will be the result of contractual rights of creditors, bankruptcy rules and procedures, and court orders</w:t>
      </w:r>
      <w:r w:rsidR="00310D00">
        <w:t xml:space="preserve">, and not from </w:t>
      </w:r>
      <w:r w:rsidR="00D506AD">
        <w:t xml:space="preserve">SEC regulation of </w:t>
      </w:r>
      <w:r w:rsidR="00310D00">
        <w:t>public firms</w:t>
      </w:r>
      <w:r>
        <w:t>.</w:t>
      </w:r>
      <w:r w:rsidR="00310D00">
        <w:t xml:space="preserve"> T</w:t>
      </w:r>
      <w:r>
        <w:t xml:space="preserve">he information contained in first day </w:t>
      </w:r>
      <w:r w:rsidR="005230AF">
        <w:t xml:space="preserve">bankruptcy </w:t>
      </w:r>
      <w:r>
        <w:t xml:space="preserve">filings, in </w:t>
      </w:r>
      <w:r w:rsidR="00310D00">
        <w:t xml:space="preserve">the </w:t>
      </w:r>
      <w:r>
        <w:t xml:space="preserve">solicitation for approval of a </w:t>
      </w:r>
      <w:r w:rsidR="005230AF">
        <w:t xml:space="preserve">bankruptcy </w:t>
      </w:r>
      <w:r>
        <w:t xml:space="preserve">plan of reorganization, </w:t>
      </w:r>
      <w:r w:rsidR="00310D00">
        <w:t xml:space="preserve">and </w:t>
      </w:r>
      <w:r>
        <w:t xml:space="preserve">in efforts to market the firm </w:t>
      </w:r>
      <w:r w:rsidR="005230AF">
        <w:t xml:space="preserve">in bankruptcy </w:t>
      </w:r>
      <w:r>
        <w:t>to potential buyers and facilitate due diligence will take on much greater importance.</w:t>
      </w:r>
      <w:r w:rsidR="00CC46C9">
        <w:t xml:space="preserve"> Currently, first day filings are often incomplete. Basic information such as a complete schedule of assets and liabilities broken down by debtor entity may not be provided until weeks or in some cases months after an initial filing.</w:t>
      </w:r>
      <w:r w:rsidR="00CC46C9">
        <w:rPr>
          <w:rStyle w:val="FootnoteReference"/>
        </w:rPr>
        <w:footnoteReference w:id="24"/>
      </w:r>
      <w:r w:rsidR="00CC46C9">
        <w:t xml:space="preserve">  </w:t>
      </w:r>
    </w:p>
    <w:p w14:paraId="24057D9A" w14:textId="1C6CA905" w:rsidR="00297C67" w:rsidRDefault="0053156D" w:rsidP="007F7FA3">
      <w:pPr>
        <w:pStyle w:val="Paragraphformat"/>
      </w:pPr>
      <w:r>
        <w:rPr>
          <w:i/>
          <w:iCs/>
        </w:rPr>
        <w:t>4</w:t>
      </w:r>
      <w:r w:rsidRPr="00672FA3">
        <w:rPr>
          <w:i/>
          <w:iCs/>
        </w:rPr>
        <w:t xml:space="preserve">. </w:t>
      </w:r>
      <w:r w:rsidR="008A48BB">
        <w:rPr>
          <w:i/>
          <w:iCs/>
        </w:rPr>
        <w:t xml:space="preserve">Liability management. </w:t>
      </w:r>
      <w:r w:rsidR="008A48BB">
        <w:t xml:space="preserve">Public firm </w:t>
      </w:r>
      <w:r w:rsidR="00DC729D">
        <w:t>boards of directors do not have the same incentives as sponsor-</w:t>
      </w:r>
      <w:r w:rsidR="00FC6C3A">
        <w:t>controlled</w:t>
      </w:r>
      <w:r w:rsidR="00DC729D">
        <w:t xml:space="preserve"> boards of directors. For the latter boards, owners dominate </w:t>
      </w:r>
      <w:r w:rsidR="00C26F07">
        <w:t>the board, and this difference helps to explain the increased aggressiveness of debtors toward their lenders.</w:t>
      </w:r>
      <w:r w:rsidR="007C5CDA">
        <w:rPr>
          <w:rStyle w:val="FootnoteReference"/>
        </w:rPr>
        <w:footnoteReference w:id="25"/>
      </w:r>
      <w:r w:rsidR="00C26F07">
        <w:t xml:space="preserve"> </w:t>
      </w:r>
      <w:r w:rsidR="00E312F0">
        <w:t>D</w:t>
      </w:r>
      <w:r w:rsidR="00C26F07">
        <w:t xml:space="preserve">irectors </w:t>
      </w:r>
      <w:r w:rsidR="00BB5FCD">
        <w:t xml:space="preserve">of public firms </w:t>
      </w:r>
      <w:r w:rsidR="00144158">
        <w:t xml:space="preserve">can </w:t>
      </w:r>
      <w:r w:rsidR="00E312F0">
        <w:t>maximize the value of an insolvent firm without worrying too much about whether that value redounds to the benefit of shareholders or creditors.</w:t>
      </w:r>
      <w:r w:rsidR="00E312F0">
        <w:rPr>
          <w:rStyle w:val="FootnoteReference"/>
        </w:rPr>
        <w:footnoteReference w:id="26"/>
      </w:r>
      <w:r w:rsidR="00E312F0">
        <w:t xml:space="preserve"> Directors of publicly traded firms are typically not </w:t>
      </w:r>
      <w:r w:rsidR="00514843">
        <w:t xml:space="preserve">always </w:t>
      </w:r>
      <w:r w:rsidR="00E312F0">
        <w:t xml:space="preserve">strongly incentivized to aggressively favor shareholders over creditors. By </w:t>
      </w:r>
      <w:r w:rsidR="00E312F0">
        <w:lastRenderedPageBreak/>
        <w:t xml:space="preserve">contrast, </w:t>
      </w:r>
      <w:r w:rsidR="006B20FF">
        <w:t xml:space="preserve">sponsor-placed directors </w:t>
      </w:r>
      <w:r w:rsidR="00E312F0">
        <w:t xml:space="preserve">have high-powered incentives </w:t>
      </w:r>
      <w:r w:rsidR="006B20FF">
        <w:t xml:space="preserve">to keep every possible dollar for equity and, hence, </w:t>
      </w:r>
      <w:r w:rsidR="00E312F0">
        <w:t xml:space="preserve">tend to be </w:t>
      </w:r>
      <w:r w:rsidR="006B20FF">
        <w:t>more aggressive</w:t>
      </w:r>
      <w:r w:rsidR="00E312F0">
        <w:t xml:space="preserve"> toward creditors</w:t>
      </w:r>
      <w:r w:rsidR="006B20FF">
        <w:t>.</w:t>
      </w:r>
      <w:r w:rsidR="006B20FF">
        <w:rPr>
          <w:rStyle w:val="FootnoteReference"/>
        </w:rPr>
        <w:footnoteReference w:id="27"/>
      </w:r>
      <w:r w:rsidR="00DC729D">
        <w:t xml:space="preserve"> </w:t>
      </w:r>
    </w:p>
    <w:p w14:paraId="2DDCA892" w14:textId="2AFFB6FB" w:rsidR="008A48BB" w:rsidRPr="008A48BB" w:rsidRDefault="00E312F0" w:rsidP="007F7FA3">
      <w:pPr>
        <w:pStyle w:val="Paragraphformat"/>
      </w:pPr>
      <w:r>
        <w:t>A</w:t>
      </w:r>
      <w:r w:rsidR="002D4101">
        <w:t xml:space="preserve">s a matter of Delaware </w:t>
      </w:r>
      <w:r w:rsidR="0082688C">
        <w:t>c</w:t>
      </w:r>
      <w:r w:rsidR="007525C9">
        <w:t xml:space="preserve">orporate </w:t>
      </w:r>
      <w:r w:rsidR="002D4101">
        <w:t xml:space="preserve">law, </w:t>
      </w:r>
      <w:r w:rsidR="007525C9">
        <w:t>directors</w:t>
      </w:r>
      <w:r w:rsidR="002D4101">
        <w:t xml:space="preserve"> </w:t>
      </w:r>
      <w:r w:rsidR="0082688C">
        <w:t>can</w:t>
      </w:r>
      <w:r w:rsidR="002D4101">
        <w:t xml:space="preserve"> pursue shareholders</w:t>
      </w:r>
      <w:r w:rsidR="0082688C">
        <w:t>’ interests</w:t>
      </w:r>
      <w:r w:rsidR="002D4101">
        <w:t xml:space="preserve"> at creditors’ expense.</w:t>
      </w:r>
      <w:r w:rsidR="002D4101">
        <w:rPr>
          <w:rStyle w:val="FootnoteReference"/>
        </w:rPr>
        <w:footnoteReference w:id="28"/>
      </w:r>
      <w:r w:rsidR="002D4101">
        <w:t xml:space="preserve"> </w:t>
      </w:r>
      <w:r w:rsidR="00297C67">
        <w:t>Bankruptcy firms that are private on filing, or go private during the proceedings, will often limit c</w:t>
      </w:r>
      <w:r w:rsidR="007525C9">
        <w:t xml:space="preserve">reditors information about </w:t>
      </w:r>
      <w:r w:rsidR="00297C67">
        <w:t xml:space="preserve">pre-bankruptcy </w:t>
      </w:r>
      <w:r w:rsidR="007525C9">
        <w:t>liability management transactions.</w:t>
      </w:r>
      <w:r w:rsidR="008534E5">
        <w:rPr>
          <w:rStyle w:val="FootnoteReference"/>
        </w:rPr>
        <w:footnoteReference w:id="29"/>
      </w:r>
      <w:r w:rsidR="007525C9">
        <w:t xml:space="preserve"> This </w:t>
      </w:r>
      <w:r w:rsidR="00B471F1">
        <w:t xml:space="preserve">constriction of information </w:t>
      </w:r>
      <w:r w:rsidR="007525C9">
        <w:t xml:space="preserve">will pressure judges to decide whether an investigation of such </w:t>
      </w:r>
      <w:r w:rsidR="00B471F1">
        <w:t xml:space="preserve">pre-bankruptcy </w:t>
      </w:r>
      <w:r w:rsidR="007525C9">
        <w:t>transactions is warranted—for example to determine of any of them constitute fraudulent transfers, preferences, or run afoul of creditors’ contractual protections.</w:t>
      </w:r>
      <w:r w:rsidR="00CC46C9">
        <w:rPr>
          <w:rStyle w:val="FootnoteReference"/>
        </w:rPr>
        <w:footnoteReference w:id="30"/>
      </w:r>
      <w:r w:rsidR="007525C9">
        <w:t xml:space="preserve"> If </w:t>
      </w:r>
      <w:r w:rsidR="00CC46C9">
        <w:t xml:space="preserve">an investigation is </w:t>
      </w:r>
      <w:r w:rsidR="007525C9">
        <w:t>warranted, the judge will have to decide how large of a budget and how much time should be set aside for such an investigation, and whether the investigation should be conducted by counsel for an independent committee of directors, by a creditors committee, or by a court-appointed examiner. The</w:t>
      </w:r>
      <w:r w:rsidR="00B471F1">
        <w:t xml:space="preserve"> court making these </w:t>
      </w:r>
      <w:r w:rsidR="007525C9">
        <w:t xml:space="preserve">decisions </w:t>
      </w:r>
      <w:r w:rsidR="00B471F1">
        <w:t xml:space="preserve">for private companies </w:t>
      </w:r>
      <w:r w:rsidR="007525C9">
        <w:t xml:space="preserve">will initially </w:t>
      </w:r>
      <w:r w:rsidR="00B471F1">
        <w:t xml:space="preserve">have </w:t>
      </w:r>
      <w:r w:rsidR="007525C9">
        <w:t>limited information about the underlying facts</w:t>
      </w:r>
      <w:r w:rsidR="00B471F1">
        <w:t>, as compared to the court making such decisions for public companies</w:t>
      </w:r>
      <w:r w:rsidR="007525C9">
        <w:t xml:space="preserve">. </w:t>
      </w:r>
    </w:p>
    <w:p w14:paraId="68736EC4" w14:textId="4AD3F8D8" w:rsidR="0053156D" w:rsidRDefault="0091336D" w:rsidP="007F7FA3">
      <w:pPr>
        <w:pStyle w:val="Paragraphformat"/>
      </w:pPr>
      <w:r>
        <w:rPr>
          <w:i/>
          <w:iCs/>
        </w:rPr>
        <w:t>5. J</w:t>
      </w:r>
      <w:r w:rsidR="0053156D" w:rsidRPr="00672FA3">
        <w:rPr>
          <w:i/>
          <w:iCs/>
        </w:rPr>
        <w:t>udicial responsibility</w:t>
      </w:r>
      <w:r w:rsidR="0053156D">
        <w:t xml:space="preserve">. There will be more reasons for the judge to more strongly police </w:t>
      </w:r>
      <w:r w:rsidR="00192A55">
        <w:t xml:space="preserve">bankruptcy’s </w:t>
      </w:r>
      <w:r w:rsidR="0053156D">
        <w:t>information disclosure process. This is embedded in the Code.</w:t>
      </w:r>
      <w:r w:rsidR="0053156D">
        <w:rPr>
          <w:rStyle w:val="FootnoteReference"/>
        </w:rPr>
        <w:footnoteReference w:id="31"/>
      </w:r>
      <w:r w:rsidR="0053156D">
        <w:t xml:space="preserve"> </w:t>
      </w:r>
      <w:r w:rsidR="00895ABE">
        <w:t>F</w:t>
      </w:r>
      <w:r w:rsidR="0053156D">
        <w:t xml:space="preserve">or a firm that was public when it filed, </w:t>
      </w:r>
      <w:r w:rsidR="00895ABE">
        <w:t xml:space="preserve">claimants who need to vote on </w:t>
      </w:r>
      <w:r w:rsidR="0053156D">
        <w:t xml:space="preserve">a plan </w:t>
      </w:r>
      <w:r w:rsidR="00895ABE">
        <w:t xml:space="preserve">of reorganization and potential bidders who may want to participate in </w:t>
      </w:r>
      <w:r w:rsidR="0053156D">
        <w:t xml:space="preserve">a 363 sale, already </w:t>
      </w:r>
      <w:r w:rsidR="00F316D7">
        <w:t xml:space="preserve">have </w:t>
      </w:r>
      <w:r w:rsidR="0053156D">
        <w:t xml:space="preserve">a good base </w:t>
      </w:r>
      <w:r w:rsidR="00F316D7">
        <w:t>of information with which to value the firm</w:t>
      </w:r>
      <w:r w:rsidR="0053156D">
        <w:t xml:space="preserve">. </w:t>
      </w:r>
      <w:r w:rsidR="00F316D7">
        <w:t xml:space="preserve"> Bankruptcy disclosures </w:t>
      </w:r>
      <w:r w:rsidR="00F316D7">
        <w:rPr>
          <w:i/>
          <w:iCs/>
        </w:rPr>
        <w:t xml:space="preserve">supplement </w:t>
      </w:r>
      <w:r w:rsidR="00F316D7">
        <w:t>this information by providing additional information that is more up-to-date and more detailed.</w:t>
      </w:r>
      <w:r w:rsidR="0053156D">
        <w:t xml:space="preserve"> But if the </w:t>
      </w:r>
      <w:r w:rsidR="00E76831">
        <w:t xml:space="preserve">pre-filing </w:t>
      </w:r>
      <w:r w:rsidR="0053156D">
        <w:t>firm was private and did not report under the securities laws, neither bidders nor claimants can start their valuation by looking over the recent 10-K. The judge will have more reason to police information disclosure and, even with the policing, the private firm information could well be a weaker foundation on which to accurately value the debtor and to generate 363 bidders.</w:t>
      </w:r>
      <w:r w:rsidR="003F7518">
        <w:t xml:space="preserve">  Judges will </w:t>
      </w:r>
      <w:r w:rsidR="00841E54">
        <w:t xml:space="preserve">have to assess the </w:t>
      </w:r>
      <w:r w:rsidR="00F316D7">
        <w:t>benefit</w:t>
      </w:r>
      <w:r w:rsidR="003F7518">
        <w:t xml:space="preserve"> of gathering and disclosing more information.</w:t>
      </w:r>
      <w:r w:rsidR="00503457">
        <w:t xml:space="preserve">  </w:t>
      </w:r>
      <w:r w:rsidR="00C27835">
        <w:t>F</w:t>
      </w:r>
      <w:r w:rsidR="00503457">
        <w:t>or private firms, they will have to do so without the touchstone of materiality under securities regulation setting a minimum floor on the level of disclosure</w:t>
      </w:r>
      <w:r w:rsidR="00C27835">
        <w:t>—and of having a</w:t>
      </w:r>
      <w:r w:rsidR="00445EF7">
        <w:t xml:space="preserve"> usually-reliable</w:t>
      </w:r>
      <w:r w:rsidR="00C27835">
        <w:t xml:space="preserve"> informational base to work with</w:t>
      </w:r>
      <w:r w:rsidR="00503457">
        <w:t>.</w:t>
      </w:r>
    </w:p>
    <w:p w14:paraId="09CD0909" w14:textId="4819CC91" w:rsidR="00674933" w:rsidRDefault="0091336D" w:rsidP="007F7FA3">
      <w:pPr>
        <w:pStyle w:val="Paragraphformat"/>
      </w:pPr>
      <w:r>
        <w:rPr>
          <w:i/>
          <w:iCs/>
        </w:rPr>
        <w:t>6</w:t>
      </w:r>
      <w:r w:rsidR="00585A15" w:rsidRPr="00F534A3">
        <w:rPr>
          <w:i/>
          <w:iCs/>
        </w:rPr>
        <w:t>. Limited options</w:t>
      </w:r>
      <w:r w:rsidR="00585A15">
        <w:t xml:space="preserve">. </w:t>
      </w:r>
      <w:r w:rsidR="0003020E">
        <w:t xml:space="preserve">Rights offerings have become a popular method of arranging exit financing for debtor firms. In a rights offering, disbursed junior claimants are offered an opportunity, prior to the effective date of the plan, to buy new equity in the restructured firm. The cash raised is used, </w:t>
      </w:r>
      <w:r w:rsidR="0003020E" w:rsidRPr="00A11961">
        <w:rPr>
          <w:i/>
          <w:iCs/>
        </w:rPr>
        <w:t>inter alia</w:t>
      </w:r>
      <w:r w:rsidR="0003020E">
        <w:t>, to repay seniors and de-lever the firm.  This enable</w:t>
      </w:r>
      <w:r w:rsidR="00674933">
        <w:t>s</w:t>
      </w:r>
      <w:r w:rsidR="0003020E">
        <w:t xml:space="preserve"> disbursed junior claimants to effectively buy back the firm from </w:t>
      </w:r>
      <w:r w:rsidR="0003020E">
        <w:lastRenderedPageBreak/>
        <w:t xml:space="preserve">seniors. </w:t>
      </w:r>
      <w:r w:rsidR="00674933">
        <w:t xml:space="preserve">Rights offerings </w:t>
      </w:r>
      <w:r w:rsidR="00EE0388">
        <w:t>have primarily been analyzed in</w:t>
      </w:r>
      <w:r w:rsidR="00674933">
        <w:t xml:space="preserve"> firms that were publicly traded when they filed, and firms that use rights offerings are also more likely to emerge as public.</w:t>
      </w:r>
      <w:r w:rsidR="00674933">
        <w:rPr>
          <w:rStyle w:val="FootnoteReference"/>
        </w:rPr>
        <w:footnoteReference w:id="32"/>
      </w:r>
    </w:p>
    <w:p w14:paraId="017286B9" w14:textId="1EE200E2" w:rsidR="0003020E" w:rsidRDefault="0003020E" w:rsidP="007F7FA3">
      <w:pPr>
        <w:pStyle w:val="Paragraphformat"/>
      </w:pPr>
      <w:r>
        <w:t xml:space="preserve">But rights offerings </w:t>
      </w:r>
      <w:r w:rsidR="00825048">
        <w:t xml:space="preserve">may </w:t>
      </w:r>
      <w:r>
        <w:t>face unique challenges in the context of private firms.</w:t>
      </w:r>
      <w:r w:rsidR="00825048">
        <w:t xml:space="preserve"> </w:t>
      </w:r>
      <w:r>
        <w:t>The question arises as to how rights offerings operate when firms emerge as private entities. Do these mechanisms, traditionally associated with public firms</w:t>
      </w:r>
      <w:r w:rsidR="00825048">
        <w:t xml:space="preserve"> with liquidly traded securities</w:t>
      </w:r>
      <w:r>
        <w:t xml:space="preserve">, translate effectively into the private realm? </w:t>
      </w:r>
      <w:r w:rsidR="00825048">
        <w:t xml:space="preserve"> </w:t>
      </w:r>
    </w:p>
    <w:p w14:paraId="42DA9809" w14:textId="0D02408B" w:rsidR="000644BF" w:rsidRDefault="00F331F7" w:rsidP="007F7FA3">
      <w:pPr>
        <w:pStyle w:val="Paragraphformat"/>
      </w:pPr>
      <w:r>
        <w:t>Prominent</w:t>
      </w:r>
      <w:r w:rsidR="00F316D7">
        <w:t xml:space="preserve"> </w:t>
      </w:r>
      <w:r w:rsidR="00EE0388">
        <w:t xml:space="preserve">“relative priority” </w:t>
      </w:r>
      <w:r w:rsidR="00F316D7">
        <w:t xml:space="preserve">bankruptcy reform </w:t>
      </w:r>
      <w:r w:rsidR="00351215">
        <w:t xml:space="preserve">proposals </w:t>
      </w:r>
      <w:r w:rsidR="00F316D7">
        <w:t>would</w:t>
      </w:r>
      <w:r w:rsidR="00351215">
        <w:t xml:space="preserve"> compensate lower-ranked claimants with options to buy back the firm if it turns out to be valuable</w:t>
      </w:r>
      <w:r w:rsidR="00F316D7">
        <w:t xml:space="preserve"> enough to repay seniors in full within a few years after the bankruptcy</w:t>
      </w:r>
      <w:r w:rsidR="00351215">
        <w:t xml:space="preserve">. </w:t>
      </w:r>
      <w:r w:rsidR="004A67E3">
        <w:t xml:space="preserve">These are ambitious proposals, with a </w:t>
      </w:r>
      <w:r w:rsidR="00351215">
        <w:t xml:space="preserve">major justification </w:t>
      </w:r>
      <w:r w:rsidR="00BD0326">
        <w:t>being the need</w:t>
      </w:r>
      <w:r w:rsidR="00351215">
        <w:t xml:space="preserve"> to reduce juniors’ incentive to delay the proceedings </w:t>
      </w:r>
      <w:r w:rsidR="000644BF">
        <w:t xml:space="preserve">when they have nothing to lose </w:t>
      </w:r>
      <w:r w:rsidR="00351215">
        <w:t xml:space="preserve">(to see if the firm turns around) </w:t>
      </w:r>
      <w:r w:rsidR="000644BF">
        <w:t>and seniors’ incentive to hastily restructure (even if more time would lead to a more thoughtful restructuring).</w:t>
      </w:r>
      <w:r w:rsidR="007177A7">
        <w:rPr>
          <w:rStyle w:val="FootnoteReference"/>
        </w:rPr>
        <w:footnoteReference w:id="33"/>
      </w:r>
      <w:r w:rsidR="000644BF">
        <w:t xml:space="preserve"> The A</w:t>
      </w:r>
      <w:r w:rsidR="00511043">
        <w:t>merican Bankruptcy Institute</w:t>
      </w:r>
      <w:r>
        <w:t xml:space="preserve">, </w:t>
      </w:r>
      <w:r w:rsidR="000644BF">
        <w:t>in its major proposal to revamp bankruptcy</w:t>
      </w:r>
      <w:r>
        <w:t>,</w:t>
      </w:r>
      <w:r w:rsidR="000644BF">
        <w:t xml:space="preserve"> had such a proposal.</w:t>
      </w:r>
      <w:r w:rsidR="007177A7">
        <w:rPr>
          <w:rStyle w:val="FootnoteReference"/>
        </w:rPr>
        <w:footnoteReference w:id="34"/>
      </w:r>
      <w:r w:rsidR="004A67E3">
        <w:t xml:space="preserve"> If implemented, and successful, proponents expect major benefits for bankruptcy.</w:t>
      </w:r>
    </w:p>
    <w:p w14:paraId="738E901A" w14:textId="6A5689E4" w:rsidR="00585A15" w:rsidRDefault="00FA108B" w:rsidP="007F7FA3">
      <w:pPr>
        <w:pStyle w:val="Paragraphformat"/>
      </w:pPr>
      <w:r>
        <w:t>But such r</w:t>
      </w:r>
      <w:r w:rsidR="0081278C">
        <w:t>elative priority</w:t>
      </w:r>
      <w:r w:rsidR="00EE0388">
        <w:t xml:space="preserve"> </w:t>
      </w:r>
      <w:r>
        <w:t xml:space="preserve">options </w:t>
      </w:r>
      <w:r w:rsidR="00EE0388">
        <w:t xml:space="preserve">would be difficult, </w:t>
      </w:r>
      <w:r>
        <w:t xml:space="preserve">and </w:t>
      </w:r>
      <w:r w:rsidR="00EE0388">
        <w:t xml:space="preserve">perhaps not </w:t>
      </w:r>
      <w:r w:rsidR="0081278C">
        <w:t>feasible</w:t>
      </w:r>
      <w:r w:rsidR="00EE0388">
        <w:t xml:space="preserve">, to implement on private </w:t>
      </w:r>
      <w:r w:rsidR="0081278C">
        <w:t>debtor firms</w:t>
      </w:r>
      <w:r w:rsidR="00EE0388">
        <w:t>.</w:t>
      </w:r>
      <w:r w:rsidR="001C4AE5">
        <w:rPr>
          <w:rStyle w:val="FootnoteReference"/>
        </w:rPr>
        <w:footnoteReference w:id="35"/>
      </w:r>
      <w:r w:rsidR="00EE0388">
        <w:t xml:space="preserve"> </w:t>
      </w:r>
      <w:r w:rsidR="00F331F7">
        <w:t>The required</w:t>
      </w:r>
      <w:r w:rsidR="00485EA2">
        <w:t xml:space="preserve"> options </w:t>
      </w:r>
      <w:r w:rsidR="0081278C">
        <w:t xml:space="preserve">rarely </w:t>
      </w:r>
      <w:r w:rsidR="00485EA2">
        <w:t xml:space="preserve">trade </w:t>
      </w:r>
      <w:r w:rsidR="0081278C">
        <w:t xml:space="preserve">even </w:t>
      </w:r>
      <w:r w:rsidR="00485EA2">
        <w:t xml:space="preserve">for stable public firms. </w:t>
      </w:r>
      <w:r w:rsidR="0081278C">
        <w:t xml:space="preserve">Such options </w:t>
      </w:r>
      <w:r w:rsidR="00485EA2">
        <w:t xml:space="preserve">are generally not available to trade for </w:t>
      </w:r>
      <w:r w:rsidR="00F534A3">
        <w:t>private firms</w:t>
      </w:r>
      <w:r w:rsidR="00BE248A">
        <w:t>—the information needed is just unavailable</w:t>
      </w:r>
      <w:r w:rsidR="00F534A3">
        <w:t>. And the effort to value them (by the parties and the court) would be particularly difficult for private firms.</w:t>
      </w:r>
    </w:p>
    <w:p w14:paraId="0774EFCE" w14:textId="484E5844" w:rsidR="00225374" w:rsidRDefault="0091336D" w:rsidP="007F7FA3">
      <w:pPr>
        <w:pStyle w:val="Paragraphformat"/>
      </w:pPr>
      <w:r>
        <w:rPr>
          <w:i/>
          <w:iCs/>
        </w:rPr>
        <w:t>7</w:t>
      </w:r>
      <w:r w:rsidR="00BD4B6E" w:rsidRPr="000B4FB7">
        <w:rPr>
          <w:i/>
          <w:iCs/>
        </w:rPr>
        <w:t>. Weakened public good quality of bankrupts’ information</w:t>
      </w:r>
      <w:r w:rsidR="00BD4B6E">
        <w:t xml:space="preserve">. </w:t>
      </w:r>
      <w:r w:rsidR="00BD4DD3">
        <w:t>I</w:t>
      </w:r>
      <w:r w:rsidR="00225374">
        <w:t xml:space="preserve">nformation </w:t>
      </w:r>
      <w:r w:rsidR="00BD4DD3">
        <w:t xml:space="preserve">generated to comply with mandatory disclosures </w:t>
      </w:r>
      <w:r w:rsidR="00702C22">
        <w:t xml:space="preserve">is often </w:t>
      </w:r>
      <w:r w:rsidR="00225374">
        <w:t>a public good</w:t>
      </w:r>
      <w:r w:rsidR="00BD4DD3">
        <w:t>, providing an important window to all into different industries and different aspects of the economy.</w:t>
      </w:r>
      <w:r w:rsidR="00396EE6">
        <w:rPr>
          <w:rStyle w:val="FootnoteReference"/>
        </w:rPr>
        <w:footnoteReference w:id="36"/>
      </w:r>
      <w:r w:rsidR="00BD4DD3">
        <w:t xml:space="preserve"> </w:t>
      </w:r>
      <w:r w:rsidR="007C7EA0">
        <w:t xml:space="preserve">It facilitates capital allocation (and is sometimes feared by firms with specialized information and opportunities.) </w:t>
      </w:r>
      <w:r w:rsidR="006642CA">
        <w:t>As firms go private</w:t>
      </w:r>
      <w:r w:rsidR="00702C22">
        <w:t xml:space="preserve"> in bankruptcy and as the bankruptcy process is dominated by firms that were private even before bankruptcy</w:t>
      </w:r>
      <w:r w:rsidR="006642CA">
        <w:t>,</w:t>
      </w:r>
      <w:r w:rsidR="00225374">
        <w:t xml:space="preserve"> the absence of </w:t>
      </w:r>
      <w:r w:rsidR="006642CA">
        <w:t xml:space="preserve">SEC </w:t>
      </w:r>
      <w:r w:rsidR="00225374">
        <w:t>mandat</w:t>
      </w:r>
      <w:r w:rsidR="006642CA">
        <w:t>ed</w:t>
      </w:r>
      <w:r w:rsidR="00225374">
        <w:t xml:space="preserve"> disclosure requirements </w:t>
      </w:r>
      <w:r w:rsidR="00B542D9">
        <w:t>will reduce the quality of information for stressed potions of the filing industries. Allocative and investment efficiency should therefore decline.</w:t>
      </w:r>
      <w:r w:rsidR="007C5A24">
        <w:rPr>
          <w:rStyle w:val="FootnoteReference"/>
        </w:rPr>
        <w:footnoteReference w:id="37"/>
      </w:r>
      <w:r w:rsidR="00BE0B9A">
        <w:t xml:space="preserve"> </w:t>
      </w:r>
    </w:p>
    <w:p w14:paraId="3DBD3F0E" w14:textId="49735858" w:rsidR="00BE0B9A" w:rsidRDefault="00BE0B9A" w:rsidP="007F7FA3">
      <w:pPr>
        <w:pStyle w:val="Paragraphformat"/>
      </w:pPr>
      <w:r>
        <w:lastRenderedPageBreak/>
        <w:t xml:space="preserve">The conceptual point can be imagined by considering a shrinking industry. </w:t>
      </w:r>
      <w:r w:rsidR="00342804">
        <w:t xml:space="preserve">Investors and firms in that industry assess whether to invest more, or to induce their own firms to contract more, based in part on what they see happening in the rest of the industry. </w:t>
      </w:r>
      <w:r w:rsidR="00B36D67">
        <w:t xml:space="preserve">If important firms in the industry were once public (with transparent sales and profit information) but now are private post-bankruptcy, then that informational public good is unavailable to </w:t>
      </w:r>
      <w:r w:rsidR="004669D5">
        <w:t>other investors and companies. It’s available only to the private owners of the emerged firm. (Whether that is socially costly or valuable cannot be assessed in the abstract</w:t>
      </w:r>
      <w:r w:rsidR="00B17F46">
        <w:t>, and indeed a prominent literature has argued for greater investor and firm choice about the extent of disclosure</w:t>
      </w:r>
      <w:r w:rsidR="00B17F46">
        <w:rPr>
          <w:rStyle w:val="FootnoteReference"/>
        </w:rPr>
        <w:footnoteReference w:id="38"/>
      </w:r>
      <w:r w:rsidR="004669D5">
        <w:t>; all we can say is that some level of public information</w:t>
      </w:r>
      <w:r w:rsidR="00C34147">
        <w:t xml:space="preserve"> as a public good is valuable.)</w:t>
      </w:r>
      <w:r w:rsidR="00C34147">
        <w:rPr>
          <w:rStyle w:val="FootnoteReference"/>
        </w:rPr>
        <w:footnoteReference w:id="39"/>
      </w:r>
    </w:p>
    <w:p w14:paraId="4730F3A0" w14:textId="105C1A9A" w:rsidR="008A6A34" w:rsidRDefault="00D24370" w:rsidP="007F7FA3">
      <w:pPr>
        <w:pStyle w:val="Paragraphformat"/>
      </w:pPr>
      <w:r>
        <w:t>A potential example: online sales from companies like Amazon are</w:t>
      </w:r>
      <w:r w:rsidR="00574A23">
        <w:t xml:space="preserve"> fundamentally remaking—and shrinking—brick and mortar retailers. Investors in brick and mortar retailers in malls, downtowns, and elsewhere can be helped in their decision on whether to invest more or contract more from assessing what is happening to </w:t>
      </w:r>
      <w:r w:rsidR="008A6A34">
        <w:t xml:space="preserve">other, similar retailers that file for, and emerge from, bankruptcy. But since these are increasingly private companies, that information is unavailable. More firms are flying blind (or at least with less information). </w:t>
      </w:r>
      <w:r w:rsidR="0064068B">
        <w:t>The bankruptcy</w:t>
      </w:r>
      <w:r w:rsidR="008A6A34">
        <w:t xml:space="preserve"> disclosure process will become important for industry-wide assessments, as the SEC-mandated information flow </w:t>
      </w:r>
      <w:r w:rsidR="000C529B">
        <w:t>narrows, or disappears.</w:t>
      </w:r>
    </w:p>
    <w:p w14:paraId="148766CD" w14:textId="4427D55C" w:rsidR="00225374" w:rsidRDefault="00225374" w:rsidP="007F7FA3">
      <w:pPr>
        <w:pStyle w:val="Paragraphformat"/>
      </w:pPr>
      <w:r>
        <w:t>A fundamental question arises regarding the scope of disclosure: should it be broad-based, available to all stakeholders, or selectively provided only to impaired investors? The selective approach, while potentially benefiting key stakeholders, risks deepening the informational divide, giving insiders a substantial leg up in the bankruptcy process.</w:t>
      </w:r>
      <w:r w:rsidR="006642CA">
        <w:t xml:space="preserve"> In the absence of public firms subject to securities regulations mandating minimum levels of disclosure, disagreements between the parties over required levels of disclosure may become more heated and contentious, and the decisions judges make on these issues may take on unprecedented importance.</w:t>
      </w:r>
    </w:p>
    <w:p w14:paraId="178FF176" w14:textId="5DBA4011" w:rsidR="00225374" w:rsidRDefault="00225374" w:rsidP="007F7FA3">
      <w:pPr>
        <w:pStyle w:val="Paragraphformat"/>
      </w:pPr>
      <w:r>
        <w:t xml:space="preserve">A comparison with European bankruptcy practices, where </w:t>
      </w:r>
      <w:r w:rsidR="00666B79">
        <w:t xml:space="preserve">most </w:t>
      </w:r>
      <w:r>
        <w:t>bankruptcies</w:t>
      </w:r>
      <w:r w:rsidR="00666B79">
        <w:t>, we understand,</w:t>
      </w:r>
      <w:r>
        <w:t xml:space="preserve"> are private and information is poor, highlights the risks of insufficient disclosure. The European experience serves as a cautionary tale</w:t>
      </w:r>
      <w:r w:rsidR="00FD2EE6">
        <w:t>. W</w:t>
      </w:r>
      <w:r>
        <w:t xml:space="preserve">ithout proper information channels, the </w:t>
      </w:r>
      <w:r w:rsidR="003675BC">
        <w:t>363-sale</w:t>
      </w:r>
      <w:r>
        <w:t xml:space="preserve"> process become</w:t>
      </w:r>
      <w:r w:rsidR="00666B79">
        <w:t>s</w:t>
      </w:r>
      <w:r>
        <w:t xml:space="preserve"> </w:t>
      </w:r>
      <w:r w:rsidR="00585A15">
        <w:t>l</w:t>
      </w:r>
      <w:r>
        <w:t>ess attractive to potential buyers, ultimately undermining the effectiveness of bankruptcy resolutions.</w:t>
      </w:r>
    </w:p>
    <w:p w14:paraId="13A5F936" w14:textId="61CF06E2" w:rsidR="0057222B" w:rsidRDefault="008B5FC5" w:rsidP="007F7FA3">
      <w:pPr>
        <w:pStyle w:val="Paragraphformat"/>
      </w:pPr>
      <w:r w:rsidRPr="008B5FC5">
        <w:rPr>
          <w:i/>
          <w:iCs/>
        </w:rPr>
        <w:t xml:space="preserve"> </w:t>
      </w:r>
      <w:r w:rsidR="0091336D">
        <w:rPr>
          <w:i/>
          <w:iCs/>
        </w:rPr>
        <w:t>8</w:t>
      </w:r>
      <w:r w:rsidR="00225374" w:rsidRPr="008B5FC5">
        <w:rPr>
          <w:i/>
          <w:iCs/>
        </w:rPr>
        <w:t>.</w:t>
      </w:r>
      <w:r w:rsidRPr="008B5FC5">
        <w:rPr>
          <w:i/>
          <w:iCs/>
        </w:rPr>
        <w:t xml:space="preserve"> Politicization and legitimacy.</w:t>
      </w:r>
      <w:r>
        <w:rPr>
          <w:i/>
          <w:iCs/>
        </w:rPr>
        <w:t xml:space="preserve"> </w:t>
      </w:r>
      <w:r>
        <w:t xml:space="preserve">The lack of transparency could </w:t>
      </w:r>
      <w:r w:rsidR="004A126C">
        <w:t xml:space="preserve">trigger critics of large firms, financiers, and bankruptcy to criticize the results more vigorously. </w:t>
      </w:r>
      <w:r w:rsidR="00126DDA">
        <w:t>The process will appear to many to be one in which insiders gain disproportionately.</w:t>
      </w:r>
      <w:r w:rsidR="0025794B">
        <w:rPr>
          <w:rStyle w:val="FootnoteReference"/>
        </w:rPr>
        <w:footnoteReference w:id="40"/>
      </w:r>
      <w:r w:rsidR="0063615D">
        <w:t xml:space="preserve">  In the context of 363 sales, some courts take process-based criticisms seriously and have developed doctrines to address them.  But if a similar bottoms-up approach does not assuage critics more broadly, there is a risk that they will press more strongly for uniform legislative reforms.</w:t>
      </w:r>
    </w:p>
    <w:p w14:paraId="048E4D41" w14:textId="17807219" w:rsidR="00225374" w:rsidRPr="00EE0FD8" w:rsidRDefault="00225374" w:rsidP="00AF5AC3">
      <w:pPr>
        <w:pStyle w:val="Heading1"/>
      </w:pPr>
      <w:bookmarkStart w:id="47" w:name="_Toc175068331"/>
      <w:r w:rsidRPr="00EE0FD8">
        <w:lastRenderedPageBreak/>
        <w:t>Conclusion</w:t>
      </w:r>
      <w:bookmarkEnd w:id="47"/>
    </w:p>
    <w:p w14:paraId="62365735" w14:textId="77777777" w:rsidR="00225374" w:rsidRDefault="00225374" w:rsidP="00225374">
      <w:pPr>
        <w:ind w:firstLine="288"/>
      </w:pPr>
    </w:p>
    <w:p w14:paraId="037114A8" w14:textId="49D743E1" w:rsidR="00FD4C5B" w:rsidRDefault="0063615D" w:rsidP="007F7FA3">
      <w:pPr>
        <w:pStyle w:val="Paragraphformat"/>
      </w:pPr>
      <w:r>
        <w:t xml:space="preserve">Corporate </w:t>
      </w:r>
      <w:r w:rsidR="00AD248B">
        <w:t>b</w:t>
      </w:r>
      <w:r>
        <w:t xml:space="preserve">ankruptcy is </w:t>
      </w:r>
      <w:r w:rsidR="00225374">
        <w:t>shift</w:t>
      </w:r>
      <w:r>
        <w:t xml:space="preserve">ing </w:t>
      </w:r>
      <w:r w:rsidR="00225374">
        <w:t xml:space="preserve">from </w:t>
      </w:r>
      <w:r w:rsidR="00413BBA">
        <w:t xml:space="preserve">a process that primarily serves </w:t>
      </w:r>
      <w:r w:rsidR="00225374">
        <w:t>publicly traded to privately held</w:t>
      </w:r>
      <w:r w:rsidR="00413BBA">
        <w:t xml:space="preserve"> firms</w:t>
      </w:r>
      <w:r w:rsidR="00FD4C5B">
        <w:t xml:space="preserve">. In large measure, </w:t>
      </w:r>
      <w:r w:rsidR="00413BBA">
        <w:t xml:space="preserve">this shift </w:t>
      </w:r>
      <w:r w:rsidR="00FD4C5B">
        <w:t xml:space="preserve">has already happened. </w:t>
      </w:r>
    </w:p>
    <w:p w14:paraId="727CDCDB" w14:textId="60C98DB9" w:rsidR="00B81F70" w:rsidRDefault="00413BBA" w:rsidP="007F7FA3">
      <w:pPr>
        <w:pStyle w:val="Paragraphformat"/>
      </w:pPr>
      <w:r>
        <w:t xml:space="preserve">This </w:t>
      </w:r>
      <w:r w:rsidR="00FD4C5B">
        <w:t xml:space="preserve">transformation </w:t>
      </w:r>
      <w:r>
        <w:t xml:space="preserve">has </w:t>
      </w:r>
      <w:r w:rsidR="00225374">
        <w:t>complex consequences</w:t>
      </w:r>
      <w:r w:rsidR="00781CED">
        <w:t xml:space="preserve">. The bankruptcy courts and bankruptcy academics have labored to devise mechanisms that facilitate the rapid, efficient restructuring of large public firms. But </w:t>
      </w:r>
      <w:r w:rsidR="003B508A">
        <w:t xml:space="preserve">public firms are decreasing as the locus of large firm restructurings, which are going private. The </w:t>
      </w:r>
      <w:r>
        <w:t xml:space="preserve">privatization of bankruptcy </w:t>
      </w:r>
      <w:r w:rsidR="003B508A">
        <w:t>will challenge the efficacy of 363 sales—which now cons</w:t>
      </w:r>
      <w:r w:rsidR="00101BBB">
        <w:t>titute</w:t>
      </w:r>
      <w:r w:rsidR="003B508A">
        <w:t xml:space="preserve"> more than a third of public firm restructurings—and </w:t>
      </w:r>
      <w:r>
        <w:t xml:space="preserve">erode </w:t>
      </w:r>
      <w:r w:rsidR="003B508A">
        <w:t>the information base on which claimants decide how to rest</w:t>
      </w:r>
      <w:r w:rsidR="00101BBB">
        <w:t>r</w:t>
      </w:r>
      <w:r w:rsidR="003B508A">
        <w:t>u</w:t>
      </w:r>
      <w:r w:rsidR="00101BBB">
        <w:t>cture</w:t>
      </w:r>
      <w:r w:rsidR="00225374">
        <w:t>. As the bankruptcy landscape evolve</w:t>
      </w:r>
      <w:r w:rsidR="003B508A">
        <w:t>s</w:t>
      </w:r>
      <w:r w:rsidR="00225374">
        <w:t xml:space="preserve">, </w:t>
      </w:r>
      <w:r w:rsidR="003B508A">
        <w:t xml:space="preserve">new </w:t>
      </w:r>
      <w:r w:rsidR="00225374">
        <w:t xml:space="preserve">strategies and legal frameworks </w:t>
      </w:r>
      <w:r w:rsidR="00101BBB">
        <w:t xml:space="preserve">will be needed to deal with </w:t>
      </w:r>
      <w:r w:rsidR="006042F3">
        <w:t xml:space="preserve">bankruptcy’s </w:t>
      </w:r>
      <w:r w:rsidR="00101BBB">
        <w:t>basic goals of fair</w:t>
      </w:r>
      <w:r w:rsidR="00225374">
        <w:t>, transparen</w:t>
      </w:r>
      <w:r w:rsidR="00101BBB">
        <w:t>t</w:t>
      </w:r>
      <w:r w:rsidR="00225374">
        <w:t>, and efficien</w:t>
      </w:r>
      <w:r w:rsidR="00101BBB">
        <w:t>t</w:t>
      </w:r>
      <w:r w:rsidR="00225374">
        <w:t xml:space="preserve"> corporate bankruptcies</w:t>
      </w:r>
      <w:r w:rsidR="00B81F70">
        <w:t>.</w:t>
      </w:r>
    </w:p>
    <w:p w14:paraId="7E77B184" w14:textId="77777777" w:rsidR="00197F9F" w:rsidRDefault="00197F9F" w:rsidP="007F7FA3">
      <w:pPr>
        <w:pStyle w:val="Paragraphformat"/>
      </w:pPr>
    </w:p>
    <w:p w14:paraId="018BDAA2" w14:textId="435096C4" w:rsidR="008C6987" w:rsidRDefault="008C6987" w:rsidP="008C6987"/>
    <w:sectPr w:rsidR="008C6987" w:rsidSect="006107E2">
      <w:headerReference w:type="default" r:id="rId18"/>
      <w:pgSz w:w="12240" w:h="15840" w:code="1"/>
      <w:pgMar w:top="2160" w:right="2448" w:bottom="1584" w:left="2448" w:header="1440" w:footer="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6BD">
      <wne:wch wne:val="00002014"/>
    </wne:keymap>
  </wne:keymap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7AFFB" w14:textId="77777777" w:rsidR="00025272" w:rsidRDefault="00025272">
      <w:r>
        <w:separator/>
      </w:r>
    </w:p>
  </w:endnote>
  <w:endnote w:type="continuationSeparator" w:id="0">
    <w:p w14:paraId="6F748BA0" w14:textId="77777777" w:rsidR="00025272" w:rsidRDefault="00025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3DC2E" w14:textId="77777777" w:rsidR="00F446C2" w:rsidRDefault="00F446C2">
    <w:pPr>
      <w:pStyle w:val="Footer"/>
      <w:framePr w:wrap="around" w:vAnchor="text" w:hAnchor="margin" w:xAlign="right" w:y="1"/>
      <w:rPr>
        <w:rStyle w:val="PageNumber"/>
      </w:rPr>
    </w:pPr>
  </w:p>
  <w:p w14:paraId="52528DB4" w14:textId="77777777" w:rsidR="00F446C2" w:rsidRDefault="00F446C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4EAD" w14:textId="77777777" w:rsidR="00F446C2" w:rsidRDefault="00F446C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AD010" w14:textId="77777777" w:rsidR="00025272" w:rsidRDefault="00025272">
      <w:r>
        <w:separator/>
      </w:r>
    </w:p>
  </w:footnote>
  <w:footnote w:type="continuationSeparator" w:id="0">
    <w:p w14:paraId="3143EB28" w14:textId="77777777" w:rsidR="00025272" w:rsidRDefault="00025272">
      <w:r>
        <w:continuationSeparator/>
      </w:r>
    </w:p>
  </w:footnote>
  <w:footnote w:id="1">
    <w:p w14:paraId="79D50E77" w14:textId="5F0DEF6D" w:rsidR="00B914FD" w:rsidRDefault="00B914FD" w:rsidP="001E1997">
      <w:pPr>
        <w:pStyle w:val="FootnoteText"/>
      </w:pPr>
      <w:r w:rsidRPr="008916B6">
        <w:rPr>
          <w:rStyle w:val="FootnoteReference"/>
        </w:rPr>
        <w:sym w:font="Symbol" w:char="F02A"/>
      </w:r>
      <w:r>
        <w:t xml:space="preserve"> Professors, Harvard and University of Southern California Law Schools, respectively. </w:t>
      </w:r>
      <w:r w:rsidR="0023682B">
        <w:t>Thanks for useful discussion go to John Coates, Bala Dharan, Scott Hirst, and Rory</w:t>
      </w:r>
      <w:r w:rsidR="00C366CF">
        <w:t xml:space="preserve"> Van Loo.</w:t>
      </w:r>
    </w:p>
  </w:footnote>
  <w:footnote w:id="2">
    <w:p w14:paraId="2C661A74" w14:textId="65280693" w:rsidR="0071478B" w:rsidRPr="00286F7D" w:rsidRDefault="0071478B" w:rsidP="007F7FA3">
      <w:pPr>
        <w:pStyle w:val="Footnote"/>
      </w:pPr>
      <w:r w:rsidRPr="00286F7D">
        <w:rPr>
          <w:rStyle w:val="FootnoteReference"/>
          <w:sz w:val="17"/>
          <w:szCs w:val="17"/>
        </w:rPr>
        <w:footnoteRef/>
      </w:r>
      <w:r w:rsidRPr="00286F7D">
        <w:t xml:space="preserve"> </w:t>
      </w:r>
      <w:r w:rsidR="00BB2EAB" w:rsidRPr="00286F7D">
        <w:fldChar w:fldCharType="begin"/>
      </w:r>
      <w:r w:rsidR="001720AA" w:rsidRPr="00286F7D">
        <w:instrText xml:space="preserve"> ADDIN ZOTERO_ITEM CSL_CITATION {"citationID":"Nwxkjdwn","properties":{"formattedCitation":"3 {\\scaps Bank Mergers &amp; Acquisitions}, (Yakov Amihud &amp; Geoffrey Miller eds., 1998), http://link.springer.com/10.1007/978-1-4757-2799-9 (last visited Aug 9, 2024).","plainCitation":"3 Bank Mergers &amp; Acquisitions, (Yakov Amihud &amp; Geoffrey Miller eds., 1998), http://link.springer.com/10.1007/978-1-4757-2799-9 (last visited Aug 9, 2024).","dontUpdate":true,"noteIndex":1},"citationItems":[{"id":12103,"uris":["http://zotero.org/users/274594/items/MMYJKH9H"],"itemData":{"id":12103,"type":"book","collection-title":"The New York University Salomon Center Series on Financial Markets and Institutions","event-place":"Boston, MA","ISBN":"978-1-4419-5187-8","license":"http://www.springer.com/tdm","note":"DOI: 10.1007/978-1-4757-2799-9","publisher":"Springer US","publisher-place":"Boston, MA","source":"DOI.org (Crossref)","title":"Bank Mergers &amp; Acquisitions","URL":"http://link.springer.com/10.1007/978-1-4757-2799-9","volume":"3","editor":[{"family":"Amihud","given":"Yakov"},{"family":"Miller","given":"Geoffrey"}],"accessed":{"date-parts":[["2024",8,9]]},"issued":{"date-parts":[["1998"]]}}}],"schema":"https://github.com/citation-style-language/schema/raw/master/csl-citation.json"} </w:instrText>
      </w:r>
      <w:r w:rsidR="00BB2EAB" w:rsidRPr="00286F7D">
        <w:fldChar w:fldCharType="separate"/>
      </w:r>
      <w:r w:rsidR="00BB2EAB" w:rsidRPr="00286F7D">
        <w:rPr>
          <w:smallCaps/>
        </w:rPr>
        <w:t>Bank Mergers &amp; Acquisitions</w:t>
      </w:r>
      <w:r w:rsidR="0068495E" w:rsidRPr="00286F7D">
        <w:rPr>
          <w:smallCaps/>
        </w:rPr>
        <w:t xml:space="preserve"> </w:t>
      </w:r>
      <w:r w:rsidR="00BB2EAB" w:rsidRPr="00286F7D">
        <w:t>(Yakov Amihud &amp; Geoffrey Miller eds., 1998), http://link.springer.com/10.1007/978-1-4757-2799-9</w:t>
      </w:r>
      <w:r w:rsidR="00BB2EAB" w:rsidRPr="00286F7D">
        <w:fldChar w:fldCharType="end"/>
      </w:r>
      <w:r w:rsidR="00BB2EAB" w:rsidRPr="00286F7D">
        <w:t xml:space="preserve">; </w:t>
      </w:r>
      <w:r w:rsidRPr="00286F7D">
        <w:t>Evan Gunter, Ruth Yang, &amp; Leon Sinclair, Private Markets: Still Waters Run Deep, S&amp;P Global, April 13, 2023 (showing the growth of private equity and private credit assets under management from 2000 to 2022)</w:t>
      </w:r>
      <w:r w:rsidR="00BB2EAB" w:rsidRPr="00286F7D">
        <w:t xml:space="preserve">. </w:t>
      </w:r>
    </w:p>
  </w:footnote>
  <w:footnote w:id="3">
    <w:p w14:paraId="22E0EE9A" w14:textId="6EA6174B" w:rsidR="00BB2EAB" w:rsidRDefault="00BB2EAB" w:rsidP="001E1997">
      <w:pPr>
        <w:pStyle w:val="FootnoteText"/>
      </w:pPr>
      <w:r w:rsidRPr="00225374">
        <w:rPr>
          <w:rStyle w:val="FootnoteReference"/>
        </w:rPr>
        <w:footnoteRef/>
      </w:r>
      <w:r>
        <w:t xml:space="preserve"> </w:t>
      </w:r>
      <w:r w:rsidRPr="00BB2EAB">
        <w:t>Elisabeth de Fontenay, </w:t>
      </w:r>
      <w:r w:rsidRPr="003B5E9F">
        <w:rPr>
          <w:i/>
          <w:iCs/>
        </w:rPr>
        <w:t xml:space="preserve">Do the Securities Laws Matter </w:t>
      </w:r>
      <w:r w:rsidR="00A1360A" w:rsidRPr="003B5E9F">
        <w:rPr>
          <w:i/>
          <w:iCs/>
        </w:rPr>
        <w:t>—</w:t>
      </w:r>
      <w:r w:rsidRPr="003B5E9F">
        <w:rPr>
          <w:i/>
          <w:iCs/>
        </w:rPr>
        <w:t xml:space="preserve"> The Rise of the Leveraged Loan Market</w:t>
      </w:r>
      <w:r w:rsidRPr="00BB2EAB">
        <w:t xml:space="preserve">, 39 </w:t>
      </w:r>
      <w:r w:rsidRPr="00BB2EAB">
        <w:rPr>
          <w:smallCaps/>
        </w:rPr>
        <w:t>J. Corp. L</w:t>
      </w:r>
      <w:r w:rsidRPr="00BB2EAB">
        <w:t>. 725 (2014).</w:t>
      </w:r>
    </w:p>
  </w:footnote>
  <w:footnote w:id="4">
    <w:p w14:paraId="7AEC33E7" w14:textId="4B200CB0" w:rsidR="00F44131" w:rsidRDefault="00F44131" w:rsidP="001E1997">
      <w:pPr>
        <w:pStyle w:val="FootnoteText"/>
      </w:pPr>
      <w:r>
        <w:rPr>
          <w:rStyle w:val="FootnoteReference"/>
        </w:rPr>
        <w:footnoteRef/>
      </w:r>
      <w:r>
        <w:t xml:space="preserve"> </w:t>
      </w:r>
      <w:r w:rsidR="00214AF9">
        <w:t xml:space="preserve">More specifically, if a firm filed a 10-K with the SEC before bankruptcy and filed another 10-K after the bankruptcy (and if an acquirer reported financials separately for the debtor), then we classify the firm as remaining public. </w:t>
      </w:r>
      <w:r w:rsidR="006735E3">
        <w:t xml:space="preserve">If a debtor that filed a 10-K before bankruptcy </w:t>
      </w:r>
      <w:r w:rsidR="005B7331">
        <w:t>did</w:t>
      </w:r>
      <w:r w:rsidR="006735E3">
        <w:t xml:space="preserve"> not file a 10-K after it emerged (and an </w:t>
      </w:r>
      <w:r w:rsidR="005B7331">
        <w:t>acquirer</w:t>
      </w:r>
      <w:r w:rsidR="006735E3">
        <w:t xml:space="preserve">, if there was one, did not file a 10-K </w:t>
      </w:r>
      <w:r w:rsidR="005B7331">
        <w:t>reporting</w:t>
      </w:r>
      <w:r w:rsidR="006735E3">
        <w:t xml:space="preserve"> separate financials for the debtor after it emerged), then we classify the debtor as having gone private in bankruptcy.</w:t>
      </w:r>
      <w:r w:rsidR="005B7331">
        <w:t xml:space="preserve"> (</w:t>
      </w:r>
      <w:r w:rsidR="005B7331" w:rsidRPr="009B4A74">
        <w:t>The same information is lost to investors whether a debtor goes private or is acquired by much larger publicly traded firm, although in the latter case participants in public markets continue to have exposure after the acquisition.</w:t>
      </w:r>
      <w:r w:rsidR="005B7331">
        <w:t>)</w:t>
      </w:r>
    </w:p>
    <w:p w14:paraId="7F6BB4B3" w14:textId="773EC39A" w:rsidR="000504B8" w:rsidRDefault="001B5A49" w:rsidP="001E1997">
      <w:pPr>
        <w:pStyle w:val="FootnoteText"/>
      </w:pPr>
      <w:r>
        <w:t xml:space="preserve">Form </w:t>
      </w:r>
      <w:r w:rsidR="000504B8">
        <w:t>10-K filers usually but not always have publicly traded equity securities. A few companies issue publicly traded bonds</w:t>
      </w:r>
      <w:r w:rsidR="00FC1737">
        <w:t>, which</w:t>
      </w:r>
      <w:r w:rsidR="000504B8">
        <w:t xml:space="preserve"> require</w:t>
      </w:r>
      <w:r w:rsidR="00FC1737">
        <w:t>s</w:t>
      </w:r>
      <w:r w:rsidR="000504B8">
        <w:t xml:space="preserve"> them to file a 10-K, </w:t>
      </w:r>
      <w:r w:rsidR="00FC1737">
        <w:t xml:space="preserve">but do not have public traded equity. A few firms go private but </w:t>
      </w:r>
      <w:r w:rsidR="000504B8">
        <w:t xml:space="preserve">delay deregistering their securities, or voluntarily file 10-Ks. </w:t>
      </w:r>
      <w:r w:rsidR="006946DC">
        <w:t>W</w:t>
      </w:r>
      <w:r w:rsidR="000504B8">
        <w:t xml:space="preserve">e classify companies as public if they </w:t>
      </w:r>
      <w:r w:rsidR="006946DC">
        <w:t xml:space="preserve">file a </w:t>
      </w:r>
      <w:r w:rsidR="000504B8">
        <w:t>10-K.</w:t>
      </w:r>
    </w:p>
  </w:footnote>
  <w:footnote w:id="5">
    <w:p w14:paraId="19420328" w14:textId="35E6C0FF" w:rsidR="006154A0" w:rsidRDefault="006154A0" w:rsidP="001E1997">
      <w:pPr>
        <w:pStyle w:val="FootnoteText"/>
      </w:pPr>
      <w:r w:rsidRPr="00225374">
        <w:rPr>
          <w:rStyle w:val="FootnoteReference"/>
        </w:rPr>
        <w:footnoteRef/>
      </w:r>
      <w:r>
        <w:t xml:space="preserve"> We cannot observe whether a firm that was privately held when it filed bankruptcy went public </w:t>
      </w:r>
      <w:r w:rsidR="005B708F">
        <w:t xml:space="preserve">when </w:t>
      </w:r>
      <w:r>
        <w:t>emerg</w:t>
      </w:r>
      <w:r w:rsidR="005B708F">
        <w:t>ing</w:t>
      </w:r>
      <w:r>
        <w:t xml:space="preserve"> from bankruptcy. Recently bankrupt firms that had never been public might find the IPO process challenging and the benefits of going public limited.</w:t>
      </w:r>
    </w:p>
  </w:footnote>
  <w:footnote w:id="6">
    <w:p w14:paraId="60846CC0" w14:textId="291990E9" w:rsidR="00B21C5A" w:rsidRDefault="003F315D" w:rsidP="001E1997">
      <w:pPr>
        <w:pStyle w:val="FootnoteText"/>
      </w:pPr>
      <w:r>
        <w:rPr>
          <w:rStyle w:val="FootnoteReference"/>
        </w:rPr>
        <w:footnoteRef/>
      </w:r>
      <w:r w:rsidR="00B21C5A">
        <w:t xml:space="preserve"> </w:t>
      </w:r>
      <w:r w:rsidR="001076DA">
        <w:t xml:space="preserve">Mark J. </w:t>
      </w:r>
      <w:r w:rsidR="00B21C5A">
        <w:t xml:space="preserve">Roe &amp; </w:t>
      </w:r>
      <w:r w:rsidR="001076DA">
        <w:t xml:space="preserve">Michael </w:t>
      </w:r>
      <w:r w:rsidR="00B21C5A">
        <w:t xml:space="preserve">Simkovic, </w:t>
      </w:r>
      <w:r w:rsidR="001076DA" w:rsidRPr="003F315D">
        <w:rPr>
          <w:i/>
          <w:iCs/>
        </w:rPr>
        <w:t>Bankruptcy’s Turn to Market Value</w:t>
      </w:r>
      <w:r w:rsidR="001076DA">
        <w:t xml:space="preserve">, 92 </w:t>
      </w:r>
      <w:r w:rsidR="001076DA" w:rsidRPr="003F315D">
        <w:rPr>
          <w:smallCaps/>
        </w:rPr>
        <w:t>U. Chi. L. Rev</w:t>
      </w:r>
      <w:r w:rsidR="001076DA">
        <w:t>. __ (2025)</w:t>
      </w:r>
      <w:r w:rsidR="00B21C5A">
        <w:t>.</w:t>
      </w:r>
    </w:p>
  </w:footnote>
  <w:footnote w:id="7">
    <w:p w14:paraId="00DCF8E1" w14:textId="054946A7" w:rsidR="00464437" w:rsidRDefault="00464437" w:rsidP="001E1997">
      <w:pPr>
        <w:pStyle w:val="FootnoteText"/>
      </w:pPr>
      <w:r w:rsidRPr="00225374">
        <w:rPr>
          <w:rStyle w:val="FootnoteReference"/>
        </w:rPr>
        <w:footnoteRef/>
      </w:r>
      <w:r>
        <w:t xml:space="preserve"> BankruptcyData counts 64 such bankruptcies, while </w:t>
      </w:r>
      <w:r w:rsidR="00252F1F">
        <w:t xml:space="preserve">the LoPucki </w:t>
      </w:r>
      <w:r w:rsidR="0084475C">
        <w:t>database</w:t>
      </w:r>
      <w:r w:rsidR="00252F1F">
        <w:t xml:space="preserve"> counts 88.</w:t>
      </w:r>
    </w:p>
  </w:footnote>
  <w:footnote w:id="8">
    <w:p w14:paraId="268D0065" w14:textId="713224C2" w:rsidR="00C545A4" w:rsidRDefault="00C545A4" w:rsidP="001E1997">
      <w:pPr>
        <w:pStyle w:val="FootnoteText"/>
      </w:pPr>
      <w:r w:rsidRPr="00225374">
        <w:rPr>
          <w:rStyle w:val="FootnoteReference"/>
        </w:rPr>
        <w:footnoteRef/>
      </w:r>
      <w:r>
        <w:t xml:space="preserve"> There is inconsistency across databases in the classification of </w:t>
      </w:r>
      <w:r w:rsidR="00D62785">
        <w:t xml:space="preserve">a few classifications. For example, </w:t>
      </w:r>
      <w:r>
        <w:t>Sharon Steel’s 1987 bankruptcy filing</w:t>
      </w:r>
      <w:r w:rsidR="00D62785">
        <w:t xml:space="preserve"> is not included in the </w:t>
      </w:r>
      <w:r>
        <w:t xml:space="preserve">LoPucki </w:t>
      </w:r>
      <w:r w:rsidR="00D62785">
        <w:t xml:space="preserve">database as public firm filing, </w:t>
      </w:r>
      <w:r w:rsidR="00416E3D">
        <w:t>filing</w:t>
      </w:r>
      <w:r>
        <w:t xml:space="preserve">, while BankruptcyData counts it as a public firm. The difference may relate to Sharon Steel being </w:t>
      </w:r>
      <w:r w:rsidR="00416E3D">
        <w:t>partly</w:t>
      </w:r>
      <w:r>
        <w:t xml:space="preserve"> owned by a parent firm</w:t>
      </w:r>
      <w:r w:rsidR="00416E3D">
        <w:t xml:space="preserve"> </w:t>
      </w:r>
      <w:r>
        <w:t xml:space="preserve">that was publicly traded prior to </w:t>
      </w:r>
      <w:r w:rsidR="00416E3D">
        <w:t>Sharon Steel’s</w:t>
      </w:r>
      <w:r>
        <w:t xml:space="preserve"> </w:t>
      </w:r>
      <w:r w:rsidR="00416E3D">
        <w:t xml:space="preserve">first </w:t>
      </w:r>
      <w:r>
        <w:t>bankruptcy filing.</w:t>
      </w:r>
      <w:r w:rsidR="00D62785">
        <w:t xml:space="preserve"> are few.</w:t>
      </w:r>
    </w:p>
  </w:footnote>
  <w:footnote w:id="9">
    <w:p w14:paraId="45C2D19E" w14:textId="77777777" w:rsidR="00EF0BDA" w:rsidRDefault="00EF0BDA" w:rsidP="003B5E9F">
      <w:pPr>
        <w:pStyle w:val="FootnoteNotIndented"/>
        <w:ind w:firstLine="576"/>
      </w:pPr>
      <w:r>
        <w:rPr>
          <w:rStyle w:val="FootnoteReference"/>
        </w:rPr>
        <w:footnoteRef/>
      </w:r>
      <w:r>
        <w:t xml:space="preserve"> Source: </w:t>
      </w:r>
      <w:r w:rsidRPr="008F0EB8">
        <w:t>Florida-UCLA-LoPucki Bankruptcy Research Database</w:t>
      </w:r>
      <w:r>
        <w:t xml:space="preserve">. A similar sharply downward sloping trend is found in a wider sample of business bankruptcies, including those of smaller firms, in Edith Hotchkiss, Karin S. Thorburn &amp; Wei Wang, </w:t>
      </w:r>
      <w:r w:rsidRPr="00433963">
        <w:rPr>
          <w:iCs/>
        </w:rPr>
        <w:t>The Changing Face of Chapter 11 Bankruptcy: Insights from Recent Trends and Research</w:t>
      </w:r>
      <w:r>
        <w:t xml:space="preserve"> 31 (fig. 3) (SSRN working paper, Oct. 2022), www.ssrn.com/abstract-4259188.</w:t>
      </w:r>
    </w:p>
  </w:footnote>
  <w:footnote w:id="10">
    <w:p w14:paraId="33EA3D15" w14:textId="4828FBAE" w:rsidR="00187148" w:rsidRDefault="00187148" w:rsidP="001E1997">
      <w:pPr>
        <w:pStyle w:val="FootnoteText"/>
      </w:pPr>
      <w:r w:rsidRPr="00225374">
        <w:rPr>
          <w:rStyle w:val="FootnoteReference"/>
        </w:rPr>
        <w:footnoteRef/>
      </w:r>
      <w:r>
        <w:t xml:space="preserve"> BankruptcyData counts 330 large corporate bankruptcies</w:t>
      </w:r>
      <w:r w:rsidR="00DE03DC">
        <w:t xml:space="preserve"> for this period</w:t>
      </w:r>
      <w:r>
        <w:t xml:space="preserve">. </w:t>
      </w:r>
      <w:r w:rsidR="00D62785">
        <w:t>The</w:t>
      </w:r>
      <w:r>
        <w:t xml:space="preserve"> LoPucki </w:t>
      </w:r>
      <w:r w:rsidR="00D62785">
        <w:t>database</w:t>
      </w:r>
      <w:r w:rsidR="000A472E">
        <w:t>, which only includes public firms,</w:t>
      </w:r>
      <w:r>
        <w:t xml:space="preserve"> counts 267.</w:t>
      </w:r>
    </w:p>
  </w:footnote>
  <w:footnote w:id="11">
    <w:p w14:paraId="21E01EE9" w14:textId="185B8CC6" w:rsidR="000A472E" w:rsidRDefault="000A472E" w:rsidP="001E1997">
      <w:pPr>
        <w:pStyle w:val="FootnoteText"/>
      </w:pPr>
      <w:r w:rsidRPr="00225374">
        <w:rPr>
          <w:rStyle w:val="FootnoteReference"/>
        </w:rPr>
        <w:footnoteRef/>
      </w:r>
      <w:r>
        <w:t xml:space="preserve"> BankruptcyData counts 712 large corporate bankruptcies</w:t>
      </w:r>
      <w:r w:rsidR="00DE03DC">
        <w:t xml:space="preserve"> for this period</w:t>
      </w:r>
      <w:r>
        <w:t>. LoPucki</w:t>
      </w:r>
      <w:r w:rsidR="0084475C">
        <w:t xml:space="preserve"> database</w:t>
      </w:r>
      <w:r>
        <w:t xml:space="preserve"> counts 526.</w:t>
      </w:r>
    </w:p>
  </w:footnote>
  <w:footnote w:id="12">
    <w:p w14:paraId="653EE0B8" w14:textId="08FAD1CC" w:rsidR="00306277" w:rsidRPr="00306277" w:rsidRDefault="00306277" w:rsidP="001E1997">
      <w:pPr>
        <w:pStyle w:val="FootnoteText"/>
      </w:pPr>
      <w:r w:rsidRPr="00306277">
        <w:rPr>
          <w:rStyle w:val="FootnoteReference"/>
          <w:szCs w:val="17"/>
        </w:rPr>
        <w:footnoteRef/>
      </w:r>
      <w:r w:rsidRPr="00306277">
        <w:t xml:space="preserve"> </w:t>
      </w:r>
      <w:r w:rsidRPr="003B5E9F">
        <w:rPr>
          <w:i/>
          <w:iCs/>
        </w:rPr>
        <w:t>See</w:t>
      </w:r>
      <w:r w:rsidRPr="00306277">
        <w:t xml:space="preserve"> Vincent S.J. Buccola, </w:t>
      </w:r>
      <w:r w:rsidRPr="003B5E9F">
        <w:rPr>
          <w:i/>
          <w:iCs/>
        </w:rPr>
        <w:t>Sponsor Control: A New Paradigm for Corporate Reorganization</w:t>
      </w:r>
      <w:r w:rsidRPr="00306277">
        <w:t xml:space="preserve">, 90 </w:t>
      </w:r>
      <w:r w:rsidRPr="00306277">
        <w:rPr>
          <w:smallCaps/>
        </w:rPr>
        <w:t>U. Chi. L. Rev</w:t>
      </w:r>
      <w:r w:rsidRPr="00306277">
        <w:t>. 1</w:t>
      </w:r>
      <w:r w:rsidR="00534890">
        <w:t>, 21</w:t>
      </w:r>
      <w:r w:rsidRPr="00306277">
        <w:t xml:space="preserve"> (2023).</w:t>
      </w:r>
    </w:p>
    <w:p w14:paraId="383FD7D9" w14:textId="77777777" w:rsidR="00306277" w:rsidRDefault="00306277" w:rsidP="001E1997">
      <w:pPr>
        <w:pStyle w:val="FootnoteText"/>
      </w:pPr>
    </w:p>
  </w:footnote>
  <w:footnote w:id="13">
    <w:p w14:paraId="67BFFD3E" w14:textId="37D5FCBE" w:rsidR="00B17098" w:rsidRDefault="00783E3B" w:rsidP="001E1997">
      <w:pPr>
        <w:pStyle w:val="FootnoteText"/>
      </w:pPr>
      <w:r w:rsidRPr="00225374">
        <w:rPr>
          <w:rStyle w:val="FootnoteReference"/>
        </w:rPr>
        <w:footnoteRef/>
      </w:r>
      <w:r>
        <w:t xml:space="preserve"> </w:t>
      </w:r>
      <w:r w:rsidR="00B17098">
        <w:t xml:space="preserve">In unreported regressions, we find other measures of firm size—such as number of employees and revenue—are not statistically significantly related to the decision of whether to remain public or go private and do not improve the goodness of fit of the model. This difference may be explained by the fact that </w:t>
      </w:r>
      <w:r w:rsidR="005E78A1">
        <w:t xml:space="preserve">more </w:t>
      </w:r>
      <w:r w:rsidR="00B17098">
        <w:t>asset</w:t>
      </w:r>
      <w:r w:rsidR="005E78A1">
        <w:t>s</w:t>
      </w:r>
      <w:r w:rsidR="00B17098">
        <w:t xml:space="preserve"> increase a firm’s need for capital more than employees or revenue.</w:t>
      </w:r>
    </w:p>
    <w:p w14:paraId="7CE70104" w14:textId="2F101B63" w:rsidR="00783E3B" w:rsidRDefault="00783E3B" w:rsidP="001E1997">
      <w:pPr>
        <w:pStyle w:val="FootnoteText"/>
      </w:pPr>
      <w:r>
        <w:t xml:space="preserve">Whereas assets are typically purchased or built by the firm initially </w:t>
      </w:r>
      <w:r w:rsidR="004C56BC">
        <w:t xml:space="preserve">to </w:t>
      </w:r>
      <w:r>
        <w:t>generat</w:t>
      </w:r>
      <w:r w:rsidR="004C56BC">
        <w:t>e</w:t>
      </w:r>
      <w:r>
        <w:t xml:space="preserve"> profits over many future years, and must typically therefore be financed, employees are effectively </w:t>
      </w:r>
      <w:r w:rsidR="004C56BC">
        <w:t>“</w:t>
      </w:r>
      <w:r>
        <w:t>rented</w:t>
      </w:r>
      <w:r w:rsidR="004C56BC">
        <w:t>”</w:t>
      </w:r>
      <w:r>
        <w:t xml:space="preserve"> for a flexible term.  Having more employees at the outset of bankruptcy does not necessarily require much more in the way of capital, particularly when labor generates revenue about as swiftly as workers are paid or when the size of the workforce is flexible and responsive to demand.</w:t>
      </w:r>
      <w:r w:rsidRPr="00783E3B">
        <w:t xml:space="preserve"> </w:t>
      </w:r>
      <w:r>
        <w:t xml:space="preserve">Even if </w:t>
      </w:r>
      <w:r w:rsidR="0079360B">
        <w:t>the firm entered into</w:t>
      </w:r>
      <w:r>
        <w:t xml:space="preserve"> collective bargaining </w:t>
      </w:r>
      <w:r w:rsidR="0079360B">
        <w:t>before bankruptcy, bankruptcy provides firms with renegotiat</w:t>
      </w:r>
      <w:r w:rsidR="00E37D6F">
        <w:t>ion paths</w:t>
      </w:r>
      <w:r w:rsidR="0079360B">
        <w:t xml:space="preserve">. </w:t>
      </w:r>
      <w:r w:rsidR="0079360B" w:rsidRPr="00A11961">
        <w:rPr>
          <w:i/>
          <w:iCs/>
        </w:rPr>
        <w:t>See</w:t>
      </w:r>
      <w:r w:rsidR="0079360B">
        <w:t xml:space="preserve"> </w:t>
      </w:r>
      <w:r w:rsidR="0079360B" w:rsidRPr="0079360B">
        <w:t>11 U.S.</w:t>
      </w:r>
      <w:r w:rsidR="0079360B">
        <w:t xml:space="preserve">C. </w:t>
      </w:r>
      <w:r w:rsidR="0079360B" w:rsidRPr="0079360B">
        <w:t>§ 1113</w:t>
      </w:r>
      <w:r w:rsidR="00B474F7">
        <w:t xml:space="preserve"> (r</w:t>
      </w:r>
      <w:r w:rsidR="0079360B" w:rsidRPr="0079360B">
        <w:t>ejection of collective bargaining agreements</w:t>
      </w:r>
      <w:r w:rsidR="00B474F7">
        <w:t>)</w:t>
      </w:r>
      <w:r w:rsidR="0079360B">
        <w:t>.</w:t>
      </w:r>
    </w:p>
  </w:footnote>
  <w:footnote w:id="14">
    <w:p w14:paraId="7C72767D" w14:textId="3A3C0161" w:rsidR="00D674A3" w:rsidRDefault="00D674A3" w:rsidP="001E1997">
      <w:pPr>
        <w:pStyle w:val="FootnoteText"/>
      </w:pPr>
      <w:r w:rsidRPr="00225374">
        <w:rPr>
          <w:rStyle w:val="FootnoteReference"/>
        </w:rPr>
        <w:footnoteRef/>
      </w:r>
      <w:r>
        <w:t xml:space="preserve"> Bankrupt firms often have net operating losses that can be carried forward as a tax shield if they acquire firms with taxable income. However, tax rules make it more challenging for a firm with taxable income to shield itself from taxes by acquiring a firm with loss carry forwards. </w:t>
      </w:r>
      <w:r w:rsidRPr="000660A7">
        <w:rPr>
          <w:i/>
          <w:iCs/>
        </w:rPr>
        <w:t>See</w:t>
      </w:r>
      <w:r>
        <w:t xml:space="preserve"> </w:t>
      </w:r>
      <w:r w:rsidR="006C7D14" w:rsidRPr="006C7D14">
        <w:t>Mark Campisano &amp; Roberta Romano, </w:t>
      </w:r>
      <w:r w:rsidR="006C7D14" w:rsidRPr="006C7D14">
        <w:rPr>
          <w:i/>
          <w:iCs/>
        </w:rPr>
        <w:t>Recouping Losses: The Case for Full Loss Offsets</w:t>
      </w:r>
      <w:r w:rsidR="006C7D14" w:rsidRPr="006C7D14">
        <w:t>, 76 </w:t>
      </w:r>
      <w:r w:rsidR="006C7D14" w:rsidRPr="006C7D14">
        <w:rPr>
          <w:smallCaps/>
        </w:rPr>
        <w:t>Nw. U. L. Rev.</w:t>
      </w:r>
      <w:r w:rsidR="006C7D14" w:rsidRPr="006C7D14">
        <w:t xml:space="preserve"> 709 (1981)</w:t>
      </w:r>
      <w:r w:rsidR="006C7D14">
        <w:t xml:space="preserve">; </w:t>
      </w:r>
      <w:r w:rsidR="000660A7">
        <w:t xml:space="preserve">Marcel </w:t>
      </w:r>
      <w:r w:rsidRPr="00D674A3">
        <w:t>Olbert, The Impact of Tax Shields on Bankruptcy Risk and Resource Allocation (July 19, 2024)</w:t>
      </w:r>
      <w:r w:rsidR="00AE4DB0">
        <w:t xml:space="preserve">, </w:t>
      </w:r>
      <w:r w:rsidRPr="00D674A3">
        <w:t>https://ssrn.com/abstract=3467669 or http://dx.doi.org/10.2139/ssrn.3467669</w:t>
      </w:r>
      <w:r w:rsidR="002A64C5">
        <w:t>.</w:t>
      </w:r>
    </w:p>
  </w:footnote>
  <w:footnote w:id="15">
    <w:p w14:paraId="7782908A" w14:textId="52A6E72F" w:rsidR="00562A37" w:rsidRDefault="00562A37" w:rsidP="001E1997">
      <w:pPr>
        <w:pStyle w:val="FootnoteText"/>
      </w:pPr>
      <w:r w:rsidRPr="00225374">
        <w:rPr>
          <w:rStyle w:val="FootnoteReference"/>
        </w:rPr>
        <w:footnoteRef/>
      </w:r>
      <w:r>
        <w:t xml:space="preserve"> </w:t>
      </w:r>
      <w:r>
        <w:fldChar w:fldCharType="begin"/>
      </w:r>
      <w:r w:rsidR="0050768F">
        <w:instrText xml:space="preserve"> ADDIN ZOTERO_ITEM CSL_CITATION {"citationID":"a4TGG3NI","properties":{"formattedCitation":"Paul Rose &amp; Steven Davidoff Solomon, {\\i{}Where Have All the IPOs Gone: The Hard Life of the Small IPO}, 6 {\\scaps Harv. Bus. L. Rev.} 83 (2016); Mark J. Roe &amp; Charles C. Y. Wang, {\\i{}Are Public Firms Disappearing? Corporate Law and Market Power Analyses}, {\\scaps SSRN Journal} (2023), https://www.ssrn.com/abstract=4372070 (last visited Aug 15, 2024); see also Kate Litvak, {\\i{}The Effect of the Sarbanes-Oxley Act on Non-Us Companies Cross-Listed in the Us}, 13 {\\scaps Journal of Corporate Finance} 195 (2007); Robert P. Bartlett, Paul Rose &amp; Steven Davidoff Solomon, {\\i{}The Small IPO and the Investing Preferences of Mutual Funds}, 47 {\\scaps Journal of Corporate Finance} 151 (2017).","plainCitation":"Paul Rose &amp; Steven Davidoff Solomon, Where Have All the IPOs Gone: The Hard Life of the Small IPO, 6 Harv. Bus. L. Rev. 83 (2016); Mark J. Roe &amp; Charles C. Y. Wang, Are Public Firms Disappearing? Corporate Law and Market Power Analyses, SSRN Journal (2023), https://www.ssrn.com/abstract=4372070 (last visited Aug 15, 2024); see also Kate Litvak, The Effect of the Sarbanes-Oxley Act on Non-Us Companies Cross-Listed in the Us, 13 Journal of Corporate Finance 195 (2007); Robert P. Bartlett, Paul Rose &amp; Steven Davidoff Solomon, The Small IPO and the Investing Preferences of Mutual Funds, 47 Journal of Corporate Finance 151 (2017).","noteIndex":19},"citationItems":[{"id":12107,"uris":["http://zotero.org/users/274594/items/5AH2IP2W"],"itemData":{"id":12107,"type":"article-journal","container-title":"Harvard Business Law Review","issue":"1","journalAbbreviation":"Harv. Bus. L. Rev.","language":"eng","page":"83-128","source":"HeinOnline","title":"Where Have All the IPOs Gone: The Hard Life of the Small IPO","title-short":"Where Have All the IPOs Gone","volume":"6","author":[{"family":"Rose","given":"Paul"},{"family":"Solomon","given":"Steven Davidoff"}],"issued":{"date-parts":[["2016"]]}}},{"id":12112,"uris":["http://zotero.org/users/274594/items/K5WD3ETK"],"itemData":{"id":12112,"type":"article-journal","abstract":"The number of public firms in the United States has halved since the beginning of the twenty-first century, causing consternation among corporate and securities law regulators. The dominant explanations, often advanced by Securities and Exchange commissioners when considering policy initiatives, come from over- or under- corporate regulation of the stock market. The central legal explanation is that corporate and securities law has made the cost of being public too high. Conversely, goes the second legal explanation, capital-raising rules for private firms were once very strict but have loosened up. Private firms can now raise capital nearly as well as small- and medium-sized public firms. Either way, these views see legal imperatives as explaining the sharp decline in the public firm.","container-title":"SSRN Electronic Journal","DOI":"10.2139/ssrn.4372070","ISSN":"1556-5068","journalAbbreviation":"SSRN Journal","language":"en","source":"DOI.org (Crossref)","title":"Are Public Firms Disappearing? Corporate Law and Market Power Analyses","title-short":"Are Public Firms Disappearing?","URL":"https://www.ssrn.com/abstract=4372070","author":[{"family":"Roe","given":"Mark J."},{"family":"Wang","given":"Charles C. Y."}],"accessed":{"date-parts":[["2024",8,15]]},"issued":{"date-parts":[["2023"]]}}},{"id":2732,"uris":["http://zotero.org/users/274594/items/VSUCN5CR"],"itemData":{"id":2732,"type":"article-journal","abstract":"This paper uses a natural experiment to measure market response to the adoption of the Sarbanes–Oxley Act (ʽʽSOX\"). Because SOX applies to all US public companies, US-based studies have difficulty separating the effects of contemporaneous events. However, controlled analysis is available: SOX applies to some cross-listed firms (those listed on level 2 or 3), but not to others (listed on level 1 or 4). By comparing reactions of SOX-exposed foreign firms to reactions of otherwise similar SOX-unexposed foreign firms, we can test investor beliefs about the costs and benefits of SOX in a way that is not cleanly available for US-based studies. We find that stock prices of foreign firms subject to SOX declined (increased) significantly, compared to cross-listed firms not subject to SOX and to non-cross-listed firms, during key announcements indicating that SOX would (would not) fully apply to cross-listed issuers. In cross-sectional tests, high-disclosing firms and firms from high-disclosing countries experienced the strongest declines, while faster-growing companies experienced weaker declines. This evidence is consistent with the view that investors expected the Sarbanes–Oxley Act to have a net negative effect on cross-listed foreign companies, with high-disclosing and low-growth companies suffering larger net costs, and faster-growing companies suffering smaller costs, particularly when they are located in poorly governed countries.","collection-title":"SEC Regulation and Corporate Finance","container-title":"Journal of Corporate Finance","DOI":"10.1016/j.jcorpfin.2007.03.002","ISSN":"0929-1199","issue":"2","journalAbbreviation":"Journal of Corporate Finance","page":"195-228","source":"ScienceDirect","title":"The Effect of the Sarbanes-Oxley Act on Non-Us Companies Cross-Listed in the Us","volume":"13","author":[{"family":"Litvak","given":"Kate"}],"issued":{"date-parts":[["2007",6,1]]}},"label":"page","prefix":"see also "},{"id":12109,"uris":["http://zotero.org/users/274594/items/GF3FQY73"],"itemData":{"id":12109,"type":"article-journal","abstract":"We examine how liquidity and return concerns at large mutual funds explain their diminished participation in small IPOs since the late 1990s. Using 5825 IPOs and portfolio-level information for 37,052 funds, we exploit Russia's 1998 debt default as an exogenous shock to funds' liquidity concerns. After 1998, large funds invested in fewer small/illiquid IPOs and more large/liquid IPOs than smaller funds and received higher returns for small IPO investments. Given increased fund sizes since 1990, these results are consistent with funds' liquidity concerns and their demand for greater compensation when investing in transactions representing a trivial fraction of fund assets.","container-title":"Journal of Corporate Finance","DOI":"10.1016/j.jcorpfin.2017.08.008","ISSN":"0929-1199","journalAbbreviation":"Journal of Corporate Finance","page":"151-173","source":"ScienceDirect","title":"The small IPO and the investing preferences of mutual funds","volume":"47","author":[{"family":"Bartlett","given":"Robert P."},{"family":"Rose","given":"Paul"},{"family":"Solomon","given":"Steven Davidoff"}],"issued":{"date-parts":[["2017",12,1]]}}}],"schema":"https://github.com/citation-style-language/schema/raw/master/csl-citation.json"} </w:instrText>
      </w:r>
      <w:r>
        <w:fldChar w:fldCharType="separate"/>
      </w:r>
      <w:r w:rsidR="0050768F" w:rsidRPr="0050768F">
        <w:t xml:space="preserve">Paul Rose &amp; Steven Davidoff Solomon, </w:t>
      </w:r>
      <w:r w:rsidR="0050768F" w:rsidRPr="0050768F">
        <w:rPr>
          <w:i/>
          <w:iCs/>
        </w:rPr>
        <w:t>Where Have All the IPOs Gone: The Hard Life of the Small IPO</w:t>
      </w:r>
      <w:r w:rsidR="0050768F" w:rsidRPr="0050768F">
        <w:t xml:space="preserve">, 6 </w:t>
      </w:r>
      <w:r w:rsidR="0050768F" w:rsidRPr="0050768F">
        <w:rPr>
          <w:smallCaps/>
        </w:rPr>
        <w:t>Harv. Bus. L. Rev.</w:t>
      </w:r>
      <w:r w:rsidR="0050768F" w:rsidRPr="0050768F">
        <w:t xml:space="preserve"> 83 (2016); Mark J. Roe &amp; Charles C. Y. Wang, </w:t>
      </w:r>
      <w:r w:rsidR="002A64C5" w:rsidRPr="003F315D">
        <w:rPr>
          <w:i/>
          <w:iCs/>
        </w:rPr>
        <w:t>Half the Firms, Twice the Profit</w:t>
      </w:r>
      <w:r w:rsidR="002A64C5">
        <w:t xml:space="preserve">, __ </w:t>
      </w:r>
      <w:r w:rsidR="002A64C5" w:rsidRPr="003F315D">
        <w:rPr>
          <w:smallCaps/>
        </w:rPr>
        <w:t>J.L. Fin. &amp; Acct</w:t>
      </w:r>
      <w:r w:rsidR="002A64C5">
        <w:t>. __ (2025)</w:t>
      </w:r>
      <w:r w:rsidR="005A19ED">
        <w:t xml:space="preserve">. </w:t>
      </w:r>
      <w:r w:rsidR="005A19ED" w:rsidRPr="00282601">
        <w:rPr>
          <w:i/>
          <w:iCs/>
        </w:rPr>
        <w:t>S</w:t>
      </w:r>
      <w:r w:rsidR="0050768F" w:rsidRPr="00282601">
        <w:rPr>
          <w:i/>
          <w:iCs/>
        </w:rPr>
        <w:t>ee also</w:t>
      </w:r>
      <w:r w:rsidR="0050768F" w:rsidRPr="0050768F">
        <w:t xml:space="preserve"> Kate Litvak, </w:t>
      </w:r>
      <w:r w:rsidR="0050768F" w:rsidRPr="0050768F">
        <w:rPr>
          <w:i/>
          <w:iCs/>
        </w:rPr>
        <w:t>The Effect of the Sarbanes-Oxley Act on Non-U</w:t>
      </w:r>
      <w:r w:rsidR="005A19ED">
        <w:rPr>
          <w:i/>
          <w:iCs/>
        </w:rPr>
        <w:t>S</w:t>
      </w:r>
      <w:r w:rsidR="0050768F" w:rsidRPr="0050768F">
        <w:rPr>
          <w:i/>
          <w:iCs/>
        </w:rPr>
        <w:t xml:space="preserve"> Companies Cross-Listed in the U</w:t>
      </w:r>
      <w:r w:rsidR="005A19ED">
        <w:rPr>
          <w:i/>
          <w:iCs/>
        </w:rPr>
        <w:t>S</w:t>
      </w:r>
      <w:r w:rsidR="0050768F" w:rsidRPr="0050768F">
        <w:t xml:space="preserve">, 13 </w:t>
      </w:r>
      <w:r w:rsidR="0050768F" w:rsidRPr="0050768F">
        <w:rPr>
          <w:smallCaps/>
        </w:rPr>
        <w:t>J</w:t>
      </w:r>
      <w:r w:rsidR="005A19ED">
        <w:rPr>
          <w:smallCaps/>
        </w:rPr>
        <w:t>. Corp. Fin.</w:t>
      </w:r>
      <w:r w:rsidR="0050768F" w:rsidRPr="0050768F">
        <w:t xml:space="preserve"> (2007); Robert P. Bartlett, Paul Rose &amp; Steven Davidoff Solomon, </w:t>
      </w:r>
      <w:r w:rsidR="0050768F" w:rsidRPr="0050768F">
        <w:rPr>
          <w:i/>
          <w:iCs/>
        </w:rPr>
        <w:t>The Small IPO and the Investing Preferences of Mutual Funds</w:t>
      </w:r>
      <w:r w:rsidR="0050768F" w:rsidRPr="0050768F">
        <w:t>, 47</w:t>
      </w:r>
      <w:r w:rsidR="0050768F" w:rsidRPr="005A19ED">
        <w:rPr>
          <w:smallCaps/>
        </w:rPr>
        <w:t xml:space="preserve"> J</w:t>
      </w:r>
      <w:r w:rsidR="005A19ED" w:rsidRPr="005A19ED">
        <w:rPr>
          <w:smallCaps/>
        </w:rPr>
        <w:t>. Corp. Fin.</w:t>
      </w:r>
      <w:r w:rsidR="005A19ED" w:rsidRPr="0050768F">
        <w:t xml:space="preserve"> </w:t>
      </w:r>
      <w:r w:rsidR="0050768F" w:rsidRPr="0050768F">
        <w:t>2017).</w:t>
      </w:r>
      <w:r>
        <w:fldChar w:fldCharType="end"/>
      </w:r>
    </w:p>
  </w:footnote>
  <w:footnote w:id="16">
    <w:p w14:paraId="1DC7DBC5" w14:textId="1A445AB6" w:rsidR="0048272B" w:rsidRDefault="0048272B" w:rsidP="001E1997">
      <w:pPr>
        <w:pStyle w:val="FootnoteText"/>
      </w:pPr>
      <w:r w:rsidRPr="00225374">
        <w:rPr>
          <w:rStyle w:val="FootnoteReference"/>
        </w:rPr>
        <w:footnoteRef/>
      </w:r>
      <w:r>
        <w:t xml:space="preserve"> </w:t>
      </w:r>
      <w:r>
        <w:fldChar w:fldCharType="begin"/>
      </w:r>
      <w:r>
        <w:instrText xml:space="preserve"> ADDIN ZOTERO_ITEM CSL_CITATION {"citationID":"747zWVtu","properties":{"formattedCitation":"Jared A. Ellias &amp; Elisabeth De Fontenay, {\\i{}Law and Courts in an Age of Debt}, {\\scaps SSRN Journal} (2023), https://www.ssrn.com/abstract=4387437 (last visited Aug 15, 2024).","plainCitation":"Jared A. Ellias &amp; Elisabeth De Fontenay, Law and Courts in an Age of Debt, SSRN Journal (2023), https://www.ssrn.com/abstract=4387437 (last visited Aug 15, 2024).","noteIndex":20},"citationItems":[{"id":12118,"uris":["http://zotero.org/users/274594/items/ICZ6ZSH9"],"itemData":{"id":12118,"type":"article-journal","container-title":"SSRN Electronic Journal","DOI":"10.2139/ssrn.4387437","ISSN":"1556-5068","journalAbbreviation":"SSRN Journal","language":"en","source":"DOI.org (Crossref)","title":"Law and Courts in an Age of Debt","URL":"https://www.ssrn.com/abstract=4387437","author":[{"family":"Ellias","given":"Jared A."},{"family":"De Fontenay","given":"Elisabeth"}],"accessed":{"date-parts":[["2024",8,15]]},"issued":{"date-parts":[["2023"]]}}}],"schema":"https://github.com/citation-style-language/schema/raw/master/csl-citation.json"} </w:instrText>
      </w:r>
      <w:r>
        <w:fldChar w:fldCharType="separate"/>
      </w:r>
      <w:r w:rsidRPr="0048272B">
        <w:t xml:space="preserve">Jared A. Ellias &amp; Elisabeth De Fontenay, </w:t>
      </w:r>
      <w:r w:rsidRPr="0048272B">
        <w:rPr>
          <w:i/>
          <w:iCs/>
        </w:rPr>
        <w:t>Law and Courts in an Age of Debt</w:t>
      </w:r>
      <w:r w:rsidRPr="0048272B">
        <w:t xml:space="preserve">, </w:t>
      </w:r>
      <w:r>
        <w:t xml:space="preserve">171 </w:t>
      </w:r>
      <w:r>
        <w:rPr>
          <w:smallCaps/>
        </w:rPr>
        <w:t>U. P</w:t>
      </w:r>
      <w:r w:rsidR="005E0D7C">
        <w:rPr>
          <w:smallCaps/>
        </w:rPr>
        <w:t>a</w:t>
      </w:r>
      <w:r>
        <w:rPr>
          <w:smallCaps/>
        </w:rPr>
        <w:t>. L. Rev.</w:t>
      </w:r>
      <w:r w:rsidRPr="0048272B">
        <w:t xml:space="preserve"> </w:t>
      </w:r>
      <w:r>
        <w:t xml:space="preserve">2025 </w:t>
      </w:r>
      <w:r w:rsidRPr="0048272B">
        <w:t>(202</w:t>
      </w:r>
      <w:r>
        <w:t>3</w:t>
      </w:r>
      <w:r w:rsidRPr="0048272B">
        <w:t>).</w:t>
      </w:r>
      <w:r>
        <w:fldChar w:fldCharType="end"/>
      </w:r>
    </w:p>
  </w:footnote>
  <w:footnote w:id="17">
    <w:p w14:paraId="06599269" w14:textId="7AF99A76" w:rsidR="0050768F" w:rsidRDefault="0050768F" w:rsidP="001E1997">
      <w:pPr>
        <w:pStyle w:val="FootnoteText"/>
      </w:pPr>
      <w:r w:rsidRPr="00225374">
        <w:rPr>
          <w:rStyle w:val="FootnoteReference"/>
        </w:rPr>
        <w:footnoteRef/>
      </w:r>
      <w:r>
        <w:t xml:space="preserve"> </w:t>
      </w:r>
      <w:r>
        <w:fldChar w:fldCharType="begin"/>
      </w:r>
      <w:r w:rsidR="00790FDA">
        <w:instrText xml:space="preserve"> ADDIN ZOTERO_ITEM CSL_CITATION {"citationID":"DslGKigw","properties":{"formattedCitation":"Anthony J. Casey, {\\i{}The Creditors\\uc0\\u8217{} Bargain and Option-Preservation Priority in Chapter 11}, 78 {\\scaps U. Chi. L. Rev.} 759 (2011); Kenneth M. Ayotte &amp; Edward R. Morrison, {\\i{}Creditor Control and Conflict in Chapter 11}, 1 {\\scaps Journal of Legal Analysis} 511 (2009); Lynn M. LoPucki &amp; Joseph W. Doherty, {\\i{}Bankruptcy Fire Sales}, 106 {\\scaps Mich. L. Rev.} 1 (2007); Jared A. Ellias &amp; Robert Stark, {\\i{}Bankruptcy Hardball}, 108 {\\scaps Calif. L. Rev.} 745 (2020); Mark J. Roe &amp; Frederick Tung, {\\i{}Breaking Bankruptcy Priority: How Rent-Seeking Upends the Creditors\\uc0\\u8217{} Bargain}, 99 {\\scaps Va. L. Rev.} 1235 (2013); Kenneth Ayotte &amp; Jared A. Ellias, {\\i{}Bankruptcy Process for Sale}, 39 {\\scaps Yale J. on Reg.} 1 (2022); Melissa B. Jacoby &amp; Edward J. Janger, {\\i{}Ice Cube Bonds: Allocating the Price of Process in Chapter 11 Bankruptcy}, 123 {\\scaps Yale L.J.} 862 (2013).","plainCitation":"Anthony J. Casey, The Creditors’ Bargain and Option-Preservation Priority in Chapter 11, 78 U. Chi. L. Rev. 759 (2011); Kenneth M. Ayotte &amp; Edward R. Morrison, Creditor Control and Conflict in Chapter 11, 1 Journal of Legal Analysis 511 (2009); Lynn M. LoPucki &amp; Joseph W. Doherty, Bankruptcy Fire Sales, 106 Mich. L. Rev. 1 (2007); Jared A. Ellias &amp; Robert Stark, Bankruptcy Hardball, 108 Calif. L. Rev. 745 (2020); Mark J. Roe &amp; Frederick Tung, Breaking Bankruptcy Priority: How Rent-Seeking Upends the Creditors’ Bargain, 99 Va. L. Rev. 1235 (2013); Kenneth Ayotte &amp; Jared A. Ellias, Bankruptcy Process for Sale, 39 Yale J. on Reg. 1 (2022); Melissa B. Jacoby &amp; Edward J. Janger, Ice Cube Bonds: Allocating the Price of Process in Chapter 11 Bankruptcy, 123 Yale L.J. 862 (2013).","noteIndex":20},"citationItems":[{"id":11119,"uris":["http://zotero.org/users/274594/items/T4PBXWCD"],"itemData":{"id":11119,"type":"article-journal","abstract":"Corporate reorganization under Chapter 11 of the Bankruptcy Code is built on the foundation of the absolute priority rule, which requires that senior creditors be paid in full before any value can be distributed to junior creditors. The standard law and economics understanding is that absolute priority follows inevitably from the \"creditors' bargain\" model. That model tells us that the optimal system of reorganization must respect nonbankruptcy contract rights while maximizing the expected value of assets in bankruptcy. The conventional wisdom is that absolute priority fits this bill as the singular way of protecting creditors' nonbankruptcy contract rights. But what if this conventional wisdom is incorrect? A closer look at the structure of corporate debt suggests that it is. Junior creditors issue debt supported by the residual value of the debtor firm. The repayment ofthat debt is contingent on the future value of the firm: the junior creditors receive any future value that exceeds the face value of the senior debt. It is well recognized that this right is the equivalent of a call option on the firm's assets. And yet Chapter 11 destroys the value ofthat call option by collapsing all future possibilities to present-day value. Thus, absolute priority eliminates the nonbankruptcy contract rights of junior creditors and creates new rights in going-concern value for senior creditors. This Article examines the potential of an alternative prionty mechanism that protects both the junior creditors' call-option value and the senior creditors' nonbankruptcy contract rights. This mechanism—which I call Option-Preservation Prionty—is shown to protect the nonbankruptcy contract rights of all creditors and maximize the expected value of assets in bankruptcy.","container-title":"University of Chicago Law Review","ISSN":"0041-9494","issue":"3","journalAbbreviation":"U. Chi. L. Rev.","note":"publisher: University of Chicago Law Review","page":"759-807","source":"JSTOR","title":"The Creditors' Bargain and Option-Preservation Priority in Chapter 11","volume":"78","author":[{"family":"Casey","given":"Anthony J."}],"issued":{"date-parts":[["2011"]]}}},{"id":1723,"uris":["http://zotero.org/users/274594/items/I8JE5QDV"],"itemData":{"id":1723,"type":"article-journal","container-title":"Journal of Legal Analysis","issue":"2","note":"00176","page":"511–551","source":"Google Scholar","title":"Creditor Control and Conflict in Chapter 11","volume":"1","author":[{"family":"Ayotte","given":"Kenneth M."},{"family":"Morrison","given":"Edward R."}],"issued":{"date-parts":[["2009"]]}}},{"id":1909,"uris":["http://zotero.org/users/274594/items/EGVAKGX8"],"itemData":{"id":1909,"type":"article-journal","container-title":"Michigan Law Review","journalAbbreviation":"Mich. L. Rev.","note":"00000","page":"1","source":"Google Scholar","title":"Bankruptcy Fire Sales","volume":"106","author":[{"family":"LoPucki","given":"Lynn M."},{"family":"Doherty","given":"Joseph W."}],"issued":{"date-parts":[["2007"]]}}},{"id":2626,"uris":["http://zotero.org/users/274594/items/W9HXI25M"],"itemData":{"id":2626,"type":"article-journal","container-title":"California Law Review","DOI":"10.2139/ssrn.3286081","ISSN":"1556-5068","journalAbbreviation":"Calif. L. Rev.","language":"en","page":"745","source":"DOI.org (Crossref)","title":"Bankruptcy Hardball","volume":"108","author":[{"family":"Ellias","given":"Jared A."},{"family":"Stark","given":"Robert"}],"issued":{"date-parts":[["2020"]]}}},{"id":2011,"uris":["http://zotero.org/users/274594/items/6P5HPXQA"],"itemData":{"id":2011,"type":"article-journal","container-title":"Virginia Law Review","journalAbbreviation":"Va. L. Rev.","note":"00038","page":"1235–1290","source":"Google Scholar","title":"Breaking Bankruptcy Priority: How Rent-Seeking Upends the Creditors' Bargain","title-short":"BREAKING BANKRUPTCY PRIORITY","volume":"99","author":[{"family":"Roe","given":"Mark J."},{"family":"Tung","given":"Frederick"}],"issued":{"date-parts":[["2013"]]}}},{"id":12115,"uris":["http://zotero.org/users/274594/items/CQEQD6PW"],"itemData":{"id":12115,"type":"article-journal","container-title":"Yale Journal on Regulation","issue":"1","journalAbbreviation":"Yale J. on Reg.","language":"eng","page":"1-60","source":"HeinOnline","title":"Bankruptcy Process for Sale","volume":"39","author":[{"family":"Ayotte","given":"Kenneth"},{"family":"Ellias","given":"Jared A."}],"issued":{"date-parts":[["2022"]]}}},{"id":1861,"uris":["http://zotero.org/users/274594/items/MG84V9VM"],"itemData":{"id":1861,"type":"article-journal","container-title":"Yale L.J.","language":"en","note":"00000","page":"862","source":"Google Scholar","title":"Ice Cube Bonds: Allocating the Price of Process in Chapter 11 Bankruptcy","title-short":"Ice cube bonds","volume":"123","author":[{"family":"Jacoby","given":"Melissa B."},{"family":"Janger","given":"Edward J."}],"issued":{"date-parts":[["2013"]]}}}],"schema":"https://github.com/citation-style-language/schema/raw/master/csl-citation.json"} </w:instrText>
      </w:r>
      <w:r>
        <w:fldChar w:fldCharType="separate"/>
      </w:r>
      <w:r w:rsidR="00790FDA" w:rsidRPr="00790FDA">
        <w:t xml:space="preserve">Anthony J. Casey, </w:t>
      </w:r>
      <w:r w:rsidR="00790FDA" w:rsidRPr="00790FDA">
        <w:rPr>
          <w:i/>
          <w:iCs/>
        </w:rPr>
        <w:t>The Creditors’ Bargain and Option-Preservation Priority in Chapter 11</w:t>
      </w:r>
      <w:r w:rsidR="00790FDA" w:rsidRPr="00790FDA">
        <w:t xml:space="preserve">, 78 </w:t>
      </w:r>
      <w:r w:rsidR="00790FDA" w:rsidRPr="00790FDA">
        <w:rPr>
          <w:smallCaps/>
        </w:rPr>
        <w:t>U. Chi. L. Rev.</w:t>
      </w:r>
      <w:r w:rsidR="00790FDA" w:rsidRPr="00790FDA">
        <w:t xml:space="preserve"> 759 (2011); Kenneth M. Ayotte &amp; Edward R. Morrison, </w:t>
      </w:r>
      <w:r w:rsidR="00790FDA" w:rsidRPr="00790FDA">
        <w:rPr>
          <w:i/>
          <w:iCs/>
        </w:rPr>
        <w:t>Creditor Control and Conflict in Chapter 11</w:t>
      </w:r>
      <w:r w:rsidR="00790FDA" w:rsidRPr="00790FDA">
        <w:t xml:space="preserve">, 1 </w:t>
      </w:r>
      <w:r w:rsidR="00790FDA" w:rsidRPr="00790FDA">
        <w:rPr>
          <w:smallCaps/>
        </w:rPr>
        <w:t>J</w:t>
      </w:r>
      <w:r w:rsidR="005A19ED">
        <w:rPr>
          <w:smallCaps/>
        </w:rPr>
        <w:t>.</w:t>
      </w:r>
      <w:r w:rsidR="00790FDA" w:rsidRPr="00790FDA">
        <w:rPr>
          <w:smallCaps/>
        </w:rPr>
        <w:t xml:space="preserve"> Legal Anal</w:t>
      </w:r>
      <w:r w:rsidR="005A19ED">
        <w:rPr>
          <w:smallCaps/>
        </w:rPr>
        <w:t>.</w:t>
      </w:r>
      <w:r w:rsidR="00790FDA" w:rsidRPr="00790FDA">
        <w:t xml:space="preserve"> 511 (2009); Lynn M. LoPucki &amp; Joseph W. Doherty, </w:t>
      </w:r>
      <w:r w:rsidR="00790FDA" w:rsidRPr="00790FDA">
        <w:rPr>
          <w:i/>
          <w:iCs/>
        </w:rPr>
        <w:t>Bankruptcy Fire Sales</w:t>
      </w:r>
      <w:r w:rsidR="00790FDA" w:rsidRPr="00790FDA">
        <w:t xml:space="preserve">, 106 </w:t>
      </w:r>
      <w:r w:rsidR="00790FDA" w:rsidRPr="00790FDA">
        <w:rPr>
          <w:smallCaps/>
        </w:rPr>
        <w:t>Mich. L. Rev.</w:t>
      </w:r>
      <w:r w:rsidR="00790FDA" w:rsidRPr="00790FDA">
        <w:t xml:space="preserve"> 1 (2007); Jared A. Ellias &amp; Robert Stark, </w:t>
      </w:r>
      <w:r w:rsidR="00790FDA" w:rsidRPr="00790FDA">
        <w:rPr>
          <w:i/>
          <w:iCs/>
        </w:rPr>
        <w:t>Bankruptcy Hardball</w:t>
      </w:r>
      <w:r w:rsidR="00790FDA" w:rsidRPr="00790FDA">
        <w:t xml:space="preserve">, 108 </w:t>
      </w:r>
      <w:r w:rsidR="00790FDA" w:rsidRPr="00790FDA">
        <w:rPr>
          <w:smallCaps/>
        </w:rPr>
        <w:t>Calif. L. Rev.</w:t>
      </w:r>
      <w:r w:rsidR="00790FDA" w:rsidRPr="00790FDA">
        <w:t xml:space="preserve"> 745 (2020); Mark J. Roe &amp; Frederick Tung, </w:t>
      </w:r>
      <w:r w:rsidR="00790FDA" w:rsidRPr="00790FDA">
        <w:rPr>
          <w:i/>
          <w:iCs/>
        </w:rPr>
        <w:t>Breaking Bankruptcy Priority: How Rent-Seeking Upends the Creditors’ Bargain</w:t>
      </w:r>
      <w:r w:rsidR="00790FDA" w:rsidRPr="00790FDA">
        <w:t xml:space="preserve">, 99 </w:t>
      </w:r>
      <w:r w:rsidR="00790FDA" w:rsidRPr="00790FDA">
        <w:rPr>
          <w:smallCaps/>
        </w:rPr>
        <w:t>Va. L. Rev.</w:t>
      </w:r>
      <w:r w:rsidR="00790FDA" w:rsidRPr="00790FDA">
        <w:t xml:space="preserve"> 1235 (2013); Kenneth Ayotte &amp; Jared A. Ellias, </w:t>
      </w:r>
      <w:r w:rsidR="00790FDA" w:rsidRPr="00790FDA">
        <w:rPr>
          <w:i/>
          <w:iCs/>
        </w:rPr>
        <w:t>Bankruptcy Process for Sale</w:t>
      </w:r>
      <w:r w:rsidR="00790FDA" w:rsidRPr="00790FDA">
        <w:t xml:space="preserve">, 39 </w:t>
      </w:r>
      <w:r w:rsidR="00790FDA" w:rsidRPr="00790FDA">
        <w:rPr>
          <w:smallCaps/>
        </w:rPr>
        <w:t>Yale J. on Reg.</w:t>
      </w:r>
      <w:r w:rsidR="00790FDA" w:rsidRPr="00790FDA">
        <w:t xml:space="preserve"> 1 (2022); Melissa B. Jacoby &amp; Edward J. Janger, </w:t>
      </w:r>
      <w:r w:rsidR="00790FDA" w:rsidRPr="00790FDA">
        <w:rPr>
          <w:i/>
          <w:iCs/>
        </w:rPr>
        <w:t>Ice Cube Bonds: Allocating the Price of Process in Chapter 11 Bankruptcy</w:t>
      </w:r>
      <w:r w:rsidR="00790FDA" w:rsidRPr="00790FDA">
        <w:t xml:space="preserve">, 123 </w:t>
      </w:r>
      <w:r w:rsidR="00790FDA" w:rsidRPr="00790FDA">
        <w:rPr>
          <w:smallCaps/>
        </w:rPr>
        <w:t>Yale L.J.</w:t>
      </w:r>
      <w:r w:rsidR="00790FDA" w:rsidRPr="00790FDA">
        <w:t xml:space="preserve"> 862 (2013).</w:t>
      </w:r>
      <w:r>
        <w:fldChar w:fldCharType="end"/>
      </w:r>
    </w:p>
  </w:footnote>
  <w:footnote w:id="18">
    <w:p w14:paraId="1D147706" w14:textId="126ADF56" w:rsidR="00790FDA" w:rsidRDefault="00790FDA" w:rsidP="001E1997">
      <w:pPr>
        <w:pStyle w:val="FootnoteText"/>
      </w:pPr>
      <w:r w:rsidRPr="00225374">
        <w:rPr>
          <w:rStyle w:val="FootnoteReference"/>
        </w:rPr>
        <w:footnoteRef/>
      </w:r>
      <w:r>
        <w:t xml:space="preserve"> </w:t>
      </w:r>
      <w:r>
        <w:fldChar w:fldCharType="begin"/>
      </w:r>
      <w:r w:rsidR="0048272B">
        <w:instrText xml:space="preserve"> ADDIN ZOTERO_ITEM CSL_CITATION {"citationID":"PSkFFbzj","properties":{"formattedCitation":"Mark J Roe &amp; Michael Simkovic, {\\i{}Bankruptcy\\uc0\\u8217{}s Turn to Market Value}, 92 {\\scaps University of Chicago Law Review} (2025); Mark J Roe &amp; Michael Simkovic, {\\i{}Absolute Priority, Relative Priority, and Valuation Uncertainty in Bankruptcy}, 173 {\\scaps U. Penn. L. Rev.} (2025); Douglas G. Baird &amp; Bob Rasmussen, {\\i{}The End of Bankruptcy}, 55 {\\scaps Stan. L. Rev.} 751 (2002).","plainCitation":"Mark J Roe &amp; Michael Simkovic, Bankruptcy’s Turn to Market Value, 92 University of Chicago Law Review (2025); Mark J Roe &amp; Michael Simkovic, Absolute Priority, Relative Priority, and Valuation Uncertainty in Bankruptcy, 173 U. Penn. L. Rev. (2025); Douglas G. Baird &amp; Bob Rasmussen, The End of Bankruptcy, 55 Stan. L. Rev. 751 (2002).","noteIndex":22},"citationItems":[{"id":12100,"uris":["http://zotero.org/users/274594/items/2S9RWHDH"],"itemData":{"id":12100,"type":"article-journal","container-title":"University of Chicago Law Review","title":"Bankruptcy's Turn to Market Value","volume":"92","author":[{"family":"Roe","given":"Mark J"},{"family":"Simkovic","given":"Michael"}],"issued":{"date-parts":[["2025"]]}}},{"id":12099,"uris":["http://zotero.org/users/274594/items/C9N4A9LS"],"itemData":{"id":12099,"type":"article-journal","container-title":"University of Pennsylvania Law Review","journalAbbreviation":"U. Penn. L. Rev.","title":"Absolute Priority, Relative Priority, and Valuation Uncertainty in Bankruptcy","volume":"173","author":[{"family":"Roe","given":"Mark J"},{"family":"Simkovic","given":"Michael"}],"issued":{"date-parts":[["2025"]],"season":"forthcoming"}}},{"id":1873,"uris":["http://zotero.org/users/274594/items/K2XQ2UCX"],"itemData":{"id":1873,"type":"article-journal","container-title":"Stanford Law Review","journalAbbreviation":"Stan. L. Rev.","note":"00000","page":"751","source":"Google Scholar","title":"The End of Bankruptcy","volume":"55","author":[{"family":"Baird","given":"Douglas G."},{"family":"Rasmussen","given":"Bob"}],"issued":{"date-parts":[["2002"]]}}}],"schema":"https://github.com/citation-style-language/schema/raw/master/csl-citation.json"} </w:instrText>
      </w:r>
      <w:r>
        <w:fldChar w:fldCharType="separate"/>
      </w:r>
      <w:r w:rsidRPr="00790FDA">
        <w:t xml:space="preserve">Roe &amp; Simkovic, </w:t>
      </w:r>
      <w:r w:rsidRPr="00790FDA">
        <w:rPr>
          <w:i/>
          <w:iCs/>
        </w:rPr>
        <w:t>Bankruptcy’s Turn to Market Value</w:t>
      </w:r>
      <w:r w:rsidRPr="00790FDA">
        <w:t xml:space="preserve">, </w:t>
      </w:r>
      <w:r w:rsidR="008B668A">
        <w:t xml:space="preserve">supra note </w:t>
      </w:r>
      <w:r w:rsidR="003F315D">
        <w:fldChar w:fldCharType="begin"/>
      </w:r>
      <w:r w:rsidR="003F315D">
        <w:instrText xml:space="preserve"> NOTEREF _Ref175067013 \h </w:instrText>
      </w:r>
      <w:r w:rsidR="003F315D">
        <w:fldChar w:fldCharType="separate"/>
      </w:r>
      <w:r w:rsidR="000D13FF">
        <w:t>5</w:t>
      </w:r>
      <w:r w:rsidR="003F315D">
        <w:fldChar w:fldCharType="end"/>
      </w:r>
      <w:r w:rsidR="00DB5156">
        <w:rPr>
          <w:smallCaps/>
        </w:rPr>
        <w:t>;</w:t>
      </w:r>
      <w:r w:rsidRPr="00790FDA">
        <w:t xml:space="preserve"> Douglas G. Baird &amp; Bob Rasmussen, </w:t>
      </w:r>
      <w:r w:rsidRPr="00790FDA">
        <w:rPr>
          <w:i/>
          <w:iCs/>
        </w:rPr>
        <w:t>The End of Bankruptcy</w:t>
      </w:r>
      <w:r w:rsidRPr="00790FDA">
        <w:t xml:space="preserve">, 55 </w:t>
      </w:r>
      <w:r w:rsidRPr="00790FDA">
        <w:rPr>
          <w:smallCaps/>
        </w:rPr>
        <w:t>Stan. L. Rev.</w:t>
      </w:r>
      <w:r w:rsidRPr="00790FDA">
        <w:t xml:space="preserve"> 751 (2002).</w:t>
      </w:r>
      <w:r>
        <w:fldChar w:fldCharType="end"/>
      </w:r>
    </w:p>
  </w:footnote>
  <w:footnote w:id="19">
    <w:p w14:paraId="152C8DE7" w14:textId="1EB4DB33" w:rsidR="009F7942" w:rsidRDefault="009F7942" w:rsidP="001E1997">
      <w:pPr>
        <w:pStyle w:val="FootnoteText"/>
      </w:pPr>
      <w:r w:rsidRPr="00225374">
        <w:rPr>
          <w:rStyle w:val="FootnoteReference"/>
        </w:rPr>
        <w:footnoteRef/>
      </w:r>
      <w:r>
        <w:t xml:space="preserve"> </w:t>
      </w:r>
      <w:r>
        <w:fldChar w:fldCharType="begin"/>
      </w:r>
      <w:r>
        <w:instrText xml:space="preserve"> ADDIN ZOTERO_ITEM CSL_CITATION {"citationID":"RJUskwSH","properties":{"formattedCitation":"Barry E. Adler, Vedran Capkun &amp; Lawrence A. Weiss, {\\i{}Value Destruction in the New Era of Chapter 11}, 29 {\\scaps J Law Econ Organ} 461 (2013).","plainCitation":"Barry E. Adler, Vedran Capkun &amp; Lawrence A. Weiss, Value Destruction in the New Era of Chapter 11, 29 J Law Econ Organ 461 (2013).","noteIndex":22},"citationItems":[{"id":1659,"uris":["http://zotero.org/users/274594/items/5GPM9G63"],"itemData":{"id":1659,"type":"article-journal","abstract":"Over the past two decades, control over the US bankruptcy reorganization process has shifted from a debtor's pre-bankruptcy managers to holders of secured claims. The result has been increased adherence to absolute priority and a harder landing for the debtor’s managers and shareholders. Because managers still make or can influence the decision whether or when to file a bankruptcy petition, we hypothesize that anticipation of bankruptcy under these new conditions will result in a delay in filing, increased leverage, increased secured debt, and a reduction of asset value for firms at the time they file. We present empirical evidence consistent with our hypotheses.","container-title":"Journal of Law, Economics, and Organization","DOI":"10.1093/jleo/ewr004","ISSN":"8756-6222, 1465-7341","issue":"2","journalAbbreviation":"J Law Econ Organ","language":"en","note":"00030","page":"461-483","source":"jleo.oxfordjournals.org","title":"Value Destruction in the New Era of Chapter 11","volume":"29","author":[{"family":"Adler","given":"Barry E."},{"family":"Capkun","given":"Vedran"},{"family":"Weiss","given":"Lawrence A."}],"issued":{"date-parts":[["2013",4,1]]}}}],"schema":"https://github.com/citation-style-language/schema/raw/master/csl-citation.json"} </w:instrText>
      </w:r>
      <w:r>
        <w:fldChar w:fldCharType="separate"/>
      </w:r>
      <w:r w:rsidRPr="009F7942">
        <w:t xml:space="preserve">Barry E. Adler, Vedran Capkun &amp; Lawrence A. Weiss, </w:t>
      </w:r>
      <w:r w:rsidRPr="009F7942">
        <w:rPr>
          <w:i/>
          <w:iCs/>
        </w:rPr>
        <w:t>Value Destruction in the New Era of Chapter 11</w:t>
      </w:r>
      <w:r w:rsidRPr="009F7942">
        <w:t xml:space="preserve">, 29 </w:t>
      </w:r>
      <w:r w:rsidRPr="009F7942">
        <w:rPr>
          <w:smallCaps/>
        </w:rPr>
        <w:t>J</w:t>
      </w:r>
      <w:r w:rsidR="00547107">
        <w:rPr>
          <w:smallCaps/>
        </w:rPr>
        <w:t>.</w:t>
      </w:r>
      <w:r w:rsidRPr="009F7942">
        <w:rPr>
          <w:smallCaps/>
        </w:rPr>
        <w:t>L</w:t>
      </w:r>
      <w:r w:rsidR="00547107">
        <w:rPr>
          <w:smallCaps/>
        </w:rPr>
        <w:t>. Econ. &amp; Org.</w:t>
      </w:r>
      <w:r w:rsidRPr="009F7942">
        <w:t xml:space="preserve"> 461 (2013).</w:t>
      </w:r>
      <w:r>
        <w:fldChar w:fldCharType="end"/>
      </w:r>
    </w:p>
  </w:footnote>
  <w:footnote w:id="20">
    <w:p w14:paraId="40FC2B36" w14:textId="0120CD08" w:rsidR="009F7942" w:rsidRDefault="009F7942" w:rsidP="001E1997">
      <w:pPr>
        <w:pStyle w:val="FootnoteText"/>
      </w:pPr>
      <w:r w:rsidRPr="00225374">
        <w:rPr>
          <w:rStyle w:val="FootnoteReference"/>
        </w:rPr>
        <w:footnoteRef/>
      </w:r>
      <w:r>
        <w:t xml:space="preserve"> </w:t>
      </w:r>
      <w:r w:rsidR="007366C3" w:rsidRPr="00790FDA">
        <w:t xml:space="preserve">Roe &amp; Simkovic, </w:t>
      </w:r>
      <w:r w:rsidR="007366C3" w:rsidRPr="00790FDA">
        <w:rPr>
          <w:i/>
          <w:iCs/>
        </w:rPr>
        <w:t>Bankruptcy’s Turn to Market Value</w:t>
      </w:r>
      <w:r w:rsidR="007366C3" w:rsidRPr="00790FDA">
        <w:t xml:space="preserve">, </w:t>
      </w:r>
      <w:r w:rsidR="007366C3" w:rsidRPr="000C3057">
        <w:rPr>
          <w:i/>
          <w:iCs/>
        </w:rPr>
        <w:t>supra</w:t>
      </w:r>
      <w:r w:rsidR="007366C3">
        <w:t xml:space="preserve"> note </w:t>
      </w:r>
      <w:r w:rsidR="007366C3">
        <w:fldChar w:fldCharType="begin"/>
      </w:r>
      <w:r w:rsidR="007366C3">
        <w:instrText xml:space="preserve"> NOTEREF _Ref175067013 \h </w:instrText>
      </w:r>
      <w:r w:rsidR="007366C3">
        <w:fldChar w:fldCharType="separate"/>
      </w:r>
      <w:r w:rsidR="000D13FF">
        <w:t>5</w:t>
      </w:r>
      <w:r w:rsidR="007366C3">
        <w:fldChar w:fldCharType="end"/>
      </w:r>
      <w:r w:rsidR="007366C3">
        <w:t>.</w:t>
      </w:r>
    </w:p>
  </w:footnote>
  <w:footnote w:id="21">
    <w:p w14:paraId="6C22309F" w14:textId="781E3196" w:rsidR="00127CE0" w:rsidRDefault="00127CE0" w:rsidP="001E1997">
      <w:pPr>
        <w:pStyle w:val="FootnoteText"/>
      </w:pPr>
      <w:r w:rsidRPr="00225374">
        <w:rPr>
          <w:rStyle w:val="FootnoteReference"/>
        </w:rPr>
        <w:footnoteRef/>
      </w:r>
      <w:r>
        <w:t xml:space="preserve"> </w:t>
      </w:r>
      <w:r w:rsidR="007366C3" w:rsidRPr="007366C3">
        <w:rPr>
          <w:i/>
          <w:iCs/>
        </w:rPr>
        <w:t>Id.</w:t>
      </w:r>
      <w:r w:rsidR="007366C3">
        <w:t xml:space="preserve"> </w:t>
      </w:r>
    </w:p>
  </w:footnote>
  <w:footnote w:id="22">
    <w:p w14:paraId="7E40FC30" w14:textId="2B0DB18B" w:rsidR="001E6D42" w:rsidRDefault="001E6D42" w:rsidP="001E1997">
      <w:pPr>
        <w:pStyle w:val="FootnoteText"/>
      </w:pPr>
      <w:r w:rsidRPr="00225374">
        <w:rPr>
          <w:rStyle w:val="FootnoteReference"/>
        </w:rPr>
        <w:footnoteRef/>
      </w:r>
      <w:r>
        <w:t xml:space="preserve"> </w:t>
      </w:r>
      <w:r>
        <w:fldChar w:fldCharType="begin"/>
      </w:r>
      <w:r w:rsidR="0048272B">
        <w:instrText xml:space="preserve"> ADDIN ZOTERO_ITEM CSL_CITATION {"citationID":"DSAg5HBV","properties":{"formattedCitation":"Mark J. Roe, {\\i{}Three Ages of Bankruptcy}, 7 {\\scaps Harv. Bus. L. Rev.} 187 (2017); Mark J Roe &amp; Michael Simkovic, {\\i{}Bankruptcy\\uc0\\u8217{}s Turn to Market Value}, 92 {\\scaps University of Chicago Law Review} (2025); Douglas G. Baird &amp; Bob Rasmussen, {\\i{}The End of Bankruptcy}, 55 {\\scaps Stan. L. Rev.} 751, 751 (2002); {\\scaps Stuart C. Gilson, Edith S. Hotchkiss &amp; Matthew G. Osborn}, {\\i{}Cashing Out: The Rise of M&amp;A in Bankruptcy}, (2016), http://papers.ssrn.com/abstract=2547168 (last visited Jul 12, 2016).","plainCitation":"Mark J. Roe, Three Ages of Bankruptcy, 7 Harv. Bus. L. Rev. 187 (2017); Mark J Roe &amp; Michael Simkovic, Bankruptcy’s Turn to Market Value, 92 University of Chicago Law Review (2025); Douglas G. Baird &amp; Bob Rasmussen, The End of Bankruptcy, 55 Stan. L. Rev. 751, 751 (2002); Stuart C. Gilson, Edith S. Hotchkiss &amp; Matthew G. Osborn, Cashing Out: The Rise of M&amp;A in Bankruptcy, (2016), http://papers.ssrn.com/abstract=2547168 (last visited Jul 12, 2016).","dontUpdate":true,"noteIndex":25},"citationItems":[{"id":11299,"uris":["http://zotero.org/users/274594/items/DAR3MKUR"],"itemData":{"id":11299,"type":"article-journal","container-title":"Harvard Business Law Review","issue":"2","journalAbbreviation":"Harv. Bus. L. Rev.","language":"eng","page":"187-220","source":"HeinOnline","title":"Three Ages of Bankruptcy","volume":"7","author":[{"family":"Roe","given":"Mark J."}],"issued":{"date-parts":[["2017"]]}}},{"id":12100,"uris":["http://zotero.org/users/274594/items/2S9RWHDH"],"itemData":{"id":12100,"type":"article-journal","container-title":"University of Chicago Law Review","title":"Bankruptcy's Turn to Market Value","volume":"92","author":[{"family":"Roe","given":"Mark J"},{"family":"Simkovic","given":"Michael"}],"issued":{"date-parts":[["2025"]]}}},{"id":1873,"uris":["http://zotero.org/users/274594/items/K2XQ2UCX"],"itemData":{"id":1873,"type":"article-journal","container-title":"Stanford Law Review","journalAbbreviation":"Stan. L. Rev.","note":"00000","page":"751","source":"Google Scholar","title":"The End of Bankruptcy","volume":"55","author":[{"family":"Baird","given":"Douglas G."},{"family":"Rasmussen","given":"Bob"}],"issued":{"date-parts":[["2002"]]}},"locator":"751","label":"page"},{"id":1920,"uris":["http://zotero.org/users/274594/items/CPI2KCVB"],"itemData":{"id":1920,"type":"report","abstract":"The use of M&amp;A in bankruptcy has increased dramatically, leading to concerns that Chapter 11 leads to excessive liquidation of viable firms. We examine the drivers of M&amp;A activity, based on factors specific to Chapter 11 as well as more general factors that drive M&amp;A waves for non-distressed firms. M&amp;A in bankruptcy is counter-cyclical, and is more likely when the costs of financing a reorganization are greater than financing costs to a potential acquirer. Consistent with a senior creditor liquidation bias, the greater use of secured debt leads to more sales in bankruptcy, but this result holds only for sales that preserve going concern value. We also show that overall creditor recovery rates are higher for firms with more secured debt, and that recoveries and post-bankruptcy survival rates are not different when bankrupt firms sell businesses as going concerns versus reorganizing independently. Our results are consistent with the efficient redeployment of assets via sales in bankruptcy.","event-place":"Rochester, NY","genre":"SSRN Scholarly Paper","language":"en","note":"00000","number":"ID 2547168","publisher":"Social Science Research Network","publisher-place":"Rochester, NY","source":"papers.ssrn.com","title":"Cashing Out: The Rise of M&amp;A in Bankruptcy","title-short":"Cashing Out","URL":"http://papers.ssrn.com/abstract=2547168","author":[{"family":"Gilson","given":"Stuart C."},{"family":"Hotchkiss","given":"Edith S."},{"family":"Osborn","given":"Matthew G."}],"accessed":{"date-parts":[["2016",7,12]]},"issued":{"date-parts":[["2016",3,6]]}}}],"schema":"https://github.com/citation-style-language/schema/raw/master/csl-citation.json"} </w:instrText>
      </w:r>
      <w:r>
        <w:fldChar w:fldCharType="separate"/>
      </w:r>
      <w:r w:rsidR="001720AA" w:rsidRPr="00791A10">
        <w:t xml:space="preserve">Mark J. Roe, </w:t>
      </w:r>
      <w:r w:rsidR="001720AA" w:rsidRPr="00791A10">
        <w:rPr>
          <w:i/>
          <w:iCs/>
        </w:rPr>
        <w:t>Three Ages of Bankruptcy</w:t>
      </w:r>
      <w:r w:rsidR="001720AA" w:rsidRPr="00791A10">
        <w:t xml:space="preserve">, 7 </w:t>
      </w:r>
      <w:r w:rsidR="001720AA" w:rsidRPr="00791A10">
        <w:rPr>
          <w:smallCaps/>
        </w:rPr>
        <w:t>Harv. Bus. L. Rev</w:t>
      </w:r>
      <w:r w:rsidR="001720AA" w:rsidRPr="00791A10">
        <w:t xml:space="preserve">. 187 (2017); </w:t>
      </w:r>
      <w:r w:rsidR="007366C3" w:rsidRPr="00791A10">
        <w:t xml:space="preserve">Roe &amp; Simkovic, </w:t>
      </w:r>
      <w:r w:rsidR="007366C3" w:rsidRPr="00791A10">
        <w:rPr>
          <w:i/>
          <w:iCs/>
        </w:rPr>
        <w:t>Bankruptcy’s Turn to Market Value</w:t>
      </w:r>
      <w:r w:rsidR="007366C3" w:rsidRPr="00791A10">
        <w:t xml:space="preserve">, </w:t>
      </w:r>
      <w:r w:rsidR="007366C3" w:rsidRPr="00791A10">
        <w:rPr>
          <w:i/>
          <w:iCs/>
        </w:rPr>
        <w:t>supra</w:t>
      </w:r>
      <w:r w:rsidR="007366C3" w:rsidRPr="00791A10">
        <w:t xml:space="preserve"> note </w:t>
      </w:r>
      <w:r w:rsidR="007366C3" w:rsidRPr="00791A10">
        <w:fldChar w:fldCharType="begin"/>
      </w:r>
      <w:r w:rsidR="007366C3" w:rsidRPr="00791A10">
        <w:instrText xml:space="preserve"> NOTEREF _Ref175067013 \h </w:instrText>
      </w:r>
      <w:r w:rsidR="00791A10" w:rsidRPr="00791A10">
        <w:instrText xml:space="preserve"> \* MERGEFORMAT </w:instrText>
      </w:r>
      <w:r w:rsidR="007366C3" w:rsidRPr="00791A10">
        <w:fldChar w:fldCharType="separate"/>
      </w:r>
      <w:r w:rsidR="000D13FF">
        <w:t>5</w:t>
      </w:r>
      <w:r w:rsidR="007366C3" w:rsidRPr="00791A10">
        <w:fldChar w:fldCharType="end"/>
      </w:r>
      <w:r w:rsidR="001720AA" w:rsidRPr="00791A10">
        <w:t xml:space="preserve">; Baird &amp; Rasmussen, </w:t>
      </w:r>
      <w:r w:rsidR="007366C3" w:rsidRPr="00791A10">
        <w:rPr>
          <w:i/>
          <w:iCs/>
        </w:rPr>
        <w:t>supra</w:t>
      </w:r>
      <w:r w:rsidR="007366C3" w:rsidRPr="00791A10">
        <w:t xml:space="preserve"> note </w:t>
      </w:r>
      <w:r w:rsidR="007366C3" w:rsidRPr="00791A10">
        <w:fldChar w:fldCharType="begin"/>
      </w:r>
      <w:r w:rsidR="007366C3" w:rsidRPr="00791A10">
        <w:instrText xml:space="preserve"> NOTEREF _Ref175067091 \h </w:instrText>
      </w:r>
      <w:r w:rsidR="00791A10" w:rsidRPr="00791A10">
        <w:instrText xml:space="preserve"> \* MERGEFORMAT </w:instrText>
      </w:r>
      <w:r w:rsidR="007366C3" w:rsidRPr="00791A10">
        <w:fldChar w:fldCharType="separate"/>
      </w:r>
      <w:r w:rsidR="000D13FF">
        <w:t>16</w:t>
      </w:r>
      <w:r w:rsidR="007366C3" w:rsidRPr="00791A10">
        <w:fldChar w:fldCharType="end"/>
      </w:r>
      <w:r w:rsidR="00791A10" w:rsidRPr="00791A10">
        <w:t xml:space="preserve">, at </w:t>
      </w:r>
      <w:r w:rsidR="001720AA" w:rsidRPr="00791A10">
        <w:t>751; Stuart C. Gilson, Edith S. Hotchkiss &amp; Matthew G. Osborn, Cashing Out: The Rise of M&amp;A in Bankruptcy (2016),</w:t>
      </w:r>
      <w:r w:rsidR="001720AA" w:rsidRPr="001720AA">
        <w:t xml:space="preserve"> http://papers.ssrn.com/abstract=2547168</w:t>
      </w:r>
      <w:r w:rsidR="006E71BF">
        <w:t>;</w:t>
      </w:r>
      <w:r>
        <w:fldChar w:fldCharType="end"/>
      </w:r>
      <w:r w:rsidR="006E71BF">
        <w:t xml:space="preserve"> </w:t>
      </w:r>
      <w:r w:rsidR="006E71BF" w:rsidRPr="006E71BF">
        <w:t>Alan Schwartz, </w:t>
      </w:r>
      <w:r w:rsidR="006E71BF" w:rsidRPr="006E71BF">
        <w:rPr>
          <w:i/>
          <w:iCs/>
        </w:rPr>
        <w:t>A Contract Theory Approach to Business Bankruptcy</w:t>
      </w:r>
      <w:r w:rsidR="006E71BF" w:rsidRPr="006E71BF">
        <w:t>, 107 </w:t>
      </w:r>
      <w:r w:rsidR="006E71BF" w:rsidRPr="006E71BF">
        <w:rPr>
          <w:smallCaps/>
        </w:rPr>
        <w:t>Yale L.J.</w:t>
      </w:r>
      <w:r w:rsidR="006E71BF" w:rsidRPr="006E71BF">
        <w:t xml:space="preserve"> 1807</w:t>
      </w:r>
      <w:r w:rsidR="006E71BF">
        <w:t>, 1808</w:t>
      </w:r>
      <w:r w:rsidR="006E71BF" w:rsidRPr="006E71BF">
        <w:t xml:space="preserve"> (1998)</w:t>
      </w:r>
      <w:r w:rsidR="006E71BF">
        <w:t xml:space="preserve">; </w:t>
      </w:r>
      <w:r w:rsidR="006E71BF" w:rsidRPr="006E71BF">
        <w:t>Barry E. Adler, </w:t>
      </w:r>
      <w:r w:rsidR="006E71BF" w:rsidRPr="006E71BF">
        <w:rPr>
          <w:i/>
          <w:iCs/>
        </w:rPr>
        <w:t>The Creditors' Bargain Revisited</w:t>
      </w:r>
      <w:r w:rsidR="006E71BF" w:rsidRPr="006E71BF">
        <w:t xml:space="preserve">, 166 </w:t>
      </w:r>
      <w:r w:rsidR="006E71BF" w:rsidRPr="006E71BF">
        <w:rPr>
          <w:smallCaps/>
        </w:rPr>
        <w:t>U. Pa. L. Rev.</w:t>
      </w:r>
      <w:r w:rsidR="006E71BF" w:rsidRPr="006E71BF">
        <w:t xml:space="preserve"> 1853 (2018)</w:t>
      </w:r>
      <w:r w:rsidR="00F12F24">
        <w:t xml:space="preserve">; </w:t>
      </w:r>
      <w:r w:rsidR="00F12F24" w:rsidRPr="00F12F24">
        <w:t>Anthony J. Casey, </w:t>
      </w:r>
      <w:r w:rsidR="00F12F24" w:rsidRPr="00F12F24">
        <w:rPr>
          <w:i/>
          <w:iCs/>
        </w:rPr>
        <w:t>Chapter 11's Renegotiation Framework and the Purpose of Corporate Bankruptcy</w:t>
      </w:r>
      <w:r w:rsidR="00F12F24" w:rsidRPr="00F12F24">
        <w:t>, 120 </w:t>
      </w:r>
      <w:r w:rsidR="00F12F24" w:rsidRPr="00F12F24">
        <w:rPr>
          <w:smallCaps/>
        </w:rPr>
        <w:t>Colum. L. Rev.</w:t>
      </w:r>
      <w:r w:rsidR="00F12F24" w:rsidRPr="00F12F24">
        <w:t xml:space="preserve"> 1709 (2020)</w:t>
      </w:r>
      <w:r w:rsidR="00AA5551">
        <w:t xml:space="preserve">; </w:t>
      </w:r>
      <w:r w:rsidR="00F12F24">
        <w:fldChar w:fldCharType="begin"/>
      </w:r>
      <w:r w:rsidR="00F12F24">
        <w:instrText xml:space="preserve"> ADDIN ZOTERO_ITEM CSL_CITATION {"citationID":"55Mf5ywW","properties":{"formattedCitation":"David A. Skeel &amp; George Triantis, {\\i{}Bankruptcy\\uc0\\u8217{}s Uneasy Shift to a Contract Paradigm}, 166 {\\scaps University of Pennsylvania Law Review} 1777, 1779\\uc0\\u8211{}1781 (2018).","plainCitation":"David A. Skeel &amp; George Triantis, Bankruptcy’s Uneasy Shift to a Contract Paradigm, 166 University of Pennsylvania Law Review 1777, 1779–1781 (2018).","noteIndex":17},"citationItems":[{"id":12113,"uris":["http://zotero.org/users/274594/items/VTCV9AV4"],"itemData":{"id":12113,"type":"article-journal","container-title":"University of Pennsylvania Law Review","ISSN":"0041-9907","issue":"7","note":"publisher: The University of Pennsylvania Law Review","page":"1777-1817","source":"JSTOR","title":"Bankruptcy's Uneasy Shift to a Contract Paradigm","volume":"166","author":[{"family":"Skeel","given":"David A."},{"family":"Triantis","given":"George"}],"issued":{"date-parts":[["2018"]]}},"locator":"1779-1781","label":"page"}],"schema":"https://github.com/citation-style-language/schema/raw/master/csl-citation.json"} </w:instrText>
      </w:r>
      <w:r w:rsidR="00F12F24">
        <w:fldChar w:fldCharType="separate"/>
      </w:r>
      <w:r w:rsidR="00F12F24" w:rsidRPr="00F12F24">
        <w:t xml:space="preserve">David A. Skeel &amp; George Triantis, </w:t>
      </w:r>
      <w:r w:rsidR="00F12F24" w:rsidRPr="00F12F24">
        <w:rPr>
          <w:i/>
          <w:iCs/>
        </w:rPr>
        <w:t>Bankruptcy’s Uneasy Shift to a Contract Paradigm</w:t>
      </w:r>
      <w:r w:rsidR="00F12F24" w:rsidRPr="00F12F24">
        <w:t xml:space="preserve">, 166 </w:t>
      </w:r>
      <w:r w:rsidR="00F12F24" w:rsidRPr="00F12F24">
        <w:rPr>
          <w:smallCaps/>
        </w:rPr>
        <w:t>U</w:t>
      </w:r>
      <w:r w:rsidR="00F12F24">
        <w:rPr>
          <w:smallCaps/>
        </w:rPr>
        <w:t xml:space="preserve">. </w:t>
      </w:r>
      <w:r w:rsidR="00F12F24" w:rsidRPr="00F12F24">
        <w:rPr>
          <w:smallCaps/>
        </w:rPr>
        <w:t>Penn</w:t>
      </w:r>
      <w:r w:rsidR="00F12F24">
        <w:rPr>
          <w:smallCaps/>
        </w:rPr>
        <w:t>.</w:t>
      </w:r>
      <w:r w:rsidR="00F12F24" w:rsidRPr="00F12F24">
        <w:rPr>
          <w:smallCaps/>
        </w:rPr>
        <w:t xml:space="preserve"> L</w:t>
      </w:r>
      <w:r w:rsidR="00F12F24">
        <w:rPr>
          <w:smallCaps/>
        </w:rPr>
        <w:t xml:space="preserve">. </w:t>
      </w:r>
      <w:r w:rsidR="00F12F24" w:rsidRPr="00F12F24">
        <w:rPr>
          <w:smallCaps/>
        </w:rPr>
        <w:t>Rev</w:t>
      </w:r>
      <w:r w:rsidR="00F12F24">
        <w:rPr>
          <w:smallCaps/>
        </w:rPr>
        <w:t>.</w:t>
      </w:r>
      <w:r w:rsidR="00F12F24" w:rsidRPr="00F12F24">
        <w:t xml:space="preserve"> 1777, 1779–81 (2018)</w:t>
      </w:r>
      <w:r w:rsidR="00F12F24">
        <w:t>;</w:t>
      </w:r>
      <w:r w:rsidR="00F12F24">
        <w:fldChar w:fldCharType="end"/>
      </w:r>
      <w:r w:rsidR="00AA5551">
        <w:t xml:space="preserve"> </w:t>
      </w:r>
      <w:r w:rsidR="00C2506E" w:rsidRPr="00C2506E">
        <w:t>Mark J. Roe, </w:t>
      </w:r>
      <w:r w:rsidR="00C2506E" w:rsidRPr="00C2506E">
        <w:rPr>
          <w:i/>
          <w:iCs/>
        </w:rPr>
        <w:t>Bankruptcy and Debt: A New Model for Corporate Reorganization</w:t>
      </w:r>
      <w:r w:rsidR="00C2506E" w:rsidRPr="00C2506E">
        <w:t>, 83 </w:t>
      </w:r>
      <w:r w:rsidR="00C2506E" w:rsidRPr="00C2506E">
        <w:rPr>
          <w:smallCaps/>
        </w:rPr>
        <w:t>Colum. L. Rev.</w:t>
      </w:r>
      <w:r w:rsidR="00C2506E" w:rsidRPr="00C2506E">
        <w:t xml:space="preserve"> 527 (1983).</w:t>
      </w:r>
    </w:p>
  </w:footnote>
  <w:footnote w:id="23">
    <w:p w14:paraId="5784B0DB" w14:textId="412C9ABA" w:rsidR="00D82172" w:rsidRDefault="00D82172" w:rsidP="001E1997">
      <w:pPr>
        <w:pStyle w:val="FootnoteText"/>
      </w:pPr>
      <w:r>
        <w:rPr>
          <w:rStyle w:val="FootnoteReference"/>
        </w:rPr>
        <w:footnoteRef/>
      </w:r>
      <w:r>
        <w:t xml:space="preserve"> </w:t>
      </w:r>
      <w:r w:rsidR="00214052">
        <w:t xml:space="preserve">Richard Thaler, </w:t>
      </w:r>
      <w:r w:rsidR="00214052" w:rsidRPr="00D7595E">
        <w:rPr>
          <w:i/>
          <w:iCs/>
        </w:rPr>
        <w:t>Anomalies: The Winner’s Curse</w:t>
      </w:r>
      <w:r w:rsidR="00214052">
        <w:t>, 2 J</w:t>
      </w:r>
      <w:r w:rsidR="00214052" w:rsidRPr="00D7595E">
        <w:rPr>
          <w:smallCaps/>
        </w:rPr>
        <w:t>. Econ. Persps</w:t>
      </w:r>
      <w:r w:rsidR="00214052">
        <w:t>. 191 (1988)</w:t>
      </w:r>
      <w:r w:rsidR="00D7595E">
        <w:t>.</w:t>
      </w:r>
    </w:p>
  </w:footnote>
  <w:footnote w:id="24">
    <w:p w14:paraId="71336BB3" w14:textId="08590998" w:rsidR="00CC46C9" w:rsidRDefault="00CC46C9" w:rsidP="001E1997">
      <w:pPr>
        <w:pStyle w:val="FootnoteText"/>
      </w:pPr>
      <w:r>
        <w:rPr>
          <w:rStyle w:val="FootnoteReference"/>
        </w:rPr>
        <w:footnoteRef/>
      </w:r>
      <w:r>
        <w:t xml:space="preserve"> This assessment is based on authors’ review of </w:t>
      </w:r>
      <w:r w:rsidR="003F7518">
        <w:t xml:space="preserve">bankruptcy </w:t>
      </w:r>
      <w:r>
        <w:t xml:space="preserve">dockets </w:t>
      </w:r>
      <w:r w:rsidR="003F7518">
        <w:t xml:space="preserve">in dozens of cases where the parties litigated valuation disputes. See </w:t>
      </w:r>
      <w:r w:rsidR="003F7518" w:rsidRPr="00790FDA">
        <w:t xml:space="preserve">Roe &amp; Simkovic, </w:t>
      </w:r>
      <w:r w:rsidR="003F7518" w:rsidRPr="00790FDA">
        <w:rPr>
          <w:i/>
          <w:iCs/>
        </w:rPr>
        <w:t>Bankruptcy’s Turn to Market Value</w:t>
      </w:r>
      <w:r w:rsidR="003F7518" w:rsidRPr="00790FDA">
        <w:t xml:space="preserve">, </w:t>
      </w:r>
      <w:r w:rsidR="003F7518" w:rsidRPr="000C3057">
        <w:rPr>
          <w:i/>
          <w:iCs/>
        </w:rPr>
        <w:t>supra</w:t>
      </w:r>
      <w:r w:rsidR="003F7518">
        <w:t xml:space="preserve"> note </w:t>
      </w:r>
      <w:r w:rsidR="003F7518">
        <w:fldChar w:fldCharType="begin"/>
      </w:r>
      <w:r w:rsidR="003F7518">
        <w:instrText xml:space="preserve"> NOTEREF _Ref175067013 \h </w:instrText>
      </w:r>
      <w:r w:rsidR="003F7518">
        <w:fldChar w:fldCharType="separate"/>
      </w:r>
      <w:r w:rsidR="000D13FF">
        <w:t>5</w:t>
      </w:r>
      <w:r w:rsidR="003F7518">
        <w:fldChar w:fldCharType="end"/>
      </w:r>
      <w:r w:rsidR="003F7518">
        <w:t>.  Spotty coverage in several bankruptcy databases also suggests limited disclosure.</w:t>
      </w:r>
    </w:p>
  </w:footnote>
  <w:footnote w:id="25">
    <w:p w14:paraId="6E62D2B6" w14:textId="4E217F57" w:rsidR="007C5CDA" w:rsidRDefault="007C5CDA" w:rsidP="001E1997">
      <w:pPr>
        <w:pStyle w:val="FootnoteText"/>
      </w:pPr>
      <w:r>
        <w:rPr>
          <w:rStyle w:val="FootnoteReference"/>
        </w:rPr>
        <w:footnoteRef/>
      </w:r>
      <w:r>
        <w:t xml:space="preserve"> </w:t>
      </w:r>
      <w:r w:rsidRPr="00371C20">
        <w:t xml:space="preserve">Buccola, </w:t>
      </w:r>
      <w:r w:rsidRPr="00371C20">
        <w:rPr>
          <w:i/>
          <w:iCs/>
        </w:rPr>
        <w:t>supra</w:t>
      </w:r>
      <w:r w:rsidRPr="00371C20">
        <w:t xml:space="preserve"> note </w:t>
      </w:r>
      <w:r>
        <w:rPr>
          <w:lang w:val="it-IT"/>
        </w:rPr>
        <w:fldChar w:fldCharType="begin"/>
      </w:r>
      <w:r w:rsidRPr="00371C20">
        <w:instrText xml:space="preserve"> NOTEREF _Ref175140172 \h </w:instrText>
      </w:r>
      <w:r>
        <w:rPr>
          <w:lang w:val="it-IT"/>
        </w:rPr>
      </w:r>
      <w:r>
        <w:rPr>
          <w:lang w:val="it-IT"/>
        </w:rPr>
        <w:fldChar w:fldCharType="separate"/>
      </w:r>
      <w:r w:rsidR="000D13FF">
        <w:t>10</w:t>
      </w:r>
      <w:r>
        <w:rPr>
          <w:lang w:val="it-IT"/>
        </w:rPr>
        <w:fldChar w:fldCharType="end"/>
      </w:r>
      <w:r w:rsidRPr="00371C20">
        <w:t>, at 5</w:t>
      </w:r>
      <w:r w:rsidR="00B2093B">
        <w:t>.</w:t>
      </w:r>
    </w:p>
  </w:footnote>
  <w:footnote w:id="26">
    <w:p w14:paraId="50813415" w14:textId="3E1DE588" w:rsidR="00E312F0" w:rsidRPr="003B5E9F" w:rsidRDefault="00E312F0" w:rsidP="00A11961">
      <w:pPr>
        <w:ind w:firstLine="576"/>
        <w:jc w:val="lowKashida"/>
        <w:rPr>
          <w:rStyle w:val="FootnoteReference"/>
          <w:sz w:val="17"/>
          <w:szCs w:val="17"/>
        </w:rPr>
      </w:pPr>
      <w:r w:rsidRPr="00D83FC1">
        <w:rPr>
          <w:rStyle w:val="FootnoteReference"/>
          <w:sz w:val="17"/>
          <w:szCs w:val="17"/>
        </w:rPr>
        <w:footnoteRef/>
      </w:r>
      <w:r w:rsidRPr="003B5E9F">
        <w:rPr>
          <w:rStyle w:val="FootnoteReference"/>
          <w:sz w:val="17"/>
          <w:szCs w:val="17"/>
        </w:rPr>
        <w:t xml:space="preserve"> </w:t>
      </w:r>
      <w:r w:rsidRPr="003B5E9F">
        <w:rPr>
          <w:rStyle w:val="FootnoteReference"/>
          <w:sz w:val="17"/>
          <w:szCs w:val="17"/>
          <w:vertAlign w:val="baseline"/>
        </w:rPr>
        <w:t>Odyssey Partners, L.P. v. Fleming Companies, Inc., 735 A.2d 386, 400</w:t>
      </w:r>
      <w:r w:rsidR="00500986" w:rsidRPr="00D83FC1">
        <w:rPr>
          <w:rStyle w:val="FootnoteReference"/>
          <w:sz w:val="17"/>
          <w:szCs w:val="17"/>
          <w:vertAlign w:val="baseline"/>
        </w:rPr>
        <w:t>–</w:t>
      </w:r>
      <w:r w:rsidRPr="003B5E9F">
        <w:rPr>
          <w:rStyle w:val="FootnoteReference"/>
          <w:sz w:val="17"/>
          <w:szCs w:val="17"/>
          <w:vertAlign w:val="baseline"/>
        </w:rPr>
        <w:t>20 (Del. Ch. 1999)</w:t>
      </w:r>
      <w:r w:rsidRPr="00D83FC1">
        <w:rPr>
          <w:sz w:val="17"/>
          <w:szCs w:val="17"/>
        </w:rPr>
        <w:t>;</w:t>
      </w:r>
      <w:r w:rsidR="002D4101" w:rsidRPr="00AE4DB0">
        <w:rPr>
          <w:sz w:val="17"/>
          <w:szCs w:val="17"/>
        </w:rPr>
        <w:t xml:space="preserve"> </w:t>
      </w:r>
      <w:r w:rsidR="002D4101" w:rsidRPr="00AE4DB0">
        <w:rPr>
          <w:bCs/>
          <w:sz w:val="17"/>
          <w:szCs w:val="17"/>
        </w:rPr>
        <w:t>Production Resources Group, L.L.C. v. NCT Group, Inc., 863 A.2d 772, 787</w:t>
      </w:r>
      <w:r w:rsidR="00500986" w:rsidRPr="00AE4DB0">
        <w:rPr>
          <w:bCs/>
          <w:sz w:val="17"/>
          <w:szCs w:val="17"/>
        </w:rPr>
        <w:t>–</w:t>
      </w:r>
      <w:r w:rsidR="002D4101" w:rsidRPr="00AE4DB0">
        <w:rPr>
          <w:bCs/>
          <w:sz w:val="17"/>
          <w:szCs w:val="17"/>
        </w:rPr>
        <w:t>90 (Del. Ch. 2004)</w:t>
      </w:r>
      <w:r w:rsidR="002D4101" w:rsidRPr="00D83FC1">
        <w:rPr>
          <w:bCs/>
          <w:sz w:val="17"/>
          <w:szCs w:val="17"/>
        </w:rPr>
        <w:t>.</w:t>
      </w:r>
    </w:p>
  </w:footnote>
  <w:footnote w:id="27">
    <w:p w14:paraId="459D678E" w14:textId="1BFB6820" w:rsidR="006B20FF" w:rsidRPr="001A0772" w:rsidRDefault="006B20FF" w:rsidP="001E1997">
      <w:pPr>
        <w:pStyle w:val="FootnoteText"/>
      </w:pPr>
      <w:r>
        <w:rPr>
          <w:rStyle w:val="FootnoteReference"/>
        </w:rPr>
        <w:footnoteRef/>
      </w:r>
      <w:r w:rsidRPr="00A11961">
        <w:t xml:space="preserve"> </w:t>
      </w:r>
      <w:r w:rsidR="00FC6C3A" w:rsidRPr="00A11961">
        <w:t xml:space="preserve">Buccola, </w:t>
      </w:r>
      <w:r w:rsidR="00FC6C3A" w:rsidRPr="00A11961">
        <w:rPr>
          <w:i/>
          <w:iCs/>
        </w:rPr>
        <w:t>supra</w:t>
      </w:r>
      <w:r w:rsidR="00FC6C3A" w:rsidRPr="00A11961">
        <w:t xml:space="preserve"> note</w:t>
      </w:r>
      <w:r w:rsidR="005A6158" w:rsidRPr="00A11961">
        <w:t xml:space="preserve"> </w:t>
      </w:r>
      <w:r w:rsidR="005A6158">
        <w:rPr>
          <w:lang w:val="it-IT"/>
        </w:rPr>
        <w:fldChar w:fldCharType="begin"/>
      </w:r>
      <w:r w:rsidR="005A6158" w:rsidRPr="00A11961">
        <w:instrText xml:space="preserve"> NOTEREF _Ref175140172 \h </w:instrText>
      </w:r>
      <w:r w:rsidR="005A6158">
        <w:rPr>
          <w:lang w:val="it-IT"/>
        </w:rPr>
      </w:r>
      <w:r w:rsidR="005A6158">
        <w:rPr>
          <w:lang w:val="it-IT"/>
        </w:rPr>
        <w:fldChar w:fldCharType="separate"/>
      </w:r>
      <w:r w:rsidR="000D13FF">
        <w:t>10</w:t>
      </w:r>
      <w:r w:rsidR="005A6158">
        <w:rPr>
          <w:lang w:val="it-IT"/>
        </w:rPr>
        <w:fldChar w:fldCharType="end"/>
      </w:r>
      <w:r w:rsidR="00FC6C3A" w:rsidRPr="00A11961">
        <w:t>, at 5</w:t>
      </w:r>
      <w:r w:rsidR="00FE52C3" w:rsidRPr="00A11961">
        <w:t>.</w:t>
      </w:r>
      <w:r w:rsidR="001A0772" w:rsidRPr="00A11961">
        <w:t xml:space="preserve"> </w:t>
      </w:r>
      <w:r w:rsidR="001A0772" w:rsidRPr="001A0772">
        <w:rPr>
          <w:i/>
          <w:iCs/>
        </w:rPr>
        <w:t>Cf</w:t>
      </w:r>
      <w:r w:rsidR="001A0772" w:rsidRPr="001A0772">
        <w:t>. Michael C. J</w:t>
      </w:r>
      <w:r w:rsidR="001A0772">
        <w:t xml:space="preserve">ensen, </w:t>
      </w:r>
      <w:r w:rsidR="001A0772" w:rsidRPr="001A0772">
        <w:rPr>
          <w:i/>
          <w:iCs/>
        </w:rPr>
        <w:t>Eclipse of the Public Corporation</w:t>
      </w:r>
      <w:r w:rsidR="001A0772">
        <w:t xml:space="preserve">, 67 </w:t>
      </w:r>
      <w:r w:rsidR="001A0772" w:rsidRPr="001A0772">
        <w:rPr>
          <w:smallCaps/>
        </w:rPr>
        <w:t>Harv. Bus. Rev.</w:t>
      </w:r>
      <w:r w:rsidR="001A0772">
        <w:t xml:space="preserve"> 61 (1989).</w:t>
      </w:r>
    </w:p>
  </w:footnote>
  <w:footnote w:id="28">
    <w:p w14:paraId="1F53C6D6" w14:textId="4760EA07" w:rsidR="002D4101" w:rsidRPr="00B3404F" w:rsidRDefault="002D4101" w:rsidP="00A11961">
      <w:pPr>
        <w:spacing w:after="40"/>
        <w:ind w:firstLine="576"/>
        <w:jc w:val="both"/>
        <w:rPr>
          <w:szCs w:val="17"/>
        </w:rPr>
      </w:pPr>
      <w:r w:rsidRPr="00A11961">
        <w:rPr>
          <w:rStyle w:val="FootnoteReference"/>
          <w:sz w:val="17"/>
          <w:szCs w:val="17"/>
        </w:rPr>
        <w:footnoteRef/>
      </w:r>
      <w:r w:rsidRPr="00A11961">
        <w:rPr>
          <w:sz w:val="17"/>
          <w:szCs w:val="17"/>
        </w:rPr>
        <w:t xml:space="preserve"> Quadrant Structured Prod. Co. v. Vertin</w:t>
      </w:r>
      <w:r w:rsidRPr="00312AE0">
        <w:rPr>
          <w:sz w:val="17"/>
          <w:szCs w:val="17"/>
        </w:rPr>
        <w:t xml:space="preserve">, 102 A.3d 155, 172, 184-85, 185-87 (Del. Ch. 2014), </w:t>
      </w:r>
      <w:r w:rsidRPr="00A11961">
        <w:rPr>
          <w:sz w:val="17"/>
          <w:szCs w:val="17"/>
        </w:rPr>
        <w:t>reconsideration denied,</w:t>
      </w:r>
      <w:r w:rsidRPr="00312AE0">
        <w:rPr>
          <w:sz w:val="17"/>
          <w:szCs w:val="17"/>
        </w:rPr>
        <w:t xml:space="preserve"> No. CIV.A. 6990-VCL, 2014 WL 5465535 (Del. Ch. Oct. 28, 2014)</w:t>
      </w:r>
      <w:r w:rsidRPr="00A11961">
        <w:rPr>
          <w:sz w:val="17"/>
          <w:szCs w:val="17"/>
        </w:rPr>
        <w:t>; Quadrant Structured Prod. Co., Ltd. v. Vertin, No. CV 6990-VCL, 2015 WL 6157759, at *1, 10-11, 20</w:t>
      </w:r>
      <w:r w:rsidR="00973A10">
        <w:rPr>
          <w:sz w:val="17"/>
          <w:szCs w:val="17"/>
        </w:rPr>
        <w:t>–</w:t>
      </w:r>
      <w:r w:rsidRPr="00A11961">
        <w:rPr>
          <w:sz w:val="17"/>
          <w:szCs w:val="17"/>
        </w:rPr>
        <w:t>21 (Del. Ch. Oct. 20, 2015), aff'd, No. 210, 2016, 2016 WL 6438209 (Del. Oct. 31, 2016)</w:t>
      </w:r>
      <w:r w:rsidRPr="00312AE0">
        <w:rPr>
          <w:sz w:val="17"/>
          <w:szCs w:val="17"/>
        </w:rPr>
        <w:t>.</w:t>
      </w:r>
    </w:p>
  </w:footnote>
  <w:footnote w:id="29">
    <w:p w14:paraId="4B728184" w14:textId="5736805B" w:rsidR="008534E5" w:rsidRPr="00B3404F" w:rsidRDefault="008534E5" w:rsidP="001E1997">
      <w:pPr>
        <w:pStyle w:val="FootnoteText"/>
      </w:pPr>
      <w:r w:rsidRPr="00B3404F">
        <w:rPr>
          <w:rStyle w:val="FootnoteReference"/>
          <w:szCs w:val="17"/>
        </w:rPr>
        <w:footnoteRef/>
      </w:r>
      <w:r w:rsidRPr="00B3404F">
        <w:t xml:space="preserve"> Liability management transactions typically involve the debtor sending assets into a subsidiary—to the benefit of some creditors and detriment of some old ones</w:t>
      </w:r>
      <w:r w:rsidR="000A1B71" w:rsidRPr="00B3404F">
        <w:t>—or prioritizing some creditors over others in exchange transactions.</w:t>
      </w:r>
    </w:p>
  </w:footnote>
  <w:footnote w:id="30">
    <w:p w14:paraId="6D6F080F" w14:textId="06568F8C" w:rsidR="00CC46C9" w:rsidRPr="00B3404F" w:rsidRDefault="00CC46C9" w:rsidP="001E1997">
      <w:pPr>
        <w:pStyle w:val="FootnoteText"/>
      </w:pPr>
      <w:r w:rsidRPr="00B3404F">
        <w:rPr>
          <w:rStyle w:val="FootnoteReference"/>
          <w:szCs w:val="17"/>
        </w:rPr>
        <w:footnoteRef/>
      </w:r>
      <w:r w:rsidRPr="00B3404F">
        <w:t xml:space="preserve"> </w:t>
      </w:r>
      <w:r w:rsidR="003F7518" w:rsidRPr="00A11961">
        <w:rPr>
          <w:i/>
          <w:iCs/>
        </w:rPr>
        <w:t>See, e.g</w:t>
      </w:r>
      <w:r w:rsidR="003F7518" w:rsidRPr="00B3404F">
        <w:t>., Final Report of Examiner Richard J. Davis, Caesars Entertainment Operating Company, Inc., Case No. 15-01145 (ABG), U.S. Bankr. N.D. Ill. Docket No. 3401, (Mar. 15, 2016).</w:t>
      </w:r>
    </w:p>
  </w:footnote>
  <w:footnote w:id="31">
    <w:p w14:paraId="2F6D52B6" w14:textId="16D665AD" w:rsidR="0053156D" w:rsidRDefault="0053156D" w:rsidP="001E1997">
      <w:pPr>
        <w:pStyle w:val="FootnoteText"/>
      </w:pPr>
      <w:r w:rsidRPr="00B3404F">
        <w:rPr>
          <w:rStyle w:val="FootnoteReference"/>
          <w:szCs w:val="17"/>
        </w:rPr>
        <w:footnoteRef/>
      </w:r>
      <w:r w:rsidRPr="00B3404F">
        <w:t xml:space="preserve"> </w:t>
      </w:r>
      <w:r w:rsidR="00312AE0" w:rsidRPr="00B3404F">
        <w:t>11 U.S.C.</w:t>
      </w:r>
      <w:r w:rsidR="001921A4" w:rsidRPr="00B3404F">
        <w:t xml:space="preserve"> § </w:t>
      </w:r>
      <w:r w:rsidRPr="00B3404F">
        <w:t>1125.</w:t>
      </w:r>
    </w:p>
  </w:footnote>
  <w:footnote w:id="32">
    <w:p w14:paraId="6A6C9263" w14:textId="6BFEE1C9" w:rsidR="00674933" w:rsidRDefault="00674933" w:rsidP="001E1997">
      <w:pPr>
        <w:pStyle w:val="FootnoteText"/>
      </w:pPr>
      <w:r>
        <w:rPr>
          <w:rStyle w:val="FootnoteReference"/>
        </w:rPr>
        <w:footnoteRef/>
      </w:r>
      <w:r>
        <w:t xml:space="preserve"> Gunjan Seth, Do Rights Offerings Reduce Bargaining Complexity in Chapter 11? </w:t>
      </w:r>
      <w:r w:rsidR="00AF5AC3">
        <w:t>a</w:t>
      </w:r>
      <w:r>
        <w:t>t 16 (SSRN working paper, Nov. 28, 2023), www.ssrn.com/abstract=4250057.</w:t>
      </w:r>
    </w:p>
  </w:footnote>
  <w:footnote w:id="33">
    <w:p w14:paraId="39C27AFF" w14:textId="4C28179A" w:rsidR="007177A7" w:rsidRDefault="007177A7" w:rsidP="001E1997">
      <w:pPr>
        <w:pStyle w:val="FootnoteText"/>
      </w:pPr>
      <w:r>
        <w:rPr>
          <w:rStyle w:val="FootnoteReference"/>
        </w:rPr>
        <w:footnoteRef/>
      </w:r>
      <w:r>
        <w:t xml:space="preserve"> </w:t>
      </w:r>
      <w:r w:rsidR="00571FA2">
        <w:t xml:space="preserve">Casey, </w:t>
      </w:r>
      <w:r w:rsidR="00D77A39" w:rsidRPr="004F6355">
        <w:rPr>
          <w:i/>
          <w:iCs/>
        </w:rPr>
        <w:t>supra</w:t>
      </w:r>
      <w:r w:rsidR="00D77A39">
        <w:t xml:space="preserve"> note </w:t>
      </w:r>
      <w:r w:rsidR="00D77A39">
        <w:fldChar w:fldCharType="begin"/>
      </w:r>
      <w:r w:rsidR="00D77A39">
        <w:instrText xml:space="preserve"> NOTEREF _Ref175141114 \h </w:instrText>
      </w:r>
      <w:r w:rsidR="00D77A39">
        <w:fldChar w:fldCharType="separate"/>
      </w:r>
      <w:r w:rsidR="000D13FF">
        <w:t>15</w:t>
      </w:r>
      <w:r w:rsidR="00D77A39">
        <w:fldChar w:fldCharType="end"/>
      </w:r>
      <w:r w:rsidR="004F6355">
        <w:t>, at 761</w:t>
      </w:r>
      <w:r w:rsidR="00571FA2">
        <w:t>.</w:t>
      </w:r>
      <w:r w:rsidR="00B4142B">
        <w:t xml:space="preserve"> </w:t>
      </w:r>
      <w:r w:rsidR="00B4142B" w:rsidRPr="00A11961">
        <w:rPr>
          <w:i/>
          <w:iCs/>
        </w:rPr>
        <w:t>See generally</w:t>
      </w:r>
      <w:r w:rsidR="00B4142B">
        <w:t xml:space="preserve"> Douglas G. Baird, </w:t>
      </w:r>
      <w:r w:rsidR="00B4142B" w:rsidRPr="00A35269">
        <w:rPr>
          <w:i/>
          <w:iCs/>
        </w:rPr>
        <w:t>Priority Matters: Absolute Priority, Relative Priority, and the Costs of Bankruptcy</w:t>
      </w:r>
      <w:r w:rsidR="00B4142B">
        <w:t xml:space="preserve">, 165 </w:t>
      </w:r>
      <w:r w:rsidR="00B4142B" w:rsidRPr="00A35269">
        <w:rPr>
          <w:smallCaps/>
        </w:rPr>
        <w:t>U. Pa. L. Rev</w:t>
      </w:r>
      <w:r w:rsidR="00B4142B">
        <w:t>. 785 (2017).</w:t>
      </w:r>
    </w:p>
  </w:footnote>
  <w:footnote w:id="34">
    <w:p w14:paraId="52EBD284" w14:textId="1644836A" w:rsidR="00DC6920" w:rsidRDefault="007177A7" w:rsidP="00DC6920">
      <w:pPr>
        <w:pStyle w:val="FootnoteText"/>
      </w:pPr>
      <w:r>
        <w:rPr>
          <w:rStyle w:val="FootnoteReference"/>
        </w:rPr>
        <w:footnoteRef/>
      </w:r>
      <w:r>
        <w:t xml:space="preserve"> </w:t>
      </w:r>
      <w:r w:rsidR="00DA38FE" w:rsidRPr="003B5E9F">
        <w:rPr>
          <w:smallCaps/>
        </w:rPr>
        <w:t>American Bankruptcy Institute, Commission to Study the Reform of Chapter 11, Final Report and Recommendations</w:t>
      </w:r>
      <w:r w:rsidR="00DA38FE" w:rsidRPr="004E32DA">
        <w:t xml:space="preserve"> </w:t>
      </w:r>
      <w:r w:rsidR="0058267C">
        <w:t xml:space="preserve">213–23, 239 </w:t>
      </w:r>
      <w:r w:rsidR="00DA38FE">
        <w:t>(2014)</w:t>
      </w:r>
      <w:r w:rsidR="00511043">
        <w:t>.</w:t>
      </w:r>
    </w:p>
  </w:footnote>
  <w:footnote w:id="35">
    <w:p w14:paraId="7D5B40B3" w14:textId="69488AC7" w:rsidR="001C4AE5" w:rsidRDefault="001C4AE5" w:rsidP="001E1997">
      <w:pPr>
        <w:pStyle w:val="FootnoteText"/>
      </w:pPr>
      <w:r>
        <w:rPr>
          <w:rStyle w:val="FootnoteReference"/>
        </w:rPr>
        <w:footnoteRef/>
      </w:r>
      <w:r>
        <w:t xml:space="preserve"> </w:t>
      </w:r>
      <w:r w:rsidR="00DC6920">
        <w:t xml:space="preserve">Mark J. Roe &amp; Michael Simkovic, </w:t>
      </w:r>
      <w:r w:rsidR="00DC6920" w:rsidRPr="003B5E9F">
        <w:rPr>
          <w:i/>
          <w:iCs/>
        </w:rPr>
        <w:t>Absolute Priority, Relative Priority, and Valuation Uncertainty in Bankruptcy</w:t>
      </w:r>
      <w:r w:rsidR="00DC6920">
        <w:t xml:space="preserve">, 125 </w:t>
      </w:r>
      <w:r w:rsidR="00DC6920" w:rsidRPr="003B5E9F">
        <w:rPr>
          <w:smallCaps/>
        </w:rPr>
        <w:t>U. Pa. L. Rev</w:t>
      </w:r>
      <w:r w:rsidR="00DC6920">
        <w:t>. __ (2025).</w:t>
      </w:r>
    </w:p>
  </w:footnote>
  <w:footnote w:id="36">
    <w:p w14:paraId="009D1727" w14:textId="0B70DFD3" w:rsidR="00396EE6" w:rsidRDefault="00396EE6" w:rsidP="001E1997">
      <w:pPr>
        <w:pStyle w:val="FootnoteText"/>
      </w:pPr>
      <w:r>
        <w:rPr>
          <w:rStyle w:val="FootnoteReference"/>
        </w:rPr>
        <w:footnoteRef/>
      </w:r>
      <w:r>
        <w:t xml:space="preserve"> </w:t>
      </w:r>
      <w:r w:rsidR="00B17F46" w:rsidRPr="00A11961">
        <w:rPr>
          <w:i/>
          <w:iCs/>
        </w:rPr>
        <w:t>See, e.g</w:t>
      </w:r>
      <w:r w:rsidR="00B17F46">
        <w:t xml:space="preserve">., </w:t>
      </w:r>
      <w:r>
        <w:t xml:space="preserve">John C. Coffee, Jr., </w:t>
      </w:r>
      <w:r w:rsidRPr="00A11961">
        <w:rPr>
          <w:i/>
          <w:iCs/>
        </w:rPr>
        <w:t>Market Failure and the Economic Case for a Mandatory Disclosure System</w:t>
      </w:r>
      <w:r>
        <w:t>, 70 Va. L. Rev. 717, 722 (1984)</w:t>
      </w:r>
      <w:r w:rsidR="00B17F46">
        <w:t xml:space="preserve">; </w:t>
      </w:r>
      <w:r w:rsidR="00B17F46" w:rsidRPr="00A11961">
        <w:t>Hillary A. Sale, </w:t>
      </w:r>
      <w:r w:rsidR="00B17F46" w:rsidRPr="00A11961">
        <w:rPr>
          <w:i/>
          <w:iCs/>
        </w:rPr>
        <w:t>Disclosure's Purpose</w:t>
      </w:r>
      <w:r w:rsidR="00B17F46" w:rsidRPr="00A11961">
        <w:t>, 107 </w:t>
      </w:r>
      <w:r w:rsidR="00B17F46" w:rsidRPr="00A11961">
        <w:rPr>
          <w:smallCaps/>
        </w:rPr>
        <w:t>Geo. L.J</w:t>
      </w:r>
      <w:r w:rsidR="00B17F46" w:rsidRPr="00A11961">
        <w:t>. 1045</w:t>
      </w:r>
      <w:r w:rsidR="00B17F46">
        <w:t>, 1046</w:t>
      </w:r>
      <w:r w:rsidR="00B17F46" w:rsidRPr="00A11961">
        <w:t xml:space="preserve"> (2019)</w:t>
      </w:r>
      <w:r w:rsidR="00B17F46">
        <w:t xml:space="preserve">; </w:t>
      </w:r>
      <w:r w:rsidR="00B17F46" w:rsidRPr="00B17F46">
        <w:t>Merritt B. Fox, </w:t>
      </w:r>
      <w:r w:rsidR="00B17F46" w:rsidRPr="00B17F46">
        <w:rPr>
          <w:i/>
          <w:iCs/>
        </w:rPr>
        <w:t>Retaining Mandatory Securities Disclosure: Why Issuer Choice Is Not Investor Empowerment</w:t>
      </w:r>
      <w:r w:rsidR="00B17F46" w:rsidRPr="00B17F46">
        <w:t>, 85 </w:t>
      </w:r>
      <w:r w:rsidR="00B17F46" w:rsidRPr="00A11961">
        <w:rPr>
          <w:smallCaps/>
        </w:rPr>
        <w:t>Va. L. Rev.</w:t>
      </w:r>
      <w:r w:rsidR="00B17F46" w:rsidRPr="00B17F46">
        <w:t xml:space="preserve"> 1335 (1999).</w:t>
      </w:r>
    </w:p>
  </w:footnote>
  <w:footnote w:id="37">
    <w:p w14:paraId="0FD4EFF3" w14:textId="01110917" w:rsidR="007C5A24" w:rsidRDefault="007C5A24" w:rsidP="001E1997">
      <w:pPr>
        <w:pStyle w:val="FootnoteText"/>
      </w:pPr>
      <w:r>
        <w:rPr>
          <w:rStyle w:val="FootnoteReference"/>
        </w:rPr>
        <w:footnoteRef/>
      </w:r>
      <w:r>
        <w:t xml:space="preserve"> Even when courts mandate disclosure of information, limited access to PACER (Public Access to Court Electronic Records) and the associated fees may still produce information asymmetries. The restricted availability of information on PACER, coupled with the financial barriers posed by access fees, disproportionately impacts smaller creditors and the public, who may lack the resources to obtain crucial information. This creates an asymmetry where insiders, with greater access to resources, can exploit their informational advantage.</w:t>
      </w:r>
    </w:p>
  </w:footnote>
  <w:footnote w:id="38">
    <w:p w14:paraId="6910F85D" w14:textId="555E47B6" w:rsidR="00B17F46" w:rsidRDefault="00B17F46" w:rsidP="001E1997">
      <w:pPr>
        <w:pStyle w:val="FootnoteText"/>
      </w:pPr>
      <w:r>
        <w:rPr>
          <w:rStyle w:val="FootnoteReference"/>
        </w:rPr>
        <w:footnoteRef/>
      </w:r>
      <w:r>
        <w:t xml:space="preserve"> </w:t>
      </w:r>
      <w:r w:rsidRPr="003B5E9F">
        <w:rPr>
          <w:i/>
          <w:iCs/>
        </w:rPr>
        <w:t>See, e.g</w:t>
      </w:r>
      <w:r w:rsidR="001F15B4">
        <w:rPr>
          <w:i/>
          <w:iCs/>
        </w:rPr>
        <w:t>.</w:t>
      </w:r>
      <w:r>
        <w:t xml:space="preserve">, Roberta Romano, </w:t>
      </w:r>
      <w:r w:rsidRPr="003B5E9F">
        <w:rPr>
          <w:i/>
          <w:iCs/>
        </w:rPr>
        <w:t>Empowering Investors: A Market Approach to Securities Regulation</w:t>
      </w:r>
      <w:r>
        <w:t xml:space="preserve">, 107 </w:t>
      </w:r>
      <w:r w:rsidRPr="00A11961">
        <w:rPr>
          <w:smallCaps/>
        </w:rPr>
        <w:t>Yale L.J</w:t>
      </w:r>
      <w:r>
        <w:t>. 2359, 2361</w:t>
      </w:r>
      <w:r w:rsidR="0064068B">
        <w:t>–</w:t>
      </w:r>
      <w:r>
        <w:t xml:space="preserve">62 (1998). </w:t>
      </w:r>
    </w:p>
  </w:footnote>
  <w:footnote w:id="39">
    <w:p w14:paraId="352E6C12" w14:textId="49BFE65C" w:rsidR="00C34147" w:rsidRDefault="00C34147" w:rsidP="001E1997">
      <w:pPr>
        <w:pStyle w:val="FootnoteText"/>
      </w:pPr>
      <w:r>
        <w:rPr>
          <w:rStyle w:val="FootnoteReference"/>
        </w:rPr>
        <w:footnoteRef/>
      </w:r>
      <w:r>
        <w:t xml:space="preserve"> The bankruptcy process has an offsetting quality. Firms that were private and therefore “dark” were not disclosing public information when they entered bankruptcy. The bankruptcy process will force out some information, increasing whatever public good quality </w:t>
      </w:r>
      <w:r w:rsidR="006453B6">
        <w:t xml:space="preserve">wider </w:t>
      </w:r>
      <w:r>
        <w:t xml:space="preserve">information </w:t>
      </w:r>
      <w:r w:rsidR="006453B6">
        <w:t xml:space="preserve">distribution </w:t>
      </w:r>
      <w:r>
        <w:t>provides.</w:t>
      </w:r>
    </w:p>
  </w:footnote>
  <w:footnote w:id="40">
    <w:p w14:paraId="07663301" w14:textId="7FB2627B" w:rsidR="0025794B" w:rsidRDefault="0025794B" w:rsidP="001E1997">
      <w:pPr>
        <w:pStyle w:val="FootnoteText"/>
      </w:pPr>
      <w:r>
        <w:rPr>
          <w:rStyle w:val="FootnoteReference"/>
        </w:rPr>
        <w:footnoteRef/>
      </w:r>
      <w:r>
        <w:t xml:space="preserve"> </w:t>
      </w:r>
      <w:r w:rsidR="0030503F">
        <w:t xml:space="preserve">Stop Wall Street Looting Act, </w:t>
      </w:r>
      <w:r w:rsidR="00E31DE1">
        <w:t>117</w:t>
      </w:r>
      <w:r w:rsidR="00E31DE1" w:rsidRPr="00E31DE1">
        <w:rPr>
          <w:vertAlign w:val="superscript"/>
        </w:rPr>
        <w:t>th</w:t>
      </w:r>
      <w:r w:rsidR="00E31DE1">
        <w:t xml:space="preserve"> </w:t>
      </w:r>
      <w:r w:rsidR="0030503F">
        <w:t>Cong.</w:t>
      </w:r>
      <w:r w:rsidR="00E31DE1">
        <w:t>, 1</w:t>
      </w:r>
      <w:r w:rsidR="00E31DE1" w:rsidRPr="00E31DE1">
        <w:rPr>
          <w:vertAlign w:val="superscript"/>
        </w:rPr>
        <w:t>st</w:t>
      </w:r>
      <w:r w:rsidR="00E31DE1">
        <w:t xml:space="preserve"> Sess.</w:t>
      </w:r>
      <w:r w:rsidR="0030503F">
        <w:t xml:space="preserve"> (2023) (introduced by Sen</w:t>
      </w:r>
      <w:r w:rsidR="004A7350">
        <w:t>ator</w:t>
      </w:r>
      <w:r w:rsidR="009D6D0A">
        <w:t xml:space="preserve"> Warren for herself and </w:t>
      </w:r>
      <w:r w:rsidR="007262DE">
        <w:t>Sen</w:t>
      </w:r>
      <w:r w:rsidR="004A7350">
        <w:t>ators</w:t>
      </w:r>
      <w:r w:rsidR="0030503F">
        <w:t xml:space="preserve"> Baldwin, Brown, </w:t>
      </w:r>
      <w:r w:rsidR="00622161">
        <w:t xml:space="preserve">Merkeley, and </w:t>
      </w:r>
      <w:r w:rsidR="007262DE">
        <w:t>Sanders)</w:t>
      </w:r>
      <w:r w:rsidR="0030503F">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931864"/>
      <w:docPartObj>
        <w:docPartGallery w:val="Page Numbers (Top of Page)"/>
        <w:docPartUnique/>
      </w:docPartObj>
    </w:sdtPr>
    <w:sdtEndPr>
      <w:rPr>
        <w:i/>
        <w:iCs/>
        <w:noProof/>
      </w:rPr>
    </w:sdtEndPr>
    <w:sdtContent>
      <w:p w14:paraId="65A5252E" w14:textId="7B2629C3" w:rsidR="007B26FD" w:rsidRDefault="007B26FD">
        <w:pPr>
          <w:pStyle w:val="Header"/>
        </w:pPr>
        <w:r>
          <w:fldChar w:fldCharType="begin"/>
        </w:r>
        <w:r>
          <w:instrText xml:space="preserve"> PAGE   \* MERGEFORMAT </w:instrText>
        </w:r>
        <w:r>
          <w:fldChar w:fldCharType="separate"/>
        </w:r>
        <w:r w:rsidR="000B5B00">
          <w:rPr>
            <w:noProof/>
          </w:rPr>
          <w:t>16</w:t>
        </w:r>
        <w:r>
          <w:rPr>
            <w:noProof/>
          </w:rPr>
          <w:fldChar w:fldCharType="end"/>
        </w:r>
        <w:r>
          <w:rPr>
            <w:noProof/>
          </w:rPr>
          <w:t xml:space="preserve">                                                   </w:t>
        </w:r>
        <w:r w:rsidRPr="007B26FD">
          <w:rPr>
            <w:i/>
            <w:iCs/>
            <w:noProof/>
          </w:rPr>
          <w:t>Bankruptcy Goes Private</w:t>
        </w:r>
      </w:p>
    </w:sdtContent>
  </w:sdt>
  <w:p w14:paraId="3E4D44EB" w14:textId="039B1486" w:rsidR="00F446C2" w:rsidRDefault="00F446C2">
    <w:pPr>
      <w:pStyle w:val="Header"/>
      <w:jc w:val="center"/>
      <w:rPr>
        <w:i/>
        <w:iC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C8091" w14:textId="31E1C1CD" w:rsidR="00AC4013" w:rsidRDefault="00AC4013" w:rsidP="004A446C">
    <w:pPr>
      <w:pStyle w:val="Header"/>
      <w:jc w:val="center"/>
      <w:rPr>
        <w:i/>
        <w:iCs/>
        <w:smallCap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F3923" w14:textId="2FC63863" w:rsidR="0052352F" w:rsidRDefault="0052352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B5B00">
      <w:rPr>
        <w:rStyle w:val="PageNumber"/>
        <w:noProof/>
      </w:rPr>
      <w:t>17</w:t>
    </w:r>
    <w:r>
      <w:rPr>
        <w:rStyle w:val="PageNumber"/>
      </w:rPr>
      <w:fldChar w:fldCharType="end"/>
    </w:r>
  </w:p>
  <w:p w14:paraId="3F0F99B4" w14:textId="77777777" w:rsidR="0052352F" w:rsidRDefault="0052352F" w:rsidP="004A446C">
    <w:pPr>
      <w:pStyle w:val="Header"/>
      <w:framePr w:wrap="around" w:vAnchor="text" w:hAnchor="page" w:x="2422" w:y="1"/>
      <w:rPr>
        <w:rStyle w:val="PageNumber"/>
      </w:rPr>
    </w:pPr>
  </w:p>
  <w:p w14:paraId="54886BC0" w14:textId="77777777" w:rsidR="0052352F" w:rsidRDefault="0052352F" w:rsidP="004A446C">
    <w:pPr>
      <w:pStyle w:val="Header"/>
      <w:jc w:val="center"/>
      <w:rPr>
        <w:i/>
        <w:iCs/>
      </w:rPr>
    </w:pPr>
    <w:r>
      <w:rPr>
        <w:i/>
        <w:iCs/>
      </w:rPr>
      <w:t>Bankruptcy Goes Private</w:t>
    </w:r>
  </w:p>
  <w:p w14:paraId="109A8B08" w14:textId="77777777" w:rsidR="0052352F" w:rsidRDefault="0052352F" w:rsidP="004A446C">
    <w:pPr>
      <w:pStyle w:val="Header"/>
      <w:jc w:val="center"/>
      <w:rPr>
        <w:i/>
        <w:iCs/>
      </w:rPr>
    </w:pPr>
  </w:p>
  <w:p w14:paraId="13D46310" w14:textId="77777777" w:rsidR="0052352F" w:rsidRDefault="0052352F" w:rsidP="004A446C">
    <w:pPr>
      <w:pStyle w:val="Header"/>
      <w:jc w:val="center"/>
      <w:rPr>
        <w:i/>
        <w:iCs/>
        <w:smallCap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6A42"/>
    <w:multiLevelType w:val="hybridMultilevel"/>
    <w:tmpl w:val="D2803598"/>
    <w:lvl w:ilvl="0" w:tplc="28407E8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02437864"/>
    <w:multiLevelType w:val="hybridMultilevel"/>
    <w:tmpl w:val="27ECDE7E"/>
    <w:lvl w:ilvl="0" w:tplc="8C040C82">
      <w:start w:val="2"/>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 w15:restartNumberingAfterBreak="0">
    <w:nsid w:val="077C54AD"/>
    <w:multiLevelType w:val="hybridMultilevel"/>
    <w:tmpl w:val="E438E3D4"/>
    <w:lvl w:ilvl="0" w:tplc="0218A46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5A20A0"/>
    <w:multiLevelType w:val="hybridMultilevel"/>
    <w:tmpl w:val="CA6ADC92"/>
    <w:lvl w:ilvl="0" w:tplc="16DAE96E">
      <w:start w:val="2"/>
      <w:numFmt w:val="upperLetter"/>
      <w:lvlText w:val="%1."/>
      <w:lvlJc w:val="left"/>
      <w:pPr>
        <w:tabs>
          <w:tab w:val="num" w:pos="732"/>
        </w:tabs>
        <w:ind w:left="732" w:hanging="375"/>
      </w:pPr>
      <w:rPr>
        <w:rFonts w:hint="default"/>
      </w:rPr>
    </w:lvl>
    <w:lvl w:ilvl="1" w:tplc="04090019">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4" w15:restartNumberingAfterBreak="0">
    <w:nsid w:val="0D646EAB"/>
    <w:multiLevelType w:val="hybridMultilevel"/>
    <w:tmpl w:val="A3185314"/>
    <w:lvl w:ilvl="0" w:tplc="23CCB97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FB26452"/>
    <w:multiLevelType w:val="hybridMultilevel"/>
    <w:tmpl w:val="C674D36C"/>
    <w:lvl w:ilvl="0" w:tplc="6AAE2B34">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13B4212C"/>
    <w:multiLevelType w:val="hybridMultilevel"/>
    <w:tmpl w:val="A622DCBE"/>
    <w:lvl w:ilvl="0" w:tplc="DA98A2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32C97"/>
    <w:multiLevelType w:val="hybridMultilevel"/>
    <w:tmpl w:val="DC9AAAAA"/>
    <w:lvl w:ilvl="0" w:tplc="5D028CA4">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A322B74"/>
    <w:multiLevelType w:val="hybridMultilevel"/>
    <w:tmpl w:val="E7BC990A"/>
    <w:lvl w:ilvl="0" w:tplc="04090015">
      <w:start w:val="2"/>
      <w:numFmt w:val="upperLetter"/>
      <w:lvlText w:val="%1."/>
      <w:lvlJc w:val="left"/>
      <w:pPr>
        <w:tabs>
          <w:tab w:val="num" w:pos="720"/>
        </w:tabs>
        <w:ind w:left="720" w:hanging="360"/>
      </w:pPr>
      <w:rPr>
        <w:rFonts w:hint="default"/>
      </w:rPr>
    </w:lvl>
    <w:lvl w:ilvl="1" w:tplc="0F52352A">
      <w:start w:val="1"/>
      <w:numFmt w:val="decimal"/>
      <w:lvlText w:val="%2."/>
      <w:lvlJc w:val="left"/>
      <w:pPr>
        <w:tabs>
          <w:tab w:val="num" w:pos="360"/>
        </w:tabs>
        <w:ind w:left="36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BA48B3"/>
    <w:multiLevelType w:val="hybridMultilevel"/>
    <w:tmpl w:val="B17428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61899"/>
    <w:multiLevelType w:val="hybridMultilevel"/>
    <w:tmpl w:val="8794DB2A"/>
    <w:lvl w:ilvl="0" w:tplc="736C8D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0111B"/>
    <w:multiLevelType w:val="hybridMultilevel"/>
    <w:tmpl w:val="B39281E0"/>
    <w:lvl w:ilvl="0" w:tplc="732604CE">
      <w:start w:val="1"/>
      <w:numFmt w:val="decimal"/>
      <w:lvlText w:val="%1."/>
      <w:lvlJc w:val="left"/>
      <w:pPr>
        <w:tabs>
          <w:tab w:val="num" w:pos="859"/>
        </w:tabs>
        <w:ind w:left="859" w:hanging="360"/>
      </w:pPr>
      <w:rPr>
        <w:rFonts w:hint="default"/>
      </w:rPr>
    </w:lvl>
    <w:lvl w:ilvl="1" w:tplc="04090019" w:tentative="1">
      <w:start w:val="1"/>
      <w:numFmt w:val="lowerLetter"/>
      <w:lvlText w:val="%2."/>
      <w:lvlJc w:val="left"/>
      <w:pPr>
        <w:tabs>
          <w:tab w:val="num" w:pos="1579"/>
        </w:tabs>
        <w:ind w:left="1579" w:hanging="360"/>
      </w:pPr>
    </w:lvl>
    <w:lvl w:ilvl="2" w:tplc="0409001B" w:tentative="1">
      <w:start w:val="1"/>
      <w:numFmt w:val="lowerRoman"/>
      <w:lvlText w:val="%3."/>
      <w:lvlJc w:val="right"/>
      <w:pPr>
        <w:tabs>
          <w:tab w:val="num" w:pos="2299"/>
        </w:tabs>
        <w:ind w:left="2299" w:hanging="180"/>
      </w:pPr>
    </w:lvl>
    <w:lvl w:ilvl="3" w:tplc="0409000F" w:tentative="1">
      <w:start w:val="1"/>
      <w:numFmt w:val="decimal"/>
      <w:lvlText w:val="%4."/>
      <w:lvlJc w:val="left"/>
      <w:pPr>
        <w:tabs>
          <w:tab w:val="num" w:pos="3019"/>
        </w:tabs>
        <w:ind w:left="3019" w:hanging="360"/>
      </w:pPr>
    </w:lvl>
    <w:lvl w:ilvl="4" w:tplc="04090019" w:tentative="1">
      <w:start w:val="1"/>
      <w:numFmt w:val="lowerLetter"/>
      <w:lvlText w:val="%5."/>
      <w:lvlJc w:val="left"/>
      <w:pPr>
        <w:tabs>
          <w:tab w:val="num" w:pos="3739"/>
        </w:tabs>
        <w:ind w:left="3739" w:hanging="360"/>
      </w:pPr>
    </w:lvl>
    <w:lvl w:ilvl="5" w:tplc="0409001B" w:tentative="1">
      <w:start w:val="1"/>
      <w:numFmt w:val="lowerRoman"/>
      <w:lvlText w:val="%6."/>
      <w:lvlJc w:val="right"/>
      <w:pPr>
        <w:tabs>
          <w:tab w:val="num" w:pos="4459"/>
        </w:tabs>
        <w:ind w:left="4459" w:hanging="180"/>
      </w:pPr>
    </w:lvl>
    <w:lvl w:ilvl="6" w:tplc="0409000F" w:tentative="1">
      <w:start w:val="1"/>
      <w:numFmt w:val="decimal"/>
      <w:lvlText w:val="%7."/>
      <w:lvlJc w:val="left"/>
      <w:pPr>
        <w:tabs>
          <w:tab w:val="num" w:pos="5179"/>
        </w:tabs>
        <w:ind w:left="5179" w:hanging="360"/>
      </w:pPr>
    </w:lvl>
    <w:lvl w:ilvl="7" w:tplc="04090019" w:tentative="1">
      <w:start w:val="1"/>
      <w:numFmt w:val="lowerLetter"/>
      <w:lvlText w:val="%8."/>
      <w:lvlJc w:val="left"/>
      <w:pPr>
        <w:tabs>
          <w:tab w:val="num" w:pos="5899"/>
        </w:tabs>
        <w:ind w:left="5899" w:hanging="360"/>
      </w:pPr>
    </w:lvl>
    <w:lvl w:ilvl="8" w:tplc="0409001B" w:tentative="1">
      <w:start w:val="1"/>
      <w:numFmt w:val="lowerRoman"/>
      <w:lvlText w:val="%9."/>
      <w:lvlJc w:val="right"/>
      <w:pPr>
        <w:tabs>
          <w:tab w:val="num" w:pos="6619"/>
        </w:tabs>
        <w:ind w:left="6619" w:hanging="180"/>
      </w:pPr>
    </w:lvl>
  </w:abstractNum>
  <w:abstractNum w:abstractNumId="12" w15:restartNumberingAfterBreak="0">
    <w:nsid w:val="1EE2018D"/>
    <w:multiLevelType w:val="hybridMultilevel"/>
    <w:tmpl w:val="E90E6050"/>
    <w:lvl w:ilvl="0" w:tplc="C5A833F0">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3" w15:restartNumberingAfterBreak="0">
    <w:nsid w:val="256D0676"/>
    <w:multiLevelType w:val="hybridMultilevel"/>
    <w:tmpl w:val="5C7EA0DA"/>
    <w:lvl w:ilvl="0" w:tplc="00260D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393ACC"/>
    <w:multiLevelType w:val="hybridMultilevel"/>
    <w:tmpl w:val="35FA4A34"/>
    <w:lvl w:ilvl="0" w:tplc="3BB60E1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BCF6FD0"/>
    <w:multiLevelType w:val="hybridMultilevel"/>
    <w:tmpl w:val="A9C2E542"/>
    <w:lvl w:ilvl="0" w:tplc="B93A6D3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6" w15:restartNumberingAfterBreak="0">
    <w:nsid w:val="2E8261F4"/>
    <w:multiLevelType w:val="hybridMultilevel"/>
    <w:tmpl w:val="8FF42F62"/>
    <w:lvl w:ilvl="0" w:tplc="8928513A">
      <w:start w:val="2"/>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7" w15:restartNumberingAfterBreak="0">
    <w:nsid w:val="32470A4A"/>
    <w:multiLevelType w:val="hybridMultilevel"/>
    <w:tmpl w:val="72DCBC02"/>
    <w:lvl w:ilvl="0" w:tplc="176CD184">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2F9379D"/>
    <w:multiLevelType w:val="hybridMultilevel"/>
    <w:tmpl w:val="74F68CF4"/>
    <w:lvl w:ilvl="0" w:tplc="F0C0BE7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9" w15:restartNumberingAfterBreak="0">
    <w:nsid w:val="338A65E1"/>
    <w:multiLevelType w:val="hybridMultilevel"/>
    <w:tmpl w:val="9FCCCEA6"/>
    <w:lvl w:ilvl="0" w:tplc="8D30025A">
      <w:start w:val="1"/>
      <w:numFmt w:val="upp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0" w15:restartNumberingAfterBreak="0">
    <w:nsid w:val="361B7818"/>
    <w:multiLevelType w:val="hybridMultilevel"/>
    <w:tmpl w:val="4754DAC6"/>
    <w:lvl w:ilvl="0" w:tplc="39B0979A">
      <w:start w:val="1"/>
      <w:numFmt w:val="upperRoman"/>
      <w:lvlText w:val="%1."/>
      <w:lvlJc w:val="left"/>
      <w:pPr>
        <w:ind w:left="1008" w:hanging="720"/>
      </w:pPr>
      <w:rPr>
        <w:rFonts w:hint="default"/>
      </w:rPr>
    </w:lvl>
    <w:lvl w:ilvl="1" w:tplc="576072AA">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3F1130C8"/>
    <w:multiLevelType w:val="hybridMultilevel"/>
    <w:tmpl w:val="2BCC85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E378F2"/>
    <w:multiLevelType w:val="hybridMultilevel"/>
    <w:tmpl w:val="A5AA16C8"/>
    <w:lvl w:ilvl="0" w:tplc="F9E6956A">
      <w:start w:val="1"/>
      <w:numFmt w:val="decimal"/>
      <w:lvlText w:val="%1."/>
      <w:lvlJc w:val="left"/>
      <w:pPr>
        <w:tabs>
          <w:tab w:val="num" w:pos="432"/>
        </w:tabs>
        <w:ind w:left="432" w:hanging="360"/>
      </w:pPr>
      <w:rPr>
        <w:rFonts w:hint="default"/>
      </w:rPr>
    </w:lvl>
    <w:lvl w:ilvl="1" w:tplc="04090019">
      <w:start w:val="1"/>
      <w:numFmt w:val="lowerLetter"/>
      <w:lvlText w:val="%2."/>
      <w:lvlJc w:val="left"/>
      <w:pPr>
        <w:tabs>
          <w:tab w:val="num" w:pos="1152"/>
        </w:tabs>
        <w:ind w:left="1152" w:hanging="360"/>
      </w:pPr>
    </w:lvl>
    <w:lvl w:ilvl="2" w:tplc="0409001B">
      <w:start w:val="1"/>
      <w:numFmt w:val="lowerRoman"/>
      <w:lvlText w:val="%3."/>
      <w:lvlJc w:val="right"/>
      <w:pPr>
        <w:tabs>
          <w:tab w:val="num" w:pos="1872"/>
        </w:tabs>
        <w:ind w:left="1872" w:hanging="180"/>
      </w:pPr>
    </w:lvl>
    <w:lvl w:ilvl="3" w:tplc="0409000F">
      <w:start w:val="1"/>
      <w:numFmt w:val="decimal"/>
      <w:lvlText w:val="%4."/>
      <w:lvlJc w:val="left"/>
      <w:pPr>
        <w:tabs>
          <w:tab w:val="num" w:pos="2592"/>
        </w:tabs>
        <w:ind w:left="2592" w:hanging="360"/>
      </w:pPr>
    </w:lvl>
    <w:lvl w:ilvl="4" w:tplc="04090019">
      <w:start w:val="1"/>
      <w:numFmt w:val="lowerLetter"/>
      <w:lvlText w:val="%5."/>
      <w:lvlJc w:val="left"/>
      <w:pPr>
        <w:tabs>
          <w:tab w:val="num" w:pos="3312"/>
        </w:tabs>
        <w:ind w:left="3312" w:hanging="360"/>
      </w:pPr>
    </w:lvl>
    <w:lvl w:ilvl="5" w:tplc="0409001B">
      <w:start w:val="1"/>
      <w:numFmt w:val="lowerRoman"/>
      <w:lvlText w:val="%6."/>
      <w:lvlJc w:val="right"/>
      <w:pPr>
        <w:tabs>
          <w:tab w:val="num" w:pos="4032"/>
        </w:tabs>
        <w:ind w:left="4032" w:hanging="180"/>
      </w:pPr>
    </w:lvl>
    <w:lvl w:ilvl="6" w:tplc="0409000F">
      <w:start w:val="1"/>
      <w:numFmt w:val="decimal"/>
      <w:lvlText w:val="%7."/>
      <w:lvlJc w:val="left"/>
      <w:pPr>
        <w:tabs>
          <w:tab w:val="num" w:pos="4752"/>
        </w:tabs>
        <w:ind w:left="4752" w:hanging="360"/>
      </w:pPr>
    </w:lvl>
    <w:lvl w:ilvl="7" w:tplc="04090019">
      <w:start w:val="1"/>
      <w:numFmt w:val="lowerLetter"/>
      <w:lvlText w:val="%8."/>
      <w:lvlJc w:val="left"/>
      <w:pPr>
        <w:tabs>
          <w:tab w:val="num" w:pos="5472"/>
        </w:tabs>
        <w:ind w:left="5472" w:hanging="360"/>
      </w:pPr>
    </w:lvl>
    <w:lvl w:ilvl="8" w:tplc="0409001B">
      <w:start w:val="1"/>
      <w:numFmt w:val="lowerRoman"/>
      <w:lvlText w:val="%9."/>
      <w:lvlJc w:val="right"/>
      <w:pPr>
        <w:tabs>
          <w:tab w:val="num" w:pos="6192"/>
        </w:tabs>
        <w:ind w:left="6192" w:hanging="180"/>
      </w:pPr>
    </w:lvl>
  </w:abstractNum>
  <w:abstractNum w:abstractNumId="23" w15:restartNumberingAfterBreak="0">
    <w:nsid w:val="452D01B0"/>
    <w:multiLevelType w:val="hybridMultilevel"/>
    <w:tmpl w:val="3E1AB55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CA27BD"/>
    <w:multiLevelType w:val="hybridMultilevel"/>
    <w:tmpl w:val="186C3F28"/>
    <w:lvl w:ilvl="0" w:tplc="87B0DE5C">
      <w:start w:val="1"/>
      <w:numFmt w:val="upp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5" w15:restartNumberingAfterBreak="0">
    <w:nsid w:val="58032417"/>
    <w:multiLevelType w:val="hybridMultilevel"/>
    <w:tmpl w:val="83806746"/>
    <w:lvl w:ilvl="0" w:tplc="6C101A40">
      <w:start w:val="1"/>
      <w:numFmt w:val="decimal"/>
      <w:lvlText w:val="%1."/>
      <w:lvlJc w:val="left"/>
      <w:pPr>
        <w:tabs>
          <w:tab w:val="num" w:pos="907"/>
        </w:tabs>
        <w:ind w:left="907" w:hanging="360"/>
      </w:pPr>
      <w:rPr>
        <w:rFonts w:hint="default"/>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26" w15:restartNumberingAfterBreak="0">
    <w:nsid w:val="5A331569"/>
    <w:multiLevelType w:val="hybridMultilevel"/>
    <w:tmpl w:val="2154FC60"/>
    <w:lvl w:ilvl="0" w:tplc="1E748A8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A506AB6"/>
    <w:multiLevelType w:val="hybridMultilevel"/>
    <w:tmpl w:val="02B4F75A"/>
    <w:lvl w:ilvl="0" w:tplc="E4149266">
      <w:start w:val="1"/>
      <w:numFmt w:val="upperLetter"/>
      <w:pStyle w:val="Heading2"/>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8" w15:restartNumberingAfterBreak="0">
    <w:nsid w:val="60BF3B52"/>
    <w:multiLevelType w:val="hybridMultilevel"/>
    <w:tmpl w:val="F3E09944"/>
    <w:lvl w:ilvl="0" w:tplc="6EF29F18">
      <w:start w:val="1"/>
      <w:numFmt w:val="upp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9" w15:restartNumberingAfterBreak="0">
    <w:nsid w:val="627275E2"/>
    <w:multiLevelType w:val="hybridMultilevel"/>
    <w:tmpl w:val="CCA0A782"/>
    <w:lvl w:ilvl="0" w:tplc="7A3CAAF4">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62E64E73"/>
    <w:multiLevelType w:val="hybridMultilevel"/>
    <w:tmpl w:val="0C264C86"/>
    <w:lvl w:ilvl="0" w:tplc="6C00D6D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1" w15:restartNumberingAfterBreak="0">
    <w:nsid w:val="662A1F3D"/>
    <w:multiLevelType w:val="hybridMultilevel"/>
    <w:tmpl w:val="6A6644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A756AA"/>
    <w:multiLevelType w:val="hybridMultilevel"/>
    <w:tmpl w:val="7B7846BC"/>
    <w:lvl w:ilvl="0" w:tplc="9992DD54">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742E5E35"/>
    <w:multiLevelType w:val="hybridMultilevel"/>
    <w:tmpl w:val="FC2851AC"/>
    <w:lvl w:ilvl="0" w:tplc="5E3A50D4">
      <w:start w:val="1"/>
      <w:numFmt w:val="decimal"/>
      <w:lvlText w:val="%1. "/>
      <w:lvlJc w:val="left"/>
      <w:pPr>
        <w:tabs>
          <w:tab w:val="num" w:pos="360"/>
        </w:tabs>
        <w:ind w:left="288" w:hanging="288"/>
      </w:pPr>
      <w:rPr>
        <w:rFonts w:ascii="Times New Roman" w:hAnsi="Times New Roman"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49565E"/>
    <w:multiLevelType w:val="hybridMultilevel"/>
    <w:tmpl w:val="6ACC98C6"/>
    <w:lvl w:ilvl="0" w:tplc="FFFFFFFF">
      <w:start w:val="1"/>
      <w:numFmt w:val="upperLetter"/>
      <w:lvlText w:val="%1."/>
      <w:lvlJc w:val="left"/>
      <w:pPr>
        <w:ind w:left="907" w:hanging="360"/>
      </w:pPr>
      <w:rPr>
        <w:rFonts w:hint="default"/>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num w:numId="1">
    <w:abstractNumId w:val="33"/>
  </w:num>
  <w:num w:numId="2">
    <w:abstractNumId w:val="5"/>
  </w:num>
  <w:num w:numId="3">
    <w:abstractNumId w:val="16"/>
  </w:num>
  <w:num w:numId="4">
    <w:abstractNumId w:val="12"/>
  </w:num>
  <w:num w:numId="5">
    <w:abstractNumId w:val="8"/>
  </w:num>
  <w:num w:numId="6">
    <w:abstractNumId w:val="22"/>
  </w:num>
  <w:num w:numId="7">
    <w:abstractNumId w:val="3"/>
  </w:num>
  <w:num w:numId="8">
    <w:abstractNumId w:val="14"/>
  </w:num>
  <w:num w:numId="9">
    <w:abstractNumId w:val="1"/>
  </w:num>
  <w:num w:numId="10">
    <w:abstractNumId w:val="29"/>
  </w:num>
  <w:num w:numId="11">
    <w:abstractNumId w:val="4"/>
  </w:num>
  <w:num w:numId="12">
    <w:abstractNumId w:val="32"/>
  </w:num>
  <w:num w:numId="13">
    <w:abstractNumId w:val="17"/>
  </w:num>
  <w:num w:numId="14">
    <w:abstractNumId w:val="7"/>
  </w:num>
  <w:num w:numId="15">
    <w:abstractNumId w:val="26"/>
  </w:num>
  <w:num w:numId="16">
    <w:abstractNumId w:val="25"/>
  </w:num>
  <w:num w:numId="17">
    <w:abstractNumId w:val="11"/>
  </w:num>
  <w:num w:numId="18">
    <w:abstractNumId w:val="2"/>
  </w:num>
  <w:num w:numId="19">
    <w:abstractNumId w:val="19"/>
  </w:num>
  <w:num w:numId="20">
    <w:abstractNumId w:val="28"/>
  </w:num>
  <w:num w:numId="21">
    <w:abstractNumId w:val="24"/>
  </w:num>
  <w:num w:numId="22">
    <w:abstractNumId w:val="0"/>
  </w:num>
  <w:num w:numId="23">
    <w:abstractNumId w:val="30"/>
  </w:num>
  <w:num w:numId="24">
    <w:abstractNumId w:val="15"/>
  </w:num>
  <w:num w:numId="25">
    <w:abstractNumId w:val="18"/>
  </w:num>
  <w:num w:numId="26">
    <w:abstractNumId w:val="10"/>
  </w:num>
  <w:num w:numId="27">
    <w:abstractNumId w:val="21"/>
  </w:num>
  <w:num w:numId="28">
    <w:abstractNumId w:val="20"/>
  </w:num>
  <w:num w:numId="29">
    <w:abstractNumId w:val="31"/>
  </w:num>
  <w:num w:numId="30">
    <w:abstractNumId w:val="27"/>
  </w:num>
  <w:num w:numId="31">
    <w:abstractNumId w:val="34"/>
  </w:num>
  <w:num w:numId="32">
    <w:abstractNumId w:val="9"/>
  </w:num>
  <w:num w:numId="33">
    <w:abstractNumId w:val="27"/>
    <w:lvlOverride w:ilvl="0">
      <w:startOverride w:val="2"/>
    </w:lvlOverride>
  </w:num>
  <w:num w:numId="34">
    <w:abstractNumId w:val="23"/>
  </w:num>
  <w:num w:numId="35">
    <w:abstractNumId w:val="13"/>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95"/>
    <w:rsid w:val="000005C6"/>
    <w:rsid w:val="000017FD"/>
    <w:rsid w:val="0000781A"/>
    <w:rsid w:val="000151FF"/>
    <w:rsid w:val="00017868"/>
    <w:rsid w:val="00020C14"/>
    <w:rsid w:val="0002225B"/>
    <w:rsid w:val="0002295E"/>
    <w:rsid w:val="00025272"/>
    <w:rsid w:val="00027A5D"/>
    <w:rsid w:val="0003020E"/>
    <w:rsid w:val="000309FC"/>
    <w:rsid w:val="000364C1"/>
    <w:rsid w:val="000504B8"/>
    <w:rsid w:val="00050AD7"/>
    <w:rsid w:val="0005141C"/>
    <w:rsid w:val="00052A38"/>
    <w:rsid w:val="00053B21"/>
    <w:rsid w:val="000544AF"/>
    <w:rsid w:val="000562FA"/>
    <w:rsid w:val="00056BBB"/>
    <w:rsid w:val="000626C8"/>
    <w:rsid w:val="000644BF"/>
    <w:rsid w:val="0006549A"/>
    <w:rsid w:val="0006583A"/>
    <w:rsid w:val="000660A7"/>
    <w:rsid w:val="00067D84"/>
    <w:rsid w:val="000709A8"/>
    <w:rsid w:val="00070EE7"/>
    <w:rsid w:val="00077997"/>
    <w:rsid w:val="00080C59"/>
    <w:rsid w:val="000827DD"/>
    <w:rsid w:val="00085981"/>
    <w:rsid w:val="000866CF"/>
    <w:rsid w:val="00087DC7"/>
    <w:rsid w:val="00087ED5"/>
    <w:rsid w:val="00096188"/>
    <w:rsid w:val="00096CA5"/>
    <w:rsid w:val="000A1735"/>
    <w:rsid w:val="000A1B71"/>
    <w:rsid w:val="000A215D"/>
    <w:rsid w:val="000A301B"/>
    <w:rsid w:val="000A472E"/>
    <w:rsid w:val="000A4FEF"/>
    <w:rsid w:val="000A536C"/>
    <w:rsid w:val="000A5E05"/>
    <w:rsid w:val="000B3869"/>
    <w:rsid w:val="000B4FB7"/>
    <w:rsid w:val="000B5B00"/>
    <w:rsid w:val="000B605F"/>
    <w:rsid w:val="000B6D4D"/>
    <w:rsid w:val="000C227A"/>
    <w:rsid w:val="000C3057"/>
    <w:rsid w:val="000C3D5D"/>
    <w:rsid w:val="000C529B"/>
    <w:rsid w:val="000C6E10"/>
    <w:rsid w:val="000C784F"/>
    <w:rsid w:val="000D13FF"/>
    <w:rsid w:val="000D538A"/>
    <w:rsid w:val="000E2EB7"/>
    <w:rsid w:val="000E51C4"/>
    <w:rsid w:val="000E6CF4"/>
    <w:rsid w:val="000E7329"/>
    <w:rsid w:val="000F5E09"/>
    <w:rsid w:val="00101BBB"/>
    <w:rsid w:val="001030D0"/>
    <w:rsid w:val="0010388B"/>
    <w:rsid w:val="001055B2"/>
    <w:rsid w:val="00105615"/>
    <w:rsid w:val="001076DA"/>
    <w:rsid w:val="00110A8C"/>
    <w:rsid w:val="00111BF1"/>
    <w:rsid w:val="00112138"/>
    <w:rsid w:val="00112BF4"/>
    <w:rsid w:val="00113BD9"/>
    <w:rsid w:val="00115E63"/>
    <w:rsid w:val="0012174C"/>
    <w:rsid w:val="00124F9A"/>
    <w:rsid w:val="0012621B"/>
    <w:rsid w:val="00126AD8"/>
    <w:rsid w:val="00126DDA"/>
    <w:rsid w:val="00127CE0"/>
    <w:rsid w:val="00130A25"/>
    <w:rsid w:val="00132981"/>
    <w:rsid w:val="00132DAC"/>
    <w:rsid w:val="00132DCE"/>
    <w:rsid w:val="001330E1"/>
    <w:rsid w:val="001346F8"/>
    <w:rsid w:val="00135D7D"/>
    <w:rsid w:val="001418A1"/>
    <w:rsid w:val="001437C9"/>
    <w:rsid w:val="00144158"/>
    <w:rsid w:val="0014505C"/>
    <w:rsid w:val="00147E25"/>
    <w:rsid w:val="001532A3"/>
    <w:rsid w:val="00155FCB"/>
    <w:rsid w:val="00161994"/>
    <w:rsid w:val="001656AE"/>
    <w:rsid w:val="00170298"/>
    <w:rsid w:val="00171E56"/>
    <w:rsid w:val="001720AA"/>
    <w:rsid w:val="00180534"/>
    <w:rsid w:val="00180694"/>
    <w:rsid w:val="00185C51"/>
    <w:rsid w:val="00186D7A"/>
    <w:rsid w:val="00187148"/>
    <w:rsid w:val="00190AAF"/>
    <w:rsid w:val="00190E00"/>
    <w:rsid w:val="001921A4"/>
    <w:rsid w:val="00192A55"/>
    <w:rsid w:val="00197A69"/>
    <w:rsid w:val="00197F9F"/>
    <w:rsid w:val="001A0772"/>
    <w:rsid w:val="001A0DF6"/>
    <w:rsid w:val="001A3FB5"/>
    <w:rsid w:val="001B00C4"/>
    <w:rsid w:val="001B5A49"/>
    <w:rsid w:val="001C1A57"/>
    <w:rsid w:val="001C1D3F"/>
    <w:rsid w:val="001C4AE5"/>
    <w:rsid w:val="001D1C3C"/>
    <w:rsid w:val="001D1CE6"/>
    <w:rsid w:val="001D583C"/>
    <w:rsid w:val="001E1997"/>
    <w:rsid w:val="001E417C"/>
    <w:rsid w:val="001E5EC2"/>
    <w:rsid w:val="001E6D42"/>
    <w:rsid w:val="001F0D59"/>
    <w:rsid w:val="001F15B4"/>
    <w:rsid w:val="001F4EC7"/>
    <w:rsid w:val="00205095"/>
    <w:rsid w:val="0021024D"/>
    <w:rsid w:val="00210CAD"/>
    <w:rsid w:val="00214052"/>
    <w:rsid w:val="00214959"/>
    <w:rsid w:val="00214AF9"/>
    <w:rsid w:val="00215807"/>
    <w:rsid w:val="0022001C"/>
    <w:rsid w:val="002203F0"/>
    <w:rsid w:val="00222B0F"/>
    <w:rsid w:val="00225374"/>
    <w:rsid w:val="00226DD3"/>
    <w:rsid w:val="00226FFB"/>
    <w:rsid w:val="0022700E"/>
    <w:rsid w:val="00230C44"/>
    <w:rsid w:val="00236712"/>
    <w:rsid w:val="0023682B"/>
    <w:rsid w:val="00242EDE"/>
    <w:rsid w:val="00243992"/>
    <w:rsid w:val="00244054"/>
    <w:rsid w:val="00244D2A"/>
    <w:rsid w:val="002456AB"/>
    <w:rsid w:val="00245D78"/>
    <w:rsid w:val="00252F1F"/>
    <w:rsid w:val="00255C0C"/>
    <w:rsid w:val="00256EAC"/>
    <w:rsid w:val="0025794B"/>
    <w:rsid w:val="002608D7"/>
    <w:rsid w:val="00262ACC"/>
    <w:rsid w:val="00262F30"/>
    <w:rsid w:val="00264B6C"/>
    <w:rsid w:val="00265432"/>
    <w:rsid w:val="00266CF7"/>
    <w:rsid w:val="00270F6A"/>
    <w:rsid w:val="00271804"/>
    <w:rsid w:val="00275918"/>
    <w:rsid w:val="00277F20"/>
    <w:rsid w:val="002800B7"/>
    <w:rsid w:val="00280386"/>
    <w:rsid w:val="00281EFF"/>
    <w:rsid w:val="00282307"/>
    <w:rsid w:val="00282601"/>
    <w:rsid w:val="00286BE7"/>
    <w:rsid w:val="00286F7D"/>
    <w:rsid w:val="00287A36"/>
    <w:rsid w:val="00292065"/>
    <w:rsid w:val="00295A00"/>
    <w:rsid w:val="00295DB5"/>
    <w:rsid w:val="0029687C"/>
    <w:rsid w:val="0029775C"/>
    <w:rsid w:val="00297C67"/>
    <w:rsid w:val="002A297C"/>
    <w:rsid w:val="002A4A96"/>
    <w:rsid w:val="002A64C5"/>
    <w:rsid w:val="002B2058"/>
    <w:rsid w:val="002B3896"/>
    <w:rsid w:val="002B6083"/>
    <w:rsid w:val="002C1023"/>
    <w:rsid w:val="002C1C47"/>
    <w:rsid w:val="002C23AC"/>
    <w:rsid w:val="002C3F52"/>
    <w:rsid w:val="002C4756"/>
    <w:rsid w:val="002C6568"/>
    <w:rsid w:val="002C756E"/>
    <w:rsid w:val="002D0CB8"/>
    <w:rsid w:val="002D3B6C"/>
    <w:rsid w:val="002D4101"/>
    <w:rsid w:val="002D481C"/>
    <w:rsid w:val="002D73B4"/>
    <w:rsid w:val="002E014B"/>
    <w:rsid w:val="002E20F4"/>
    <w:rsid w:val="002E5A8A"/>
    <w:rsid w:val="002F085F"/>
    <w:rsid w:val="002F3685"/>
    <w:rsid w:val="002F3B8F"/>
    <w:rsid w:val="002F4093"/>
    <w:rsid w:val="00304251"/>
    <w:rsid w:val="0030503F"/>
    <w:rsid w:val="00306277"/>
    <w:rsid w:val="00310D00"/>
    <w:rsid w:val="00312AE0"/>
    <w:rsid w:val="003152C8"/>
    <w:rsid w:val="00315EE0"/>
    <w:rsid w:val="0032056E"/>
    <w:rsid w:val="0032615B"/>
    <w:rsid w:val="00330252"/>
    <w:rsid w:val="00330C7C"/>
    <w:rsid w:val="00334B38"/>
    <w:rsid w:val="00336A39"/>
    <w:rsid w:val="003371CC"/>
    <w:rsid w:val="00337772"/>
    <w:rsid w:val="00342804"/>
    <w:rsid w:val="00342EAF"/>
    <w:rsid w:val="0034461B"/>
    <w:rsid w:val="00347DE3"/>
    <w:rsid w:val="003503AC"/>
    <w:rsid w:val="00351215"/>
    <w:rsid w:val="0035352B"/>
    <w:rsid w:val="00354CAB"/>
    <w:rsid w:val="00355832"/>
    <w:rsid w:val="00355A65"/>
    <w:rsid w:val="00356B6D"/>
    <w:rsid w:val="003571F2"/>
    <w:rsid w:val="00363517"/>
    <w:rsid w:val="0036383C"/>
    <w:rsid w:val="0036436C"/>
    <w:rsid w:val="003652C7"/>
    <w:rsid w:val="00366A13"/>
    <w:rsid w:val="00367361"/>
    <w:rsid w:val="003675BC"/>
    <w:rsid w:val="00376252"/>
    <w:rsid w:val="00384595"/>
    <w:rsid w:val="00391875"/>
    <w:rsid w:val="00393199"/>
    <w:rsid w:val="00394EAB"/>
    <w:rsid w:val="00396EE6"/>
    <w:rsid w:val="003970F9"/>
    <w:rsid w:val="003A140A"/>
    <w:rsid w:val="003A184B"/>
    <w:rsid w:val="003A652B"/>
    <w:rsid w:val="003B115D"/>
    <w:rsid w:val="003B254F"/>
    <w:rsid w:val="003B508A"/>
    <w:rsid w:val="003B5E9F"/>
    <w:rsid w:val="003B64B1"/>
    <w:rsid w:val="003B788D"/>
    <w:rsid w:val="003C240B"/>
    <w:rsid w:val="003C6249"/>
    <w:rsid w:val="003C6686"/>
    <w:rsid w:val="003D3BF0"/>
    <w:rsid w:val="003E27D5"/>
    <w:rsid w:val="003E31DD"/>
    <w:rsid w:val="003E52CB"/>
    <w:rsid w:val="003E7209"/>
    <w:rsid w:val="003F1FE5"/>
    <w:rsid w:val="003F22EF"/>
    <w:rsid w:val="003F315D"/>
    <w:rsid w:val="003F47AD"/>
    <w:rsid w:val="003F7518"/>
    <w:rsid w:val="00402217"/>
    <w:rsid w:val="00403183"/>
    <w:rsid w:val="0040743C"/>
    <w:rsid w:val="00413422"/>
    <w:rsid w:val="00413BBA"/>
    <w:rsid w:val="004167FB"/>
    <w:rsid w:val="00416DFC"/>
    <w:rsid w:val="00416E3D"/>
    <w:rsid w:val="00425E03"/>
    <w:rsid w:val="00427983"/>
    <w:rsid w:val="00427F8D"/>
    <w:rsid w:val="004311F2"/>
    <w:rsid w:val="00433071"/>
    <w:rsid w:val="00434D57"/>
    <w:rsid w:val="00436E61"/>
    <w:rsid w:val="0043747D"/>
    <w:rsid w:val="00445EF7"/>
    <w:rsid w:val="004473FE"/>
    <w:rsid w:val="00450805"/>
    <w:rsid w:val="00452EA1"/>
    <w:rsid w:val="004571F1"/>
    <w:rsid w:val="00461BA4"/>
    <w:rsid w:val="00462844"/>
    <w:rsid w:val="00464437"/>
    <w:rsid w:val="00464ABB"/>
    <w:rsid w:val="004669D5"/>
    <w:rsid w:val="0047778C"/>
    <w:rsid w:val="00480771"/>
    <w:rsid w:val="0048272B"/>
    <w:rsid w:val="00485EA2"/>
    <w:rsid w:val="00487EFD"/>
    <w:rsid w:val="004907FE"/>
    <w:rsid w:val="00493903"/>
    <w:rsid w:val="00495C0F"/>
    <w:rsid w:val="004960F7"/>
    <w:rsid w:val="004A126C"/>
    <w:rsid w:val="004A1AE7"/>
    <w:rsid w:val="004A230C"/>
    <w:rsid w:val="004A2DFA"/>
    <w:rsid w:val="004A38A0"/>
    <w:rsid w:val="004A393C"/>
    <w:rsid w:val="004A3FA4"/>
    <w:rsid w:val="004A446C"/>
    <w:rsid w:val="004A46E1"/>
    <w:rsid w:val="004A67E3"/>
    <w:rsid w:val="004A7350"/>
    <w:rsid w:val="004B6E3E"/>
    <w:rsid w:val="004C0E7F"/>
    <w:rsid w:val="004C4EEF"/>
    <w:rsid w:val="004C56BC"/>
    <w:rsid w:val="004C741B"/>
    <w:rsid w:val="004D1597"/>
    <w:rsid w:val="004D3DE6"/>
    <w:rsid w:val="004D5C54"/>
    <w:rsid w:val="004D622E"/>
    <w:rsid w:val="004E06FB"/>
    <w:rsid w:val="004E2031"/>
    <w:rsid w:val="004E4138"/>
    <w:rsid w:val="004E7756"/>
    <w:rsid w:val="004F0FF6"/>
    <w:rsid w:val="004F6355"/>
    <w:rsid w:val="004F6692"/>
    <w:rsid w:val="00500986"/>
    <w:rsid w:val="00503075"/>
    <w:rsid w:val="00503457"/>
    <w:rsid w:val="0050768F"/>
    <w:rsid w:val="00507A87"/>
    <w:rsid w:val="00510D91"/>
    <w:rsid w:val="00511043"/>
    <w:rsid w:val="00511840"/>
    <w:rsid w:val="00514843"/>
    <w:rsid w:val="0051556A"/>
    <w:rsid w:val="005214F2"/>
    <w:rsid w:val="005230AF"/>
    <w:rsid w:val="0052352F"/>
    <w:rsid w:val="0053156D"/>
    <w:rsid w:val="00532526"/>
    <w:rsid w:val="00534890"/>
    <w:rsid w:val="005416DC"/>
    <w:rsid w:val="00541C1B"/>
    <w:rsid w:val="00542F1E"/>
    <w:rsid w:val="005449AE"/>
    <w:rsid w:val="00544FDB"/>
    <w:rsid w:val="00546561"/>
    <w:rsid w:val="00547107"/>
    <w:rsid w:val="00547CD4"/>
    <w:rsid w:val="005511BA"/>
    <w:rsid w:val="00551734"/>
    <w:rsid w:val="005545EE"/>
    <w:rsid w:val="00556A1C"/>
    <w:rsid w:val="00557B66"/>
    <w:rsid w:val="00562A37"/>
    <w:rsid w:val="00563161"/>
    <w:rsid w:val="00563B68"/>
    <w:rsid w:val="00564E2B"/>
    <w:rsid w:val="0056560B"/>
    <w:rsid w:val="00567C54"/>
    <w:rsid w:val="005702FB"/>
    <w:rsid w:val="00571FA2"/>
    <w:rsid w:val="0057222B"/>
    <w:rsid w:val="00572EF6"/>
    <w:rsid w:val="00574924"/>
    <w:rsid w:val="00574A23"/>
    <w:rsid w:val="0057559E"/>
    <w:rsid w:val="00580BE5"/>
    <w:rsid w:val="0058267C"/>
    <w:rsid w:val="00584DD9"/>
    <w:rsid w:val="0058599B"/>
    <w:rsid w:val="00585A15"/>
    <w:rsid w:val="00590089"/>
    <w:rsid w:val="005919D5"/>
    <w:rsid w:val="00595F96"/>
    <w:rsid w:val="005A0C6B"/>
    <w:rsid w:val="005A0D02"/>
    <w:rsid w:val="005A19ED"/>
    <w:rsid w:val="005A6158"/>
    <w:rsid w:val="005A7603"/>
    <w:rsid w:val="005B128A"/>
    <w:rsid w:val="005B2EBF"/>
    <w:rsid w:val="005B708F"/>
    <w:rsid w:val="005B7331"/>
    <w:rsid w:val="005C3844"/>
    <w:rsid w:val="005C613D"/>
    <w:rsid w:val="005D1F2B"/>
    <w:rsid w:val="005D66D2"/>
    <w:rsid w:val="005E07A2"/>
    <w:rsid w:val="005E0D7C"/>
    <w:rsid w:val="005E340D"/>
    <w:rsid w:val="005E5647"/>
    <w:rsid w:val="005E78A1"/>
    <w:rsid w:val="005F573A"/>
    <w:rsid w:val="005F5A12"/>
    <w:rsid w:val="005F73C5"/>
    <w:rsid w:val="006008DA"/>
    <w:rsid w:val="006042F3"/>
    <w:rsid w:val="00604886"/>
    <w:rsid w:val="006107E2"/>
    <w:rsid w:val="00611747"/>
    <w:rsid w:val="00612D6B"/>
    <w:rsid w:val="00613B7D"/>
    <w:rsid w:val="00613BF4"/>
    <w:rsid w:val="006154A0"/>
    <w:rsid w:val="00617D97"/>
    <w:rsid w:val="00620461"/>
    <w:rsid w:val="00622161"/>
    <w:rsid w:val="00623005"/>
    <w:rsid w:val="00624A1C"/>
    <w:rsid w:val="006276A9"/>
    <w:rsid w:val="00631BC9"/>
    <w:rsid w:val="0063444F"/>
    <w:rsid w:val="0063615D"/>
    <w:rsid w:val="00636878"/>
    <w:rsid w:val="0064068B"/>
    <w:rsid w:val="00642A44"/>
    <w:rsid w:val="006453B6"/>
    <w:rsid w:val="006475E1"/>
    <w:rsid w:val="00655884"/>
    <w:rsid w:val="0065720B"/>
    <w:rsid w:val="00657224"/>
    <w:rsid w:val="00660C57"/>
    <w:rsid w:val="006642CA"/>
    <w:rsid w:val="0066600C"/>
    <w:rsid w:val="00666B79"/>
    <w:rsid w:val="00670AFF"/>
    <w:rsid w:val="00671597"/>
    <w:rsid w:val="00672FA3"/>
    <w:rsid w:val="006735E3"/>
    <w:rsid w:val="00674933"/>
    <w:rsid w:val="00674DDF"/>
    <w:rsid w:val="006815BC"/>
    <w:rsid w:val="00681C9B"/>
    <w:rsid w:val="0068226A"/>
    <w:rsid w:val="00683F80"/>
    <w:rsid w:val="0068495E"/>
    <w:rsid w:val="006866E0"/>
    <w:rsid w:val="00686BE7"/>
    <w:rsid w:val="0069031B"/>
    <w:rsid w:val="00690B26"/>
    <w:rsid w:val="006927BC"/>
    <w:rsid w:val="006946DC"/>
    <w:rsid w:val="00697329"/>
    <w:rsid w:val="006A3650"/>
    <w:rsid w:val="006A6B40"/>
    <w:rsid w:val="006B20FF"/>
    <w:rsid w:val="006B2F21"/>
    <w:rsid w:val="006B3E0B"/>
    <w:rsid w:val="006C0316"/>
    <w:rsid w:val="006C0B7F"/>
    <w:rsid w:val="006C3425"/>
    <w:rsid w:val="006C4159"/>
    <w:rsid w:val="006C59B4"/>
    <w:rsid w:val="006C5A8A"/>
    <w:rsid w:val="006C724A"/>
    <w:rsid w:val="006C7D14"/>
    <w:rsid w:val="006D562C"/>
    <w:rsid w:val="006E1588"/>
    <w:rsid w:val="006E191C"/>
    <w:rsid w:val="006E3C1A"/>
    <w:rsid w:val="006E4DAD"/>
    <w:rsid w:val="006E5181"/>
    <w:rsid w:val="006E71BF"/>
    <w:rsid w:val="006F120E"/>
    <w:rsid w:val="006F1265"/>
    <w:rsid w:val="00702C22"/>
    <w:rsid w:val="007050F1"/>
    <w:rsid w:val="007072F4"/>
    <w:rsid w:val="0071478B"/>
    <w:rsid w:val="007171F5"/>
    <w:rsid w:val="007177A7"/>
    <w:rsid w:val="00722481"/>
    <w:rsid w:val="007262DE"/>
    <w:rsid w:val="00726741"/>
    <w:rsid w:val="00730B1B"/>
    <w:rsid w:val="00732AA3"/>
    <w:rsid w:val="007366C3"/>
    <w:rsid w:val="00741856"/>
    <w:rsid w:val="00742EDB"/>
    <w:rsid w:val="00744883"/>
    <w:rsid w:val="00747FAD"/>
    <w:rsid w:val="007503E4"/>
    <w:rsid w:val="007505E4"/>
    <w:rsid w:val="00750610"/>
    <w:rsid w:val="007525C9"/>
    <w:rsid w:val="00753A3B"/>
    <w:rsid w:val="007569E8"/>
    <w:rsid w:val="00756CE9"/>
    <w:rsid w:val="00761721"/>
    <w:rsid w:val="00766EEC"/>
    <w:rsid w:val="00775BC6"/>
    <w:rsid w:val="00776615"/>
    <w:rsid w:val="0078033C"/>
    <w:rsid w:val="00780970"/>
    <w:rsid w:val="00781CED"/>
    <w:rsid w:val="0078394B"/>
    <w:rsid w:val="00783E3B"/>
    <w:rsid w:val="00784892"/>
    <w:rsid w:val="00787335"/>
    <w:rsid w:val="00787BA2"/>
    <w:rsid w:val="00790FDA"/>
    <w:rsid w:val="0079121E"/>
    <w:rsid w:val="00791A10"/>
    <w:rsid w:val="0079360B"/>
    <w:rsid w:val="007A0FB7"/>
    <w:rsid w:val="007A175C"/>
    <w:rsid w:val="007A338A"/>
    <w:rsid w:val="007A64C1"/>
    <w:rsid w:val="007B26FD"/>
    <w:rsid w:val="007C34CA"/>
    <w:rsid w:val="007C56AA"/>
    <w:rsid w:val="007C5A24"/>
    <w:rsid w:val="007C5CDA"/>
    <w:rsid w:val="007C7EA0"/>
    <w:rsid w:val="007D0A7F"/>
    <w:rsid w:val="007D2D9A"/>
    <w:rsid w:val="007D4DB5"/>
    <w:rsid w:val="007D6A45"/>
    <w:rsid w:val="007E5F2D"/>
    <w:rsid w:val="007E6CFB"/>
    <w:rsid w:val="007F0682"/>
    <w:rsid w:val="007F3BE6"/>
    <w:rsid w:val="007F6E54"/>
    <w:rsid w:val="007F7FA3"/>
    <w:rsid w:val="00804632"/>
    <w:rsid w:val="008052B1"/>
    <w:rsid w:val="0080796D"/>
    <w:rsid w:val="0081278C"/>
    <w:rsid w:val="00813872"/>
    <w:rsid w:val="008139E3"/>
    <w:rsid w:val="0081416E"/>
    <w:rsid w:val="008152DC"/>
    <w:rsid w:val="00816ECE"/>
    <w:rsid w:val="00816FBB"/>
    <w:rsid w:val="00825048"/>
    <w:rsid w:val="0082688C"/>
    <w:rsid w:val="00827D2B"/>
    <w:rsid w:val="00833EF6"/>
    <w:rsid w:val="008356A2"/>
    <w:rsid w:val="00835A43"/>
    <w:rsid w:val="00836A6D"/>
    <w:rsid w:val="00841E54"/>
    <w:rsid w:val="0084475C"/>
    <w:rsid w:val="00847B27"/>
    <w:rsid w:val="00850D22"/>
    <w:rsid w:val="00851DD6"/>
    <w:rsid w:val="0085203C"/>
    <w:rsid w:val="008534E5"/>
    <w:rsid w:val="00857BF1"/>
    <w:rsid w:val="008731E8"/>
    <w:rsid w:val="00880220"/>
    <w:rsid w:val="0089044E"/>
    <w:rsid w:val="00894598"/>
    <w:rsid w:val="00894A6E"/>
    <w:rsid w:val="00895ABE"/>
    <w:rsid w:val="008A1A33"/>
    <w:rsid w:val="008A1FE4"/>
    <w:rsid w:val="008A48BB"/>
    <w:rsid w:val="008A6A34"/>
    <w:rsid w:val="008B5FC5"/>
    <w:rsid w:val="008B668A"/>
    <w:rsid w:val="008C085D"/>
    <w:rsid w:val="008C256B"/>
    <w:rsid w:val="008C51F2"/>
    <w:rsid w:val="008C6987"/>
    <w:rsid w:val="008D0322"/>
    <w:rsid w:val="008D46AB"/>
    <w:rsid w:val="008D5DAB"/>
    <w:rsid w:val="008D7117"/>
    <w:rsid w:val="008E0376"/>
    <w:rsid w:val="008E41D4"/>
    <w:rsid w:val="008E73CD"/>
    <w:rsid w:val="008F0460"/>
    <w:rsid w:val="008F14BE"/>
    <w:rsid w:val="008F29C1"/>
    <w:rsid w:val="008F2B09"/>
    <w:rsid w:val="008F3644"/>
    <w:rsid w:val="008F3DFD"/>
    <w:rsid w:val="008F5D1E"/>
    <w:rsid w:val="00900167"/>
    <w:rsid w:val="0091336D"/>
    <w:rsid w:val="00913978"/>
    <w:rsid w:val="00915E05"/>
    <w:rsid w:val="00934D96"/>
    <w:rsid w:val="00936469"/>
    <w:rsid w:val="00936E18"/>
    <w:rsid w:val="009403A8"/>
    <w:rsid w:val="0094043A"/>
    <w:rsid w:val="00943585"/>
    <w:rsid w:val="00944059"/>
    <w:rsid w:val="0094483A"/>
    <w:rsid w:val="00944A26"/>
    <w:rsid w:val="00946BDE"/>
    <w:rsid w:val="00950EEF"/>
    <w:rsid w:val="00956492"/>
    <w:rsid w:val="00960BFB"/>
    <w:rsid w:val="009615EE"/>
    <w:rsid w:val="009621C3"/>
    <w:rsid w:val="00964597"/>
    <w:rsid w:val="00965693"/>
    <w:rsid w:val="009662C7"/>
    <w:rsid w:val="009700D6"/>
    <w:rsid w:val="00971280"/>
    <w:rsid w:val="00971DEB"/>
    <w:rsid w:val="00973A10"/>
    <w:rsid w:val="00980820"/>
    <w:rsid w:val="0098557F"/>
    <w:rsid w:val="00987EC1"/>
    <w:rsid w:val="00990633"/>
    <w:rsid w:val="00990D12"/>
    <w:rsid w:val="0099697B"/>
    <w:rsid w:val="00997F1B"/>
    <w:rsid w:val="009A2101"/>
    <w:rsid w:val="009A3642"/>
    <w:rsid w:val="009A63D2"/>
    <w:rsid w:val="009B05E9"/>
    <w:rsid w:val="009B160C"/>
    <w:rsid w:val="009B1DD6"/>
    <w:rsid w:val="009B4085"/>
    <w:rsid w:val="009B4A74"/>
    <w:rsid w:val="009C0A39"/>
    <w:rsid w:val="009C151B"/>
    <w:rsid w:val="009C61E1"/>
    <w:rsid w:val="009D2617"/>
    <w:rsid w:val="009D27EE"/>
    <w:rsid w:val="009D5BD3"/>
    <w:rsid w:val="009D6D0A"/>
    <w:rsid w:val="009E04E9"/>
    <w:rsid w:val="009E2DD8"/>
    <w:rsid w:val="009E6505"/>
    <w:rsid w:val="009E7731"/>
    <w:rsid w:val="009F0572"/>
    <w:rsid w:val="009F082E"/>
    <w:rsid w:val="009F2BCD"/>
    <w:rsid w:val="009F68EA"/>
    <w:rsid w:val="009F7786"/>
    <w:rsid w:val="009F7942"/>
    <w:rsid w:val="00A00306"/>
    <w:rsid w:val="00A00D96"/>
    <w:rsid w:val="00A01F4F"/>
    <w:rsid w:val="00A0301B"/>
    <w:rsid w:val="00A04477"/>
    <w:rsid w:val="00A04C73"/>
    <w:rsid w:val="00A0593F"/>
    <w:rsid w:val="00A063E6"/>
    <w:rsid w:val="00A108D5"/>
    <w:rsid w:val="00A11961"/>
    <w:rsid w:val="00A1360A"/>
    <w:rsid w:val="00A23104"/>
    <w:rsid w:val="00A26FA8"/>
    <w:rsid w:val="00A30599"/>
    <w:rsid w:val="00A30AF9"/>
    <w:rsid w:val="00A321A1"/>
    <w:rsid w:val="00A33557"/>
    <w:rsid w:val="00A35269"/>
    <w:rsid w:val="00A37133"/>
    <w:rsid w:val="00A37515"/>
    <w:rsid w:val="00A44F55"/>
    <w:rsid w:val="00A57BEA"/>
    <w:rsid w:val="00A60C9E"/>
    <w:rsid w:val="00A637AA"/>
    <w:rsid w:val="00A64794"/>
    <w:rsid w:val="00A72DE2"/>
    <w:rsid w:val="00A80F61"/>
    <w:rsid w:val="00A86AA1"/>
    <w:rsid w:val="00A922CF"/>
    <w:rsid w:val="00A92EDB"/>
    <w:rsid w:val="00A96609"/>
    <w:rsid w:val="00AA2842"/>
    <w:rsid w:val="00AA5551"/>
    <w:rsid w:val="00AA6464"/>
    <w:rsid w:val="00AB18F0"/>
    <w:rsid w:val="00AB22CD"/>
    <w:rsid w:val="00AB4AB6"/>
    <w:rsid w:val="00AB5121"/>
    <w:rsid w:val="00AC2815"/>
    <w:rsid w:val="00AC4013"/>
    <w:rsid w:val="00AC492D"/>
    <w:rsid w:val="00AC5F0E"/>
    <w:rsid w:val="00AC6BDC"/>
    <w:rsid w:val="00AD000F"/>
    <w:rsid w:val="00AD1ADC"/>
    <w:rsid w:val="00AD248B"/>
    <w:rsid w:val="00AD2B04"/>
    <w:rsid w:val="00AE0D1D"/>
    <w:rsid w:val="00AE4DB0"/>
    <w:rsid w:val="00AE505E"/>
    <w:rsid w:val="00AE5293"/>
    <w:rsid w:val="00AE6C8F"/>
    <w:rsid w:val="00AF1120"/>
    <w:rsid w:val="00AF21AF"/>
    <w:rsid w:val="00AF341B"/>
    <w:rsid w:val="00AF5AC3"/>
    <w:rsid w:val="00B002EA"/>
    <w:rsid w:val="00B015F9"/>
    <w:rsid w:val="00B01D99"/>
    <w:rsid w:val="00B02A36"/>
    <w:rsid w:val="00B03080"/>
    <w:rsid w:val="00B03B41"/>
    <w:rsid w:val="00B04413"/>
    <w:rsid w:val="00B06589"/>
    <w:rsid w:val="00B11963"/>
    <w:rsid w:val="00B125BC"/>
    <w:rsid w:val="00B13C1A"/>
    <w:rsid w:val="00B16CE7"/>
    <w:rsid w:val="00B17098"/>
    <w:rsid w:val="00B17F46"/>
    <w:rsid w:val="00B2093B"/>
    <w:rsid w:val="00B21A19"/>
    <w:rsid w:val="00B21C5A"/>
    <w:rsid w:val="00B31445"/>
    <w:rsid w:val="00B32BE2"/>
    <w:rsid w:val="00B332FB"/>
    <w:rsid w:val="00B3404F"/>
    <w:rsid w:val="00B353E6"/>
    <w:rsid w:val="00B36D67"/>
    <w:rsid w:val="00B409EA"/>
    <w:rsid w:val="00B4142B"/>
    <w:rsid w:val="00B42138"/>
    <w:rsid w:val="00B45DF3"/>
    <w:rsid w:val="00B471F1"/>
    <w:rsid w:val="00B474F7"/>
    <w:rsid w:val="00B513E7"/>
    <w:rsid w:val="00B51876"/>
    <w:rsid w:val="00B51ED3"/>
    <w:rsid w:val="00B5338F"/>
    <w:rsid w:val="00B542D9"/>
    <w:rsid w:val="00B546DC"/>
    <w:rsid w:val="00B56130"/>
    <w:rsid w:val="00B567EB"/>
    <w:rsid w:val="00B57F96"/>
    <w:rsid w:val="00B6538B"/>
    <w:rsid w:val="00B65650"/>
    <w:rsid w:val="00B66FF8"/>
    <w:rsid w:val="00B7020C"/>
    <w:rsid w:val="00B7432E"/>
    <w:rsid w:val="00B75066"/>
    <w:rsid w:val="00B75F70"/>
    <w:rsid w:val="00B773C3"/>
    <w:rsid w:val="00B809C9"/>
    <w:rsid w:val="00B81034"/>
    <w:rsid w:val="00B81F70"/>
    <w:rsid w:val="00B82292"/>
    <w:rsid w:val="00B84BA8"/>
    <w:rsid w:val="00B914FD"/>
    <w:rsid w:val="00B92E67"/>
    <w:rsid w:val="00B94410"/>
    <w:rsid w:val="00B97246"/>
    <w:rsid w:val="00B9799B"/>
    <w:rsid w:val="00BA032F"/>
    <w:rsid w:val="00BA2CF7"/>
    <w:rsid w:val="00BA2FFA"/>
    <w:rsid w:val="00BA5A3F"/>
    <w:rsid w:val="00BA7B81"/>
    <w:rsid w:val="00BB2B24"/>
    <w:rsid w:val="00BB2EAB"/>
    <w:rsid w:val="00BB461A"/>
    <w:rsid w:val="00BB5775"/>
    <w:rsid w:val="00BB5FCD"/>
    <w:rsid w:val="00BC0F28"/>
    <w:rsid w:val="00BC1D57"/>
    <w:rsid w:val="00BC267B"/>
    <w:rsid w:val="00BC732E"/>
    <w:rsid w:val="00BD0326"/>
    <w:rsid w:val="00BD2E10"/>
    <w:rsid w:val="00BD476C"/>
    <w:rsid w:val="00BD4B6E"/>
    <w:rsid w:val="00BD4DD3"/>
    <w:rsid w:val="00BD5D53"/>
    <w:rsid w:val="00BE0B9A"/>
    <w:rsid w:val="00BE15B8"/>
    <w:rsid w:val="00BE248A"/>
    <w:rsid w:val="00BE7E25"/>
    <w:rsid w:val="00BF398D"/>
    <w:rsid w:val="00BF7DAE"/>
    <w:rsid w:val="00C001FB"/>
    <w:rsid w:val="00C0093A"/>
    <w:rsid w:val="00C0443D"/>
    <w:rsid w:val="00C04CD4"/>
    <w:rsid w:val="00C119AB"/>
    <w:rsid w:val="00C17662"/>
    <w:rsid w:val="00C2100A"/>
    <w:rsid w:val="00C2506E"/>
    <w:rsid w:val="00C2602C"/>
    <w:rsid w:val="00C26F07"/>
    <w:rsid w:val="00C27835"/>
    <w:rsid w:val="00C34147"/>
    <w:rsid w:val="00C3418F"/>
    <w:rsid w:val="00C346C5"/>
    <w:rsid w:val="00C348CE"/>
    <w:rsid w:val="00C35165"/>
    <w:rsid w:val="00C358A5"/>
    <w:rsid w:val="00C366CF"/>
    <w:rsid w:val="00C40CA5"/>
    <w:rsid w:val="00C41C39"/>
    <w:rsid w:val="00C44282"/>
    <w:rsid w:val="00C4697C"/>
    <w:rsid w:val="00C47B29"/>
    <w:rsid w:val="00C545A4"/>
    <w:rsid w:val="00C5463A"/>
    <w:rsid w:val="00C555E8"/>
    <w:rsid w:val="00C60C3D"/>
    <w:rsid w:val="00C61F1A"/>
    <w:rsid w:val="00C62D54"/>
    <w:rsid w:val="00C65E46"/>
    <w:rsid w:val="00C668A9"/>
    <w:rsid w:val="00C73928"/>
    <w:rsid w:val="00C77070"/>
    <w:rsid w:val="00C77422"/>
    <w:rsid w:val="00C82694"/>
    <w:rsid w:val="00C828A6"/>
    <w:rsid w:val="00C874DC"/>
    <w:rsid w:val="00C87652"/>
    <w:rsid w:val="00C92661"/>
    <w:rsid w:val="00C92FA2"/>
    <w:rsid w:val="00C946FA"/>
    <w:rsid w:val="00C959D6"/>
    <w:rsid w:val="00C976A4"/>
    <w:rsid w:val="00CA09FB"/>
    <w:rsid w:val="00CA4903"/>
    <w:rsid w:val="00CB0204"/>
    <w:rsid w:val="00CB2E3A"/>
    <w:rsid w:val="00CC01B4"/>
    <w:rsid w:val="00CC4486"/>
    <w:rsid w:val="00CC46C9"/>
    <w:rsid w:val="00CC4CFB"/>
    <w:rsid w:val="00CC78D4"/>
    <w:rsid w:val="00CC7B69"/>
    <w:rsid w:val="00CD14A2"/>
    <w:rsid w:val="00CD2E88"/>
    <w:rsid w:val="00CD509D"/>
    <w:rsid w:val="00CE2F7A"/>
    <w:rsid w:val="00CE3675"/>
    <w:rsid w:val="00CE6568"/>
    <w:rsid w:val="00CF00E0"/>
    <w:rsid w:val="00CF2AA8"/>
    <w:rsid w:val="00CF35E2"/>
    <w:rsid w:val="00D00F21"/>
    <w:rsid w:val="00D0179C"/>
    <w:rsid w:val="00D0350E"/>
    <w:rsid w:val="00D05FF5"/>
    <w:rsid w:val="00D10B9E"/>
    <w:rsid w:val="00D12B37"/>
    <w:rsid w:val="00D17035"/>
    <w:rsid w:val="00D20119"/>
    <w:rsid w:val="00D201DF"/>
    <w:rsid w:val="00D221A7"/>
    <w:rsid w:val="00D2271A"/>
    <w:rsid w:val="00D24370"/>
    <w:rsid w:val="00D26309"/>
    <w:rsid w:val="00D27393"/>
    <w:rsid w:val="00D3149B"/>
    <w:rsid w:val="00D327ED"/>
    <w:rsid w:val="00D35723"/>
    <w:rsid w:val="00D362F2"/>
    <w:rsid w:val="00D37A9F"/>
    <w:rsid w:val="00D4113E"/>
    <w:rsid w:val="00D44AC5"/>
    <w:rsid w:val="00D47231"/>
    <w:rsid w:val="00D506AD"/>
    <w:rsid w:val="00D56DE5"/>
    <w:rsid w:val="00D62785"/>
    <w:rsid w:val="00D64438"/>
    <w:rsid w:val="00D66FDA"/>
    <w:rsid w:val="00D670B6"/>
    <w:rsid w:val="00D674A3"/>
    <w:rsid w:val="00D73664"/>
    <w:rsid w:val="00D7499A"/>
    <w:rsid w:val="00D7595E"/>
    <w:rsid w:val="00D77A39"/>
    <w:rsid w:val="00D82172"/>
    <w:rsid w:val="00D8374F"/>
    <w:rsid w:val="00D83FC1"/>
    <w:rsid w:val="00D84A95"/>
    <w:rsid w:val="00D87639"/>
    <w:rsid w:val="00DA38FE"/>
    <w:rsid w:val="00DA436C"/>
    <w:rsid w:val="00DA5555"/>
    <w:rsid w:val="00DA5893"/>
    <w:rsid w:val="00DB04BD"/>
    <w:rsid w:val="00DB0E48"/>
    <w:rsid w:val="00DB2929"/>
    <w:rsid w:val="00DB2D3B"/>
    <w:rsid w:val="00DB32EA"/>
    <w:rsid w:val="00DB5156"/>
    <w:rsid w:val="00DC3116"/>
    <w:rsid w:val="00DC31D0"/>
    <w:rsid w:val="00DC6920"/>
    <w:rsid w:val="00DC729D"/>
    <w:rsid w:val="00DC7B04"/>
    <w:rsid w:val="00DD0B7D"/>
    <w:rsid w:val="00DD16B9"/>
    <w:rsid w:val="00DD4645"/>
    <w:rsid w:val="00DD46FD"/>
    <w:rsid w:val="00DD5390"/>
    <w:rsid w:val="00DD5ADB"/>
    <w:rsid w:val="00DD6FEA"/>
    <w:rsid w:val="00DE03DC"/>
    <w:rsid w:val="00DE638F"/>
    <w:rsid w:val="00DE6FF5"/>
    <w:rsid w:val="00DF04EB"/>
    <w:rsid w:val="00DF0957"/>
    <w:rsid w:val="00DF3BF9"/>
    <w:rsid w:val="00DF6DC5"/>
    <w:rsid w:val="00E00FFB"/>
    <w:rsid w:val="00E042B1"/>
    <w:rsid w:val="00E05AD7"/>
    <w:rsid w:val="00E05D75"/>
    <w:rsid w:val="00E06513"/>
    <w:rsid w:val="00E078DE"/>
    <w:rsid w:val="00E1586E"/>
    <w:rsid w:val="00E21454"/>
    <w:rsid w:val="00E22B2B"/>
    <w:rsid w:val="00E27369"/>
    <w:rsid w:val="00E312C8"/>
    <w:rsid w:val="00E312F0"/>
    <w:rsid w:val="00E31DE1"/>
    <w:rsid w:val="00E32270"/>
    <w:rsid w:val="00E32850"/>
    <w:rsid w:val="00E32F5A"/>
    <w:rsid w:val="00E36477"/>
    <w:rsid w:val="00E37D6F"/>
    <w:rsid w:val="00E44C33"/>
    <w:rsid w:val="00E45B3E"/>
    <w:rsid w:val="00E46A2E"/>
    <w:rsid w:val="00E50A83"/>
    <w:rsid w:val="00E51DA7"/>
    <w:rsid w:val="00E75813"/>
    <w:rsid w:val="00E75DE9"/>
    <w:rsid w:val="00E76831"/>
    <w:rsid w:val="00E8201F"/>
    <w:rsid w:val="00E85B22"/>
    <w:rsid w:val="00E90BDD"/>
    <w:rsid w:val="00E91699"/>
    <w:rsid w:val="00E93826"/>
    <w:rsid w:val="00E93B9F"/>
    <w:rsid w:val="00E95485"/>
    <w:rsid w:val="00EA13BA"/>
    <w:rsid w:val="00EA1E5D"/>
    <w:rsid w:val="00EA2E61"/>
    <w:rsid w:val="00EB08D2"/>
    <w:rsid w:val="00EB3624"/>
    <w:rsid w:val="00EB6624"/>
    <w:rsid w:val="00ED258B"/>
    <w:rsid w:val="00ED2C7E"/>
    <w:rsid w:val="00ED506E"/>
    <w:rsid w:val="00ED62AF"/>
    <w:rsid w:val="00EE0388"/>
    <w:rsid w:val="00EE0FD8"/>
    <w:rsid w:val="00EE7F70"/>
    <w:rsid w:val="00EF0BDA"/>
    <w:rsid w:val="00EF2307"/>
    <w:rsid w:val="00F0189E"/>
    <w:rsid w:val="00F0251A"/>
    <w:rsid w:val="00F02D38"/>
    <w:rsid w:val="00F052BD"/>
    <w:rsid w:val="00F10910"/>
    <w:rsid w:val="00F1143B"/>
    <w:rsid w:val="00F12F24"/>
    <w:rsid w:val="00F14064"/>
    <w:rsid w:val="00F14360"/>
    <w:rsid w:val="00F17B84"/>
    <w:rsid w:val="00F20957"/>
    <w:rsid w:val="00F216AA"/>
    <w:rsid w:val="00F219DE"/>
    <w:rsid w:val="00F22F31"/>
    <w:rsid w:val="00F26B01"/>
    <w:rsid w:val="00F3035E"/>
    <w:rsid w:val="00F30D8A"/>
    <w:rsid w:val="00F30DC9"/>
    <w:rsid w:val="00F316D7"/>
    <w:rsid w:val="00F318E4"/>
    <w:rsid w:val="00F32B41"/>
    <w:rsid w:val="00F331F7"/>
    <w:rsid w:val="00F355A2"/>
    <w:rsid w:val="00F40566"/>
    <w:rsid w:val="00F44131"/>
    <w:rsid w:val="00F446C2"/>
    <w:rsid w:val="00F449C0"/>
    <w:rsid w:val="00F45DB1"/>
    <w:rsid w:val="00F465B7"/>
    <w:rsid w:val="00F506D7"/>
    <w:rsid w:val="00F516D6"/>
    <w:rsid w:val="00F51B9B"/>
    <w:rsid w:val="00F534A3"/>
    <w:rsid w:val="00F53519"/>
    <w:rsid w:val="00F54A71"/>
    <w:rsid w:val="00F57799"/>
    <w:rsid w:val="00F64D59"/>
    <w:rsid w:val="00F65EA0"/>
    <w:rsid w:val="00F67647"/>
    <w:rsid w:val="00F70647"/>
    <w:rsid w:val="00F7235C"/>
    <w:rsid w:val="00F72800"/>
    <w:rsid w:val="00F8057E"/>
    <w:rsid w:val="00F83833"/>
    <w:rsid w:val="00F83A5B"/>
    <w:rsid w:val="00F849AE"/>
    <w:rsid w:val="00F85FF6"/>
    <w:rsid w:val="00F8693F"/>
    <w:rsid w:val="00F90D08"/>
    <w:rsid w:val="00F91035"/>
    <w:rsid w:val="00F92AA9"/>
    <w:rsid w:val="00F92ED6"/>
    <w:rsid w:val="00F9562E"/>
    <w:rsid w:val="00FA108B"/>
    <w:rsid w:val="00FA4D35"/>
    <w:rsid w:val="00FA6031"/>
    <w:rsid w:val="00FA7927"/>
    <w:rsid w:val="00FB0050"/>
    <w:rsid w:val="00FB069E"/>
    <w:rsid w:val="00FB1516"/>
    <w:rsid w:val="00FB2363"/>
    <w:rsid w:val="00FB5171"/>
    <w:rsid w:val="00FB51B3"/>
    <w:rsid w:val="00FB600E"/>
    <w:rsid w:val="00FC0903"/>
    <w:rsid w:val="00FC1737"/>
    <w:rsid w:val="00FC337C"/>
    <w:rsid w:val="00FC6C3A"/>
    <w:rsid w:val="00FD2EE6"/>
    <w:rsid w:val="00FD3EA4"/>
    <w:rsid w:val="00FD4C5B"/>
    <w:rsid w:val="00FD6948"/>
    <w:rsid w:val="00FE52C3"/>
    <w:rsid w:val="00FE6A54"/>
    <w:rsid w:val="00FE6A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444A0"/>
  <w15:chartTrackingRefBased/>
  <w15:docId w15:val="{3C92DD2F-7208-49F7-B505-E5629B8D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footnote reference" w:uiPriority="99"/>
    <w:lsdException w:name="Title"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D53"/>
  </w:style>
  <w:style w:type="paragraph" w:styleId="Heading1">
    <w:name w:val="heading 1"/>
    <w:basedOn w:val="Normal"/>
    <w:next w:val="Normal"/>
    <w:link w:val="Heading1Char"/>
    <w:autoRedefine/>
    <w:qFormat/>
    <w:rsid w:val="00AF5AC3"/>
    <w:pPr>
      <w:keepNext/>
      <w:tabs>
        <w:tab w:val="left" w:pos="2953"/>
        <w:tab w:val="right" w:leader="dot" w:pos="9360"/>
      </w:tabs>
      <w:outlineLvl w:val="0"/>
    </w:pPr>
    <w:rPr>
      <w:b/>
      <w:smallCaps/>
      <w:color w:val="000000"/>
      <w:sz w:val="24"/>
      <w:szCs w:val="18"/>
    </w:rPr>
  </w:style>
  <w:style w:type="paragraph" w:styleId="Heading2">
    <w:name w:val="heading 2"/>
    <w:basedOn w:val="Normal"/>
    <w:next w:val="Normal"/>
    <w:autoRedefine/>
    <w:qFormat/>
    <w:rsid w:val="00EA2E61"/>
    <w:pPr>
      <w:keepNext/>
      <w:numPr>
        <w:numId w:val="30"/>
      </w:numPr>
      <w:tabs>
        <w:tab w:val="left" w:pos="720"/>
        <w:tab w:val="right" w:leader="dot" w:pos="9360"/>
      </w:tabs>
      <w:spacing w:after="40"/>
      <w:jc w:val="both"/>
      <w:outlineLvl w:val="1"/>
    </w:pPr>
    <w:rPr>
      <w:b/>
      <w:color w:val="000000"/>
      <w:sz w:val="24"/>
      <w:szCs w:val="16"/>
    </w:rPr>
  </w:style>
  <w:style w:type="paragraph" w:styleId="Heading3">
    <w:name w:val="heading 3"/>
    <w:basedOn w:val="Normal"/>
    <w:next w:val="Normal"/>
    <w:qFormat/>
    <w:pPr>
      <w:keepNext/>
      <w:keepLines/>
      <w:tabs>
        <w:tab w:val="left" w:pos="-1440"/>
        <w:tab w:val="left" w:pos="-720"/>
        <w:tab w:val="left" w:pos="0"/>
        <w:tab w:val="left" w:pos="612"/>
        <w:tab w:val="left" w:pos="972"/>
        <w:tab w:val="left" w:pos="1441"/>
        <w:tab w:val="left" w:pos="1730"/>
        <w:tab w:val="left" w:pos="2163"/>
        <w:tab w:val="left" w:pos="2595"/>
        <w:tab w:val="left" w:pos="2882"/>
        <w:tab w:val="left" w:pos="3460"/>
        <w:tab w:val="left" w:pos="3606"/>
        <w:tab w:val="left" w:pos="4323"/>
        <w:tab w:val="left" w:pos="5048"/>
        <w:tab w:val="left" w:pos="5191"/>
        <w:tab w:val="left" w:pos="5764"/>
        <w:tab w:val="left" w:pos="6056"/>
        <w:tab w:val="left" w:pos="6490"/>
      </w:tabs>
      <w:spacing w:line="214" w:lineRule="auto"/>
      <w:jc w:val="center"/>
      <w:outlineLvl w:val="2"/>
    </w:pPr>
    <w:rPr>
      <w:b/>
      <w:bCs/>
      <w:sz w:val="21"/>
    </w:rPr>
  </w:style>
  <w:style w:type="paragraph" w:styleId="Heading4">
    <w:name w:val="heading 4"/>
    <w:basedOn w:val="Normal"/>
    <w:next w:val="Normal"/>
    <w:qFormat/>
    <w:pPr>
      <w:keepNext/>
      <w:spacing w:before="100"/>
      <w:ind w:left="-100"/>
      <w:jc w:val="center"/>
      <w:outlineLvl w:val="3"/>
    </w:pPr>
    <w:rPr>
      <w:b/>
      <w:bCs/>
      <w:sz w:val="21"/>
      <w:szCs w:val="21"/>
    </w:rPr>
  </w:style>
  <w:style w:type="paragraph" w:styleId="Heading5">
    <w:name w:val="heading 5"/>
    <w:basedOn w:val="Normal"/>
    <w:next w:val="Normal"/>
    <w:qFormat/>
    <w:pPr>
      <w:keepNext/>
      <w:spacing w:before="100" w:beforeAutospacing="1" w:after="100" w:afterAutospacing="1"/>
      <w:outlineLvl w:val="4"/>
    </w:pPr>
    <w:rPr>
      <w:sz w:val="18"/>
      <w:szCs w:val="18"/>
    </w:rPr>
  </w:style>
  <w:style w:type="paragraph" w:styleId="Heading6">
    <w:name w:val="heading 6"/>
    <w:basedOn w:val="Normal"/>
    <w:next w:val="Normal"/>
    <w:qFormat/>
    <w:pPr>
      <w:keepNext/>
      <w:outlineLvl w:val="5"/>
    </w:pPr>
    <w:rPr>
      <w:sz w:val="16"/>
    </w:rPr>
  </w:style>
  <w:style w:type="paragraph" w:styleId="Heading7">
    <w:name w:val="heading 7"/>
    <w:basedOn w:val="Normal"/>
    <w:next w:val="Normal"/>
    <w:qFormat/>
    <w:pPr>
      <w:keepNext/>
      <w:spacing w:before="100" w:after="55"/>
      <w:jc w:val="center"/>
      <w:outlineLvl w:val="6"/>
    </w:pPr>
    <w:rPr>
      <w:szCs w:val="18"/>
    </w:rPr>
  </w:style>
  <w:style w:type="paragraph" w:styleId="Heading8">
    <w:name w:val="heading 8"/>
    <w:basedOn w:val="Normal"/>
    <w:next w:val="Normal"/>
    <w:qFormat/>
    <w:pPr>
      <w:keepNext/>
      <w:spacing w:before="62" w:line="215" w:lineRule="auto"/>
      <w:jc w:val="center"/>
      <w:outlineLvl w:val="7"/>
    </w:pPr>
    <w:rPr>
      <w:szCs w:val="24"/>
      <w:u w:val="single"/>
    </w:rPr>
  </w:style>
  <w:style w:type="paragraph" w:styleId="Heading9">
    <w:name w:val="heading 9"/>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4752"/>
      </w:tabs>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F20"/>
    <w:rPr>
      <w:sz w:val="24"/>
      <w:szCs w:val="24"/>
    </w:rPr>
  </w:style>
  <w:style w:type="paragraph" w:customStyle="1" w:styleId="Document">
    <w:name w:val="Document"/>
    <w:basedOn w:val="Normal"/>
    <w:link w:val="DocumentChar"/>
    <w:autoRedefine/>
    <w:rsid w:val="007F7FA3"/>
    <w:pPr>
      <w:suppressLineNumbers/>
      <w:spacing w:after="40" w:line="260" w:lineRule="exact"/>
      <w:ind w:firstLine="576"/>
      <w:jc w:val="both"/>
    </w:pPr>
    <w:rPr>
      <w:sz w:val="21"/>
    </w:rPr>
  </w:style>
  <w:style w:type="paragraph" w:customStyle="1" w:styleId="Footnote">
    <w:name w:val="Footnote"/>
    <w:basedOn w:val="Document"/>
    <w:pPr>
      <w:spacing w:line="200" w:lineRule="exact"/>
    </w:pPr>
    <w:rPr>
      <w:sz w:val="18"/>
    </w:rPr>
  </w:style>
  <w:style w:type="paragraph" w:customStyle="1" w:styleId="1StQuoteFN">
    <w:name w:val="1StQuoteFN"/>
    <w:basedOn w:val="Footnote"/>
    <w:next w:val="Footnote"/>
    <w:pPr>
      <w:tabs>
        <w:tab w:val="left" w:pos="1080"/>
      </w:tabs>
      <w:spacing w:line="180" w:lineRule="exact"/>
      <w:ind w:left="720" w:right="360" w:firstLine="0"/>
    </w:pPr>
    <w:rPr>
      <w:sz w:val="16"/>
    </w:rPr>
  </w:style>
  <w:style w:type="paragraph" w:customStyle="1" w:styleId="1StQuoteTXT">
    <w:name w:val="1StQuoteTXT"/>
    <w:basedOn w:val="Document"/>
    <w:next w:val="Document"/>
    <w:pPr>
      <w:spacing w:before="60" w:line="220" w:lineRule="exact"/>
      <w:ind w:left="360" w:right="360" w:firstLine="0"/>
    </w:pPr>
    <w:rPr>
      <w:sz w:val="19"/>
    </w:rPr>
  </w:style>
  <w:style w:type="paragraph" w:customStyle="1" w:styleId="Abstract">
    <w:name w:val="Abstract"/>
    <w:basedOn w:val="Document"/>
    <w:pPr>
      <w:spacing w:before="60" w:line="220" w:lineRule="exact"/>
      <w:ind w:left="360" w:right="360"/>
    </w:pPr>
    <w:rPr>
      <w:i/>
      <w:spacing w:val="-3"/>
      <w:sz w:val="19"/>
    </w:rPr>
  </w:style>
  <w:style w:type="paragraph" w:styleId="BlockText">
    <w:name w:val="Block Text"/>
    <w:basedOn w:val="Normal"/>
    <w:pPr>
      <w:spacing w:after="120"/>
      <w:ind w:left="720" w:right="720"/>
      <w:jc w:val="both"/>
    </w:pPr>
  </w:style>
  <w:style w:type="paragraph" w:styleId="BodyText">
    <w:name w:val="Body Text"/>
    <w:basedOn w:val="Normal"/>
    <w:pPr>
      <w:spacing w:after="120"/>
    </w:pPr>
  </w:style>
  <w:style w:type="paragraph" w:styleId="BodyTextFirstIndent">
    <w:name w:val="Body Text First Indent"/>
    <w:basedOn w:val="BodyText"/>
    <w:pPr>
      <w:ind w:firstLine="210"/>
    </w:pPr>
  </w:style>
  <w:style w:type="paragraph" w:customStyle="1" w:styleId="Break">
    <w:name w:val="Break"/>
    <w:basedOn w:val="Document"/>
    <w:pPr>
      <w:spacing w:before="100"/>
      <w:ind w:firstLine="0"/>
      <w:jc w:val="center"/>
    </w:pPr>
    <w:rPr>
      <w:kern w:val="2"/>
    </w:rPr>
  </w:style>
  <w:style w:type="paragraph" w:styleId="Caption">
    <w:name w:val="caption"/>
    <w:basedOn w:val="Normal"/>
    <w:next w:val="Normal"/>
    <w:qFormat/>
    <w:pPr>
      <w:spacing w:before="120" w:after="120"/>
    </w:pPr>
    <w:rPr>
      <w:b/>
      <w:bCs/>
    </w:rPr>
  </w:style>
  <w:style w:type="paragraph" w:customStyle="1" w:styleId="ChapterTitle">
    <w:name w:val="Chapter Title"/>
    <w:basedOn w:val="Document"/>
    <w:pPr>
      <w:suppressAutoHyphens/>
      <w:spacing w:line="240" w:lineRule="auto"/>
      <w:ind w:firstLine="0"/>
      <w:jc w:val="left"/>
    </w:pPr>
    <w:rPr>
      <w:b/>
      <w:bCs/>
      <w:sz w:val="28"/>
      <w:szCs w:val="28"/>
    </w:rPr>
  </w:style>
  <w:style w:type="paragraph" w:customStyle="1" w:styleId="ChapterNumber">
    <w:name w:val="Chapter Number"/>
    <w:basedOn w:val="ChapterTitle"/>
    <w:autoRedefine/>
    <w:pPr>
      <w:spacing w:before="1720"/>
    </w:pPr>
  </w:style>
  <w:style w:type="paragraph" w:customStyle="1" w:styleId="ChapterSubheading">
    <w:name w:val="Chapter Subheading"/>
    <w:basedOn w:val="Document"/>
    <w:pPr>
      <w:tabs>
        <w:tab w:val="left" w:pos="288"/>
      </w:tabs>
      <w:suppressAutoHyphens/>
      <w:spacing w:line="240" w:lineRule="auto"/>
      <w:ind w:left="288" w:hanging="288"/>
      <w:jc w:val="left"/>
    </w:pPr>
    <w:rPr>
      <w:b/>
      <w:kern w:val="2"/>
      <w:sz w:val="20"/>
    </w:rPr>
  </w:style>
  <w:style w:type="paragraph" w:styleId="Closing">
    <w:name w:val="Closing"/>
    <w:basedOn w:val="Normal"/>
    <w:pPr>
      <w:ind w:left="4320"/>
    </w:pPr>
  </w:style>
  <w:style w:type="paragraph" w:customStyle="1" w:styleId="PartTitle">
    <w:name w:val="Part Title"/>
    <w:basedOn w:val="Normal"/>
    <w:next w:val="Normal"/>
    <w:pPr>
      <w:widowControl w:val="0"/>
      <w:spacing w:after="200" w:line="400" w:lineRule="exact"/>
      <w:jc w:val="center"/>
    </w:pPr>
    <w:rPr>
      <w:rFonts w:ascii="Times" w:hAnsi="Times"/>
      <w:sz w:val="36"/>
    </w:rPr>
  </w:style>
  <w:style w:type="paragraph" w:customStyle="1" w:styleId="Contents">
    <w:name w:val="Contents"/>
    <w:basedOn w:val="PartTitle"/>
    <w:pPr>
      <w:spacing w:after="120"/>
    </w:pPr>
  </w:style>
  <w:style w:type="paragraph" w:customStyle="1" w:styleId="TableTitle">
    <w:name w:val="Table Title"/>
    <w:basedOn w:val="Normal"/>
    <w:pPr>
      <w:widowControl w:val="0"/>
      <w:jc w:val="both"/>
    </w:pPr>
    <w:rPr>
      <w:rFonts w:ascii="Times" w:hAnsi="Times"/>
      <w:b/>
      <w:sz w:val="18"/>
    </w:rPr>
  </w:style>
  <w:style w:type="paragraph" w:customStyle="1" w:styleId="FigureTitle">
    <w:name w:val="Figure Title"/>
    <w:basedOn w:val="TableTitle"/>
  </w:style>
  <w:style w:type="character" w:styleId="FollowedHyperlink">
    <w:name w:val="FollowedHyperlink"/>
    <w:basedOn w:val="DefaultParagraphFont"/>
    <w:rPr>
      <w:color w:val="800080"/>
      <w:u w:val="single"/>
    </w:rPr>
  </w:style>
  <w:style w:type="paragraph" w:styleId="Footer">
    <w:name w:val="footer"/>
    <w:basedOn w:val="Normal"/>
    <w:pPr>
      <w:tabs>
        <w:tab w:val="center" w:pos="4320"/>
        <w:tab w:val="right" w:pos="8640"/>
      </w:tabs>
    </w:pPr>
  </w:style>
  <w:style w:type="character" w:styleId="FootnoteReference">
    <w:name w:val="footnote reference"/>
    <w:basedOn w:val="DefaultParagraphFont"/>
    <w:uiPriority w:val="99"/>
    <w:semiHidden/>
    <w:rPr>
      <w:vertAlign w:val="superscript"/>
    </w:rPr>
  </w:style>
  <w:style w:type="paragraph" w:styleId="FootnoteText">
    <w:name w:val="footnote text"/>
    <w:basedOn w:val="Normal"/>
    <w:link w:val="FootnoteTextChar"/>
    <w:autoRedefine/>
    <w:semiHidden/>
    <w:rsid w:val="001E1997"/>
    <w:pPr>
      <w:spacing w:after="40" w:line="200" w:lineRule="exact"/>
      <w:ind w:firstLine="576"/>
      <w:jc w:val="both"/>
    </w:pPr>
    <w:rPr>
      <w:sz w:val="17"/>
    </w:rPr>
  </w:style>
  <w:style w:type="paragraph" w:styleId="Header">
    <w:name w:val="header"/>
    <w:basedOn w:val="Normal"/>
    <w:link w:val="HeaderChar"/>
    <w:uiPriority w:val="99"/>
    <w:pPr>
      <w:tabs>
        <w:tab w:val="center" w:pos="4320"/>
        <w:tab w:val="right" w:pos="8640"/>
      </w:tabs>
    </w:pPr>
  </w:style>
  <w:style w:type="character" w:styleId="Hyperlink">
    <w:name w:val="Hyperlink"/>
    <w:basedOn w:val="DefaultParagraphFont"/>
    <w:uiPriority w:val="99"/>
    <w:rPr>
      <w:color w:val="0000FF"/>
      <w:u w:val="single"/>
    </w:rPr>
  </w:style>
  <w:style w:type="paragraph" w:customStyle="1" w:styleId="NumberedList">
    <w:name w:val="Numbered List"/>
    <w:basedOn w:val="Document"/>
    <w:pPr>
      <w:suppressLineNumbers w:val="0"/>
      <w:tabs>
        <w:tab w:val="left" w:pos="576"/>
      </w:tabs>
      <w:ind w:left="576" w:hanging="216"/>
    </w:pPr>
  </w:style>
  <w:style w:type="character" w:styleId="PageNumber">
    <w:name w:val="page number"/>
    <w:rPr>
      <w:bCs/>
    </w:rPr>
  </w:style>
  <w:style w:type="paragraph" w:customStyle="1" w:styleId="RunningHead">
    <w:name w:val="Running Head"/>
    <w:basedOn w:val="Normal"/>
    <w:pPr>
      <w:widowControl w:val="0"/>
      <w:tabs>
        <w:tab w:val="right" w:pos="5904"/>
      </w:tabs>
      <w:suppressAutoHyphens/>
      <w:jc w:val="center"/>
    </w:pPr>
    <w:rPr>
      <w:rFonts w:ascii="Times" w:hAnsi="Times"/>
      <w:b/>
      <w:caps/>
    </w:rPr>
  </w:style>
  <w:style w:type="paragraph" w:customStyle="1" w:styleId="RunningHead--FrontMatter">
    <w:name w:val="RunningHead--FrontMatter"/>
    <w:basedOn w:val="RunningHead"/>
    <w:rPr>
      <w:caps w:val="0"/>
    </w:rPr>
  </w:style>
  <w:style w:type="paragraph" w:customStyle="1" w:styleId="Subhead2">
    <w:name w:val="Subhead2"/>
    <w:basedOn w:val="Normal"/>
    <w:next w:val="Document"/>
    <w:pPr>
      <w:keepNext/>
      <w:tabs>
        <w:tab w:val="left" w:pos="360"/>
      </w:tabs>
      <w:suppressAutoHyphens/>
      <w:spacing w:before="320" w:after="200"/>
      <w:ind w:left="360" w:hanging="360"/>
    </w:pPr>
    <w:rPr>
      <w:rFonts w:ascii="Times" w:hAnsi="Times"/>
      <w:b/>
      <w:sz w:val="21"/>
      <w:szCs w:val="22"/>
    </w:rPr>
  </w:style>
  <w:style w:type="paragraph" w:customStyle="1" w:styleId="TableBody">
    <w:name w:val="Table Body"/>
    <w:basedOn w:val="Normal"/>
    <w:pPr>
      <w:widowControl w:val="0"/>
    </w:pPr>
    <w:rPr>
      <w:rFonts w:ascii="Times" w:hAnsi="Times"/>
      <w:sz w:val="18"/>
      <w:szCs w:val="18"/>
    </w:rPr>
  </w:style>
  <w:style w:type="paragraph" w:customStyle="1" w:styleId="TableNotes">
    <w:name w:val="Table Notes"/>
    <w:basedOn w:val="TableBody"/>
    <w:autoRedefine/>
    <w:pPr>
      <w:keepNext/>
      <w:keepLines/>
      <w:tabs>
        <w:tab w:val="left" w:pos="368"/>
      </w:tabs>
      <w:spacing w:before="20"/>
      <w:jc w:val="both"/>
    </w:pPr>
    <w:rPr>
      <w:sz w:val="16"/>
    </w:rPr>
  </w:style>
  <w:style w:type="paragraph" w:styleId="TableofAuthorities">
    <w:name w:val="table of authorities"/>
    <w:basedOn w:val="Normal"/>
    <w:next w:val="Normal"/>
    <w:semiHidden/>
    <w:pPr>
      <w:ind w:left="200" w:hanging="200"/>
    </w:pPr>
  </w:style>
  <w:style w:type="paragraph" w:styleId="TableofFigures">
    <w:name w:val="table of figures"/>
    <w:aliases w:val="Table List"/>
    <w:basedOn w:val="TableTitle"/>
    <w:next w:val="Normal"/>
    <w:semiHidden/>
    <w:pPr>
      <w:tabs>
        <w:tab w:val="left" w:pos="936"/>
        <w:tab w:val="right" w:pos="5904"/>
      </w:tabs>
      <w:spacing w:before="40"/>
      <w:ind w:left="936" w:hanging="936"/>
      <w:jc w:val="left"/>
    </w:pPr>
    <w:rPr>
      <w:b w:val="0"/>
    </w:rPr>
  </w:style>
  <w:style w:type="paragraph" w:styleId="BodyTextIndent">
    <w:name w:val="Body Text Indent"/>
    <w:basedOn w:val="Normal"/>
    <w:pPr>
      <w:ind w:firstLine="720"/>
    </w:pPr>
    <w:rPr>
      <w:sz w:val="24"/>
      <w:szCs w:val="24"/>
    </w:rPr>
  </w:style>
  <w:style w:type="paragraph" w:styleId="BodyTextIndent2">
    <w:name w:val="Body Text Indent 2"/>
    <w:basedOn w:val="Normal"/>
    <w:pPr>
      <w:ind w:firstLine="720"/>
    </w:pPr>
    <w:rPr>
      <w:i/>
      <w:iCs/>
      <w:sz w:val="24"/>
      <w:szCs w:val="24"/>
    </w:rPr>
  </w:style>
  <w:style w:type="paragraph" w:styleId="Title">
    <w:name w:val="Title"/>
    <w:basedOn w:val="Normal"/>
    <w:qFormat/>
    <w:pPr>
      <w:spacing w:before="240" w:after="60"/>
      <w:jc w:val="center"/>
      <w:outlineLvl w:val="0"/>
    </w:pPr>
    <w:rPr>
      <w:rFonts w:cs="Arial"/>
      <w:b/>
      <w:bCs/>
      <w:kern w:val="28"/>
      <w:sz w:val="32"/>
      <w:szCs w:val="32"/>
    </w:rPr>
  </w:style>
  <w:style w:type="paragraph" w:styleId="BodyTextIndent3">
    <w:name w:val="Body Text Indent 3"/>
    <w:basedOn w:val="Normal"/>
    <w:pPr>
      <w:ind w:left="720" w:hanging="720"/>
    </w:pPr>
    <w:rPr>
      <w:b/>
      <w:bCs/>
    </w:rPr>
  </w:style>
  <w:style w:type="paragraph" w:customStyle="1" w:styleId="Heading10">
    <w:name w:val="Heading10"/>
    <w:basedOn w:val="Document"/>
    <w:rPr>
      <w:i/>
      <w:iCs/>
    </w:rPr>
  </w:style>
  <w:style w:type="paragraph" w:customStyle="1" w:styleId="TOC1">
    <w:name w:val="TOC1"/>
    <w:basedOn w:val="Normal"/>
    <w:autoRedefine/>
    <w:pPr>
      <w:tabs>
        <w:tab w:val="right" w:leader="dot" w:pos="7114"/>
      </w:tabs>
      <w:jc w:val="both"/>
    </w:pPr>
    <w:rPr>
      <w:bCs/>
      <w:sz w:val="17"/>
      <w:szCs w:val="24"/>
    </w:rPr>
  </w:style>
  <w:style w:type="paragraph" w:customStyle="1" w:styleId="TOC2">
    <w:name w:val="TOC2"/>
    <w:basedOn w:val="Normal"/>
    <w:autoRedefine/>
    <w:pPr>
      <w:tabs>
        <w:tab w:val="right" w:leader="dot" w:pos="7114"/>
      </w:tabs>
      <w:ind w:left="274"/>
      <w:jc w:val="both"/>
    </w:pPr>
    <w:rPr>
      <w:sz w:val="17"/>
      <w:szCs w:val="24"/>
    </w:rPr>
  </w:style>
  <w:style w:type="paragraph" w:customStyle="1" w:styleId="TOC3">
    <w:name w:val="TOC3"/>
    <w:basedOn w:val="Normal"/>
    <w:autoRedefine/>
    <w:pPr>
      <w:tabs>
        <w:tab w:val="right" w:leader="dot" w:pos="7114"/>
      </w:tabs>
      <w:ind w:left="547"/>
      <w:jc w:val="both"/>
    </w:pPr>
    <w:rPr>
      <w:i/>
      <w:sz w:val="17"/>
      <w:szCs w:val="24"/>
    </w:rPr>
  </w:style>
  <w:style w:type="paragraph" w:customStyle="1" w:styleId="TOC4">
    <w:name w:val="TOC4"/>
    <w:basedOn w:val="Normal"/>
    <w:autoRedefine/>
    <w:pPr>
      <w:tabs>
        <w:tab w:val="right" w:leader="dot" w:pos="7114"/>
      </w:tabs>
      <w:ind w:left="734"/>
      <w:jc w:val="both"/>
    </w:pPr>
    <w:rPr>
      <w:i/>
      <w:sz w:val="17"/>
      <w:szCs w:val="24"/>
    </w:rPr>
  </w:style>
  <w:style w:type="character" w:customStyle="1" w:styleId="footnoteref">
    <w:name w:val="footnote ref"/>
  </w:style>
  <w:style w:type="table" w:styleId="TableGrid">
    <w:name w:val="Table Grid"/>
    <w:basedOn w:val="TableNormal"/>
    <w:uiPriority w:val="39"/>
    <w:rsid w:val="00277F2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autoRedefine/>
    <w:uiPriority w:val="11"/>
    <w:qFormat/>
    <w:pPr>
      <w:spacing w:after="60"/>
      <w:jc w:val="center"/>
      <w:outlineLvl w:val="1"/>
    </w:pPr>
    <w:rPr>
      <w:rFonts w:cs="Arial"/>
      <w:b/>
      <w:smallCaps/>
      <w:sz w:val="24"/>
      <w:szCs w:val="24"/>
    </w:rPr>
  </w:style>
  <w:style w:type="paragraph" w:customStyle="1" w:styleId="FootnoteNotIndented">
    <w:name w:val="Footnote Not Indented"/>
    <w:basedOn w:val="Normal"/>
    <w:qFormat/>
    <w:rsid w:val="00277F20"/>
    <w:pPr>
      <w:tabs>
        <w:tab w:val="right" w:pos="576"/>
      </w:tabs>
      <w:spacing w:after="40" w:line="180" w:lineRule="exact"/>
      <w:jc w:val="both"/>
    </w:pPr>
    <w:rPr>
      <w:sz w:val="16"/>
    </w:rPr>
  </w:style>
  <w:style w:type="paragraph" w:customStyle="1" w:styleId="Tabset">
    <w:name w:val="Tab set"/>
    <w:basedOn w:val="Document"/>
    <w:link w:val="TabsetChar"/>
    <w:qFormat/>
    <w:rsid w:val="00277F20"/>
    <w:pPr>
      <w:tabs>
        <w:tab w:val="left" w:pos="576"/>
      </w:tabs>
      <w:jc w:val="center"/>
    </w:pPr>
    <w:rPr>
      <w:b/>
      <w:bCs/>
      <w:noProof/>
      <w:sz w:val="24"/>
      <w:szCs w:val="24"/>
    </w:rPr>
  </w:style>
  <w:style w:type="character" w:customStyle="1" w:styleId="DocumentChar">
    <w:name w:val="Document Char"/>
    <w:link w:val="Document"/>
    <w:rsid w:val="007F7FA3"/>
    <w:rPr>
      <w:sz w:val="21"/>
    </w:rPr>
  </w:style>
  <w:style w:type="character" w:customStyle="1" w:styleId="TabsetChar">
    <w:name w:val="Tab set Char"/>
    <w:link w:val="Tabset"/>
    <w:rsid w:val="00277F20"/>
    <w:rPr>
      <w:b/>
      <w:bCs/>
      <w:noProof/>
      <w:sz w:val="24"/>
      <w:szCs w:val="24"/>
    </w:rPr>
  </w:style>
  <w:style w:type="paragraph" w:styleId="ListParagraph">
    <w:name w:val="List Paragraph"/>
    <w:basedOn w:val="Normal"/>
    <w:uiPriority w:val="34"/>
    <w:qFormat/>
    <w:rsid w:val="00271804"/>
    <w:pPr>
      <w:ind w:left="720"/>
      <w:contextualSpacing/>
    </w:pPr>
  </w:style>
  <w:style w:type="character" w:styleId="CommentReference">
    <w:name w:val="annotation reference"/>
    <w:basedOn w:val="DefaultParagraphFont"/>
    <w:rsid w:val="00E05AD7"/>
    <w:rPr>
      <w:sz w:val="16"/>
      <w:szCs w:val="16"/>
    </w:rPr>
  </w:style>
  <w:style w:type="paragraph" w:styleId="CommentText">
    <w:name w:val="annotation text"/>
    <w:basedOn w:val="Normal"/>
    <w:link w:val="CommentTextChar"/>
    <w:rsid w:val="00E05AD7"/>
  </w:style>
  <w:style w:type="character" w:customStyle="1" w:styleId="CommentTextChar">
    <w:name w:val="Comment Text Char"/>
    <w:basedOn w:val="DefaultParagraphFont"/>
    <w:link w:val="CommentText"/>
    <w:rsid w:val="00E05AD7"/>
  </w:style>
  <w:style w:type="paragraph" w:styleId="CommentSubject">
    <w:name w:val="annotation subject"/>
    <w:basedOn w:val="CommentText"/>
    <w:next w:val="CommentText"/>
    <w:link w:val="CommentSubjectChar"/>
    <w:rsid w:val="00E05AD7"/>
    <w:rPr>
      <w:b/>
      <w:bCs/>
    </w:rPr>
  </w:style>
  <w:style w:type="character" w:customStyle="1" w:styleId="CommentSubjectChar">
    <w:name w:val="Comment Subject Char"/>
    <w:basedOn w:val="CommentTextChar"/>
    <w:link w:val="CommentSubject"/>
    <w:rsid w:val="00E05AD7"/>
    <w:rPr>
      <w:b/>
      <w:bCs/>
    </w:rPr>
  </w:style>
  <w:style w:type="paragraph" w:customStyle="1" w:styleId="chaptertitle0">
    <w:name w:val="chaptertitle"/>
    <w:basedOn w:val="Normal"/>
    <w:rsid w:val="00C41C39"/>
    <w:pPr>
      <w:spacing w:before="100" w:beforeAutospacing="1" w:after="100" w:afterAutospacing="1"/>
    </w:pPr>
    <w:rPr>
      <w:sz w:val="24"/>
      <w:szCs w:val="24"/>
    </w:rPr>
  </w:style>
  <w:style w:type="character" w:customStyle="1" w:styleId="SubtitleChar">
    <w:name w:val="Subtitle Char"/>
    <w:basedOn w:val="DefaultParagraphFont"/>
    <w:link w:val="Subtitle"/>
    <w:uiPriority w:val="11"/>
    <w:rsid w:val="00C41C39"/>
    <w:rPr>
      <w:rFonts w:cs="Arial"/>
      <w:b/>
      <w:smallCaps/>
      <w:sz w:val="24"/>
      <w:szCs w:val="24"/>
    </w:rPr>
  </w:style>
  <w:style w:type="paragraph" w:customStyle="1" w:styleId="toc10">
    <w:name w:val="toc1"/>
    <w:basedOn w:val="Normal"/>
    <w:rsid w:val="00C41C39"/>
    <w:pPr>
      <w:spacing w:before="100" w:beforeAutospacing="1" w:after="100" w:afterAutospacing="1"/>
    </w:pPr>
    <w:rPr>
      <w:sz w:val="24"/>
      <w:szCs w:val="24"/>
    </w:rPr>
  </w:style>
  <w:style w:type="paragraph" w:customStyle="1" w:styleId="toc20">
    <w:name w:val="toc2"/>
    <w:basedOn w:val="Normal"/>
    <w:rsid w:val="00C41C39"/>
    <w:pPr>
      <w:spacing w:before="100" w:beforeAutospacing="1" w:after="100" w:afterAutospacing="1"/>
    </w:pPr>
    <w:rPr>
      <w:sz w:val="24"/>
      <w:szCs w:val="24"/>
    </w:rPr>
  </w:style>
  <w:style w:type="paragraph" w:customStyle="1" w:styleId="toc30">
    <w:name w:val="toc3"/>
    <w:basedOn w:val="Normal"/>
    <w:rsid w:val="00C41C39"/>
    <w:pPr>
      <w:spacing w:before="100" w:beforeAutospacing="1" w:after="100" w:afterAutospacing="1"/>
    </w:pPr>
    <w:rPr>
      <w:sz w:val="24"/>
      <w:szCs w:val="24"/>
    </w:rPr>
  </w:style>
  <w:style w:type="character" w:customStyle="1" w:styleId="Heading1Char">
    <w:name w:val="Heading 1 Char"/>
    <w:basedOn w:val="DefaultParagraphFont"/>
    <w:link w:val="Heading1"/>
    <w:rsid w:val="00AF5AC3"/>
    <w:rPr>
      <w:b/>
      <w:smallCaps/>
      <w:color w:val="000000"/>
      <w:sz w:val="24"/>
      <w:szCs w:val="18"/>
    </w:rPr>
  </w:style>
  <w:style w:type="table" w:styleId="PlainTable5">
    <w:name w:val="Plain Table 5"/>
    <w:basedOn w:val="TableNormal"/>
    <w:uiPriority w:val="45"/>
    <w:rsid w:val="001121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
    <w:name w:val="Unresolved Mention"/>
    <w:basedOn w:val="DefaultParagraphFont"/>
    <w:uiPriority w:val="99"/>
    <w:semiHidden/>
    <w:unhideWhenUsed/>
    <w:rsid w:val="00C2602C"/>
    <w:rPr>
      <w:color w:val="605E5C"/>
      <w:shd w:val="clear" w:color="auto" w:fill="E1DFDD"/>
    </w:rPr>
  </w:style>
  <w:style w:type="character" w:customStyle="1" w:styleId="FootnoteTextChar">
    <w:name w:val="Footnote Text Char"/>
    <w:basedOn w:val="DefaultParagraphFont"/>
    <w:link w:val="FootnoteText"/>
    <w:semiHidden/>
    <w:rsid w:val="001E1997"/>
    <w:rPr>
      <w:sz w:val="17"/>
    </w:rPr>
  </w:style>
  <w:style w:type="character" w:styleId="EndnoteReference">
    <w:name w:val="endnote reference"/>
    <w:basedOn w:val="DefaultParagraphFont"/>
    <w:rsid w:val="0048272B"/>
    <w:rPr>
      <w:vertAlign w:val="superscript"/>
    </w:rPr>
  </w:style>
  <w:style w:type="paragraph" w:customStyle="1" w:styleId="Paragraphformat">
    <w:name w:val="Paragraph format"/>
    <w:basedOn w:val="Document"/>
    <w:link w:val="ParagraphformatChar"/>
    <w:qFormat/>
    <w:rsid w:val="006B3E0B"/>
  </w:style>
  <w:style w:type="character" w:customStyle="1" w:styleId="ParagraphformatChar">
    <w:name w:val="Paragraph format Char"/>
    <w:basedOn w:val="DocumentChar"/>
    <w:link w:val="Paragraphformat"/>
    <w:rsid w:val="006B3E0B"/>
    <w:rPr>
      <w:sz w:val="21"/>
    </w:rPr>
  </w:style>
  <w:style w:type="character" w:customStyle="1" w:styleId="HeaderChar">
    <w:name w:val="Header Char"/>
    <w:basedOn w:val="DefaultParagraphFont"/>
    <w:link w:val="Header"/>
    <w:uiPriority w:val="99"/>
    <w:rsid w:val="00334B38"/>
  </w:style>
  <w:style w:type="paragraph" w:styleId="TOCHeading">
    <w:name w:val="TOC Heading"/>
    <w:basedOn w:val="Heading1"/>
    <w:next w:val="Normal"/>
    <w:uiPriority w:val="39"/>
    <w:unhideWhenUsed/>
    <w:qFormat/>
    <w:rsid w:val="00EE0FD8"/>
    <w:pPr>
      <w:keepLines/>
      <w:tabs>
        <w:tab w:val="clear" w:pos="2953"/>
        <w:tab w:val="clear" w:pos="9360"/>
      </w:tabs>
      <w:spacing w:before="240" w:line="259" w:lineRule="auto"/>
      <w:outlineLvl w:val="9"/>
    </w:pPr>
    <w:rPr>
      <w:rFonts w:asciiTheme="majorHAnsi" w:eastAsiaTheme="majorEastAsia" w:hAnsiTheme="majorHAnsi" w:cstheme="majorBidi"/>
      <w:b w:val="0"/>
      <w:smallCaps w:val="0"/>
      <w:color w:val="2F5496" w:themeColor="accent1" w:themeShade="BF"/>
      <w:sz w:val="32"/>
      <w:szCs w:val="32"/>
    </w:rPr>
  </w:style>
  <w:style w:type="paragraph" w:styleId="TOC11">
    <w:name w:val="toc 1"/>
    <w:basedOn w:val="Normal"/>
    <w:next w:val="Normal"/>
    <w:autoRedefine/>
    <w:uiPriority w:val="39"/>
    <w:rsid w:val="00EE0FD8"/>
    <w:pPr>
      <w:spacing w:after="100"/>
    </w:pPr>
  </w:style>
  <w:style w:type="paragraph" w:styleId="TOC31">
    <w:name w:val="toc 3"/>
    <w:basedOn w:val="Normal"/>
    <w:next w:val="Normal"/>
    <w:autoRedefine/>
    <w:uiPriority w:val="39"/>
    <w:rsid w:val="00EE0FD8"/>
    <w:pPr>
      <w:spacing w:after="100"/>
      <w:ind w:left="400"/>
    </w:pPr>
  </w:style>
  <w:style w:type="paragraph" w:styleId="TOC21">
    <w:name w:val="toc 2"/>
    <w:basedOn w:val="Normal"/>
    <w:next w:val="Normal"/>
    <w:autoRedefine/>
    <w:uiPriority w:val="39"/>
    <w:rsid w:val="00EE0FD8"/>
    <w:pPr>
      <w:spacing w:after="100"/>
      <w:ind w:left="200"/>
    </w:pPr>
  </w:style>
  <w:style w:type="paragraph" w:styleId="Revision">
    <w:name w:val="Revision"/>
    <w:hidden/>
    <w:uiPriority w:val="99"/>
    <w:semiHidden/>
    <w:rsid w:val="0080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84199">
      <w:bodyDiv w:val="1"/>
      <w:marLeft w:val="0"/>
      <w:marRight w:val="0"/>
      <w:marTop w:val="0"/>
      <w:marBottom w:val="0"/>
      <w:divBdr>
        <w:top w:val="none" w:sz="0" w:space="0" w:color="auto"/>
        <w:left w:val="none" w:sz="0" w:space="0" w:color="auto"/>
        <w:bottom w:val="none" w:sz="0" w:space="0" w:color="auto"/>
        <w:right w:val="none" w:sz="0" w:space="0" w:color="auto"/>
      </w:divBdr>
      <w:divsChild>
        <w:div w:id="1070809006">
          <w:marLeft w:val="0"/>
          <w:marRight w:val="0"/>
          <w:marTop w:val="0"/>
          <w:marBottom w:val="0"/>
          <w:divBdr>
            <w:top w:val="single" w:sz="2" w:space="0" w:color="auto"/>
            <w:left w:val="single" w:sz="2" w:space="0" w:color="auto"/>
            <w:bottom w:val="single" w:sz="2" w:space="0" w:color="auto"/>
            <w:right w:val="single" w:sz="2" w:space="0" w:color="auto"/>
          </w:divBdr>
          <w:divsChild>
            <w:div w:id="5766740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23609199">
      <w:bodyDiv w:val="1"/>
      <w:marLeft w:val="0"/>
      <w:marRight w:val="0"/>
      <w:marTop w:val="0"/>
      <w:marBottom w:val="0"/>
      <w:divBdr>
        <w:top w:val="none" w:sz="0" w:space="0" w:color="auto"/>
        <w:left w:val="none" w:sz="0" w:space="0" w:color="auto"/>
        <w:bottom w:val="none" w:sz="0" w:space="0" w:color="auto"/>
        <w:right w:val="none" w:sz="0" w:space="0" w:color="auto"/>
      </w:divBdr>
    </w:div>
    <w:div w:id="650672523">
      <w:bodyDiv w:val="1"/>
      <w:marLeft w:val="0"/>
      <w:marRight w:val="0"/>
      <w:marTop w:val="0"/>
      <w:marBottom w:val="0"/>
      <w:divBdr>
        <w:top w:val="none" w:sz="0" w:space="0" w:color="auto"/>
        <w:left w:val="none" w:sz="0" w:space="0" w:color="auto"/>
        <w:bottom w:val="none" w:sz="0" w:space="0" w:color="auto"/>
        <w:right w:val="none" w:sz="0" w:space="0" w:color="auto"/>
      </w:divBdr>
      <w:divsChild>
        <w:div w:id="1251890955">
          <w:marLeft w:val="0"/>
          <w:marRight w:val="0"/>
          <w:marTop w:val="0"/>
          <w:marBottom w:val="0"/>
          <w:divBdr>
            <w:top w:val="none" w:sz="0" w:space="0" w:color="auto"/>
            <w:left w:val="none" w:sz="0" w:space="0" w:color="auto"/>
            <w:bottom w:val="none" w:sz="0" w:space="0" w:color="auto"/>
            <w:right w:val="none" w:sz="0" w:space="0" w:color="auto"/>
          </w:divBdr>
        </w:div>
      </w:divsChild>
    </w:div>
    <w:div w:id="718866442">
      <w:bodyDiv w:val="1"/>
      <w:marLeft w:val="0"/>
      <w:marRight w:val="0"/>
      <w:marTop w:val="0"/>
      <w:marBottom w:val="0"/>
      <w:divBdr>
        <w:top w:val="none" w:sz="0" w:space="0" w:color="auto"/>
        <w:left w:val="none" w:sz="0" w:space="0" w:color="auto"/>
        <w:bottom w:val="none" w:sz="0" w:space="0" w:color="auto"/>
        <w:right w:val="none" w:sz="0" w:space="0" w:color="auto"/>
      </w:divBdr>
    </w:div>
    <w:div w:id="888810331">
      <w:bodyDiv w:val="1"/>
      <w:marLeft w:val="0"/>
      <w:marRight w:val="0"/>
      <w:marTop w:val="0"/>
      <w:marBottom w:val="0"/>
      <w:divBdr>
        <w:top w:val="none" w:sz="0" w:space="0" w:color="auto"/>
        <w:left w:val="none" w:sz="0" w:space="0" w:color="auto"/>
        <w:bottom w:val="none" w:sz="0" w:space="0" w:color="auto"/>
        <w:right w:val="none" w:sz="0" w:space="0" w:color="auto"/>
      </w:divBdr>
    </w:div>
    <w:div w:id="1017196488">
      <w:bodyDiv w:val="1"/>
      <w:marLeft w:val="0"/>
      <w:marRight w:val="0"/>
      <w:marTop w:val="0"/>
      <w:marBottom w:val="0"/>
      <w:divBdr>
        <w:top w:val="none" w:sz="0" w:space="0" w:color="auto"/>
        <w:left w:val="none" w:sz="0" w:space="0" w:color="auto"/>
        <w:bottom w:val="none" w:sz="0" w:space="0" w:color="auto"/>
        <w:right w:val="none" w:sz="0" w:space="0" w:color="auto"/>
      </w:divBdr>
      <w:divsChild>
        <w:div w:id="652753238">
          <w:marLeft w:val="0"/>
          <w:marRight w:val="0"/>
          <w:marTop w:val="0"/>
          <w:marBottom w:val="0"/>
          <w:divBdr>
            <w:top w:val="none" w:sz="0" w:space="0" w:color="auto"/>
            <w:left w:val="none" w:sz="0" w:space="0" w:color="auto"/>
            <w:bottom w:val="none" w:sz="0" w:space="0" w:color="auto"/>
            <w:right w:val="none" w:sz="0" w:space="0" w:color="auto"/>
          </w:divBdr>
          <w:divsChild>
            <w:div w:id="1758134700">
              <w:marLeft w:val="0"/>
              <w:marRight w:val="0"/>
              <w:marTop w:val="0"/>
              <w:marBottom w:val="0"/>
              <w:divBdr>
                <w:top w:val="none" w:sz="0" w:space="0" w:color="auto"/>
                <w:left w:val="none" w:sz="0" w:space="0" w:color="auto"/>
                <w:bottom w:val="none" w:sz="0" w:space="0" w:color="auto"/>
                <w:right w:val="none" w:sz="0" w:space="0" w:color="auto"/>
              </w:divBdr>
              <w:divsChild>
                <w:div w:id="1919054402">
                  <w:marLeft w:val="0"/>
                  <w:marRight w:val="0"/>
                  <w:marTop w:val="0"/>
                  <w:marBottom w:val="0"/>
                  <w:divBdr>
                    <w:top w:val="none" w:sz="0" w:space="0" w:color="auto"/>
                    <w:left w:val="none" w:sz="0" w:space="0" w:color="auto"/>
                    <w:bottom w:val="none" w:sz="0" w:space="0" w:color="auto"/>
                    <w:right w:val="none" w:sz="0" w:space="0" w:color="auto"/>
                  </w:divBdr>
                  <w:divsChild>
                    <w:div w:id="18736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200773">
      <w:bodyDiv w:val="1"/>
      <w:marLeft w:val="0"/>
      <w:marRight w:val="0"/>
      <w:marTop w:val="0"/>
      <w:marBottom w:val="0"/>
      <w:divBdr>
        <w:top w:val="none" w:sz="0" w:space="0" w:color="auto"/>
        <w:left w:val="none" w:sz="0" w:space="0" w:color="auto"/>
        <w:bottom w:val="none" w:sz="0" w:space="0" w:color="auto"/>
        <w:right w:val="none" w:sz="0" w:space="0" w:color="auto"/>
      </w:divBdr>
      <w:divsChild>
        <w:div w:id="708993910">
          <w:marLeft w:val="0"/>
          <w:marRight w:val="0"/>
          <w:marTop w:val="0"/>
          <w:marBottom w:val="0"/>
          <w:divBdr>
            <w:top w:val="none" w:sz="0" w:space="0" w:color="auto"/>
            <w:left w:val="none" w:sz="0" w:space="0" w:color="auto"/>
            <w:bottom w:val="none" w:sz="0" w:space="0" w:color="auto"/>
            <w:right w:val="none" w:sz="0" w:space="0" w:color="auto"/>
          </w:divBdr>
        </w:div>
      </w:divsChild>
    </w:div>
    <w:div w:id="1729184596">
      <w:bodyDiv w:val="1"/>
      <w:marLeft w:val="0"/>
      <w:marRight w:val="0"/>
      <w:marTop w:val="0"/>
      <w:marBottom w:val="0"/>
      <w:divBdr>
        <w:top w:val="none" w:sz="0" w:space="0" w:color="auto"/>
        <w:left w:val="none" w:sz="0" w:space="0" w:color="auto"/>
        <w:bottom w:val="none" w:sz="0" w:space="0" w:color="auto"/>
        <w:right w:val="none" w:sz="0" w:space="0" w:color="auto"/>
      </w:divBdr>
    </w:div>
    <w:div w:id="2075008120">
      <w:bodyDiv w:val="1"/>
      <w:marLeft w:val="0"/>
      <w:marRight w:val="0"/>
      <w:marTop w:val="0"/>
      <w:marBottom w:val="0"/>
      <w:divBdr>
        <w:top w:val="none" w:sz="0" w:space="0" w:color="auto"/>
        <w:left w:val="none" w:sz="0" w:space="0" w:color="auto"/>
        <w:bottom w:val="none" w:sz="0" w:space="0" w:color="auto"/>
        <w:right w:val="none" w:sz="0" w:space="0" w:color="auto"/>
      </w:divBdr>
      <w:divsChild>
        <w:div w:id="194738995">
          <w:marLeft w:val="0"/>
          <w:marRight w:val="0"/>
          <w:marTop w:val="0"/>
          <w:marBottom w:val="0"/>
          <w:divBdr>
            <w:top w:val="none" w:sz="0" w:space="0" w:color="auto"/>
            <w:left w:val="none" w:sz="0" w:space="0" w:color="auto"/>
            <w:bottom w:val="none" w:sz="0" w:space="0" w:color="auto"/>
            <w:right w:val="none" w:sz="0" w:space="0" w:color="auto"/>
          </w:divBdr>
        </w:div>
      </w:divsChild>
    </w:div>
    <w:div w:id="2097094964">
      <w:bodyDiv w:val="1"/>
      <w:marLeft w:val="0"/>
      <w:marRight w:val="0"/>
      <w:marTop w:val="0"/>
      <w:marBottom w:val="0"/>
      <w:divBdr>
        <w:top w:val="none" w:sz="0" w:space="0" w:color="auto"/>
        <w:left w:val="none" w:sz="0" w:space="0" w:color="auto"/>
        <w:bottom w:val="none" w:sz="0" w:space="0" w:color="auto"/>
        <w:right w:val="none" w:sz="0" w:space="0" w:color="auto"/>
      </w:divBdr>
      <w:divsChild>
        <w:div w:id="1171481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5.xml"/><Relationship Id="rId2" Type="http://schemas.openxmlformats.org/officeDocument/2006/relationships/customXml" Target="../customXml/item1.xml"/><Relationship Id="rId16" Type="http://schemas.openxmlformats.org/officeDocument/2006/relationships/chart" Target="charts/chart4.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206971677559912E-2"/>
          <c:y val="0.13538748832866479"/>
          <c:w val="0.87483660130718954"/>
          <c:h val="0.73361234257482522"/>
        </c:manualLayout>
      </c:layout>
      <c:barChart>
        <c:barDir val="col"/>
        <c:grouping val="percentStacked"/>
        <c:varyColors val="0"/>
        <c:ser>
          <c:idx val="0"/>
          <c:order val="0"/>
          <c:tx>
            <c:strRef>
              <c:f>Sheet1!$B$1</c:f>
              <c:strCache>
                <c:ptCount val="1"/>
                <c:pt idx="0">
                  <c:v>Publicly traded</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1980 to 1990</c:v>
                </c:pt>
                <c:pt idx="1">
                  <c:v>1991 to 2000</c:v>
                </c:pt>
                <c:pt idx="2">
                  <c:v>2001 to 2010</c:v>
                </c:pt>
                <c:pt idx="3">
                  <c:v>2011 to 2020</c:v>
                </c:pt>
              </c:strCache>
            </c:strRef>
          </c:cat>
          <c:val>
            <c:numRef>
              <c:f>Sheet1!$B$2:$B$5</c:f>
              <c:numCache>
                <c:formatCode>0%</c:formatCode>
                <c:ptCount val="4"/>
                <c:pt idx="0">
                  <c:v>0.69</c:v>
                </c:pt>
                <c:pt idx="1">
                  <c:v>0.45</c:v>
                </c:pt>
                <c:pt idx="2">
                  <c:v>0.28999999999999998</c:v>
                </c:pt>
                <c:pt idx="3">
                  <c:v>0.19</c:v>
                </c:pt>
              </c:numCache>
            </c:numRef>
          </c:val>
          <c:extLst>
            <c:ext xmlns:c16="http://schemas.microsoft.com/office/drawing/2014/chart" uri="{C3380CC4-5D6E-409C-BE32-E72D297353CC}">
              <c16:uniqueId val="{00000000-EE0E-478F-BA7E-57DCB3793351}"/>
            </c:ext>
          </c:extLst>
        </c:ser>
        <c:ser>
          <c:idx val="1"/>
          <c:order val="1"/>
          <c:tx>
            <c:strRef>
              <c:f>Sheet1!$C$1</c:f>
              <c:strCache>
                <c:ptCount val="1"/>
                <c:pt idx="0">
                  <c:v>Privately held or no longer reporting seperately</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1980 to 1990</c:v>
                </c:pt>
                <c:pt idx="1">
                  <c:v>1991 to 2000</c:v>
                </c:pt>
                <c:pt idx="2">
                  <c:v>2001 to 2010</c:v>
                </c:pt>
                <c:pt idx="3">
                  <c:v>2011 to 2020</c:v>
                </c:pt>
              </c:strCache>
            </c:strRef>
          </c:cat>
          <c:val>
            <c:numRef>
              <c:f>Sheet1!$C$2:$C$5</c:f>
              <c:numCache>
                <c:formatCode>0%</c:formatCode>
                <c:ptCount val="4"/>
                <c:pt idx="0">
                  <c:v>0.31000000000000005</c:v>
                </c:pt>
                <c:pt idx="1">
                  <c:v>0.55000000000000004</c:v>
                </c:pt>
                <c:pt idx="2">
                  <c:v>0.71</c:v>
                </c:pt>
                <c:pt idx="3">
                  <c:v>0.81</c:v>
                </c:pt>
              </c:numCache>
            </c:numRef>
          </c:val>
          <c:extLst>
            <c:ext xmlns:c16="http://schemas.microsoft.com/office/drawing/2014/chart" uri="{C3380CC4-5D6E-409C-BE32-E72D297353CC}">
              <c16:uniqueId val="{00000001-EE0E-478F-BA7E-57DCB3793351}"/>
            </c:ext>
          </c:extLst>
        </c:ser>
        <c:dLbls>
          <c:dLblPos val="ctr"/>
          <c:showLegendKey val="0"/>
          <c:showVal val="1"/>
          <c:showCatName val="0"/>
          <c:showSerName val="0"/>
          <c:showPercent val="0"/>
          <c:showBubbleSize val="0"/>
        </c:dLbls>
        <c:gapWidth val="219"/>
        <c:overlap val="100"/>
        <c:axId val="679405232"/>
        <c:axId val="983731552"/>
      </c:barChart>
      <c:catAx>
        <c:axId val="67940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3731552"/>
        <c:crosses val="autoZero"/>
        <c:auto val="1"/>
        <c:lblAlgn val="ctr"/>
        <c:lblOffset val="100"/>
        <c:noMultiLvlLbl val="0"/>
      </c:catAx>
      <c:valAx>
        <c:axId val="983731552"/>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9405232"/>
        <c:crosses val="autoZero"/>
        <c:crossBetween val="between"/>
      </c:valAx>
      <c:spPr>
        <a:noFill/>
        <a:ln>
          <a:noFill/>
        </a:ln>
        <a:effectLst/>
      </c:spPr>
    </c:plotArea>
    <c:legend>
      <c:legendPos val="b"/>
      <c:layout>
        <c:manualLayout>
          <c:xMode val="edge"/>
          <c:yMode val="edge"/>
          <c:x val="0.71917039781791992"/>
          <c:y val="2.4882183844666474E-2"/>
          <c:w val="0.2808296021820802"/>
          <c:h val="7.87592727379665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206971677559912E-2"/>
          <c:y val="0.13538748832866479"/>
          <c:w val="0.87483660130718954"/>
          <c:h val="0.73361234257482522"/>
        </c:manualLayout>
      </c:layout>
      <c:barChart>
        <c:barDir val="col"/>
        <c:grouping val="percentStacked"/>
        <c:varyColors val="0"/>
        <c:ser>
          <c:idx val="0"/>
          <c:order val="0"/>
          <c:tx>
            <c:strRef>
              <c:f>Sheet1!$B$1</c:f>
              <c:strCache>
                <c:ptCount val="1"/>
                <c:pt idx="0">
                  <c:v>Publicly traded</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1980s</c:v>
                </c:pt>
                <c:pt idx="1">
                  <c:v>1990s</c:v>
                </c:pt>
                <c:pt idx="2">
                  <c:v>2000s</c:v>
                </c:pt>
                <c:pt idx="3">
                  <c:v>2010s+</c:v>
                </c:pt>
              </c:strCache>
            </c:strRef>
          </c:cat>
          <c:val>
            <c:numRef>
              <c:f>Sheet1!$B$2:$B$5</c:f>
              <c:numCache>
                <c:formatCode>0%</c:formatCode>
                <c:ptCount val="4"/>
                <c:pt idx="0">
                  <c:v>0.8783783783783784</c:v>
                </c:pt>
                <c:pt idx="1">
                  <c:v>0.70558375634517767</c:v>
                </c:pt>
                <c:pt idx="2">
                  <c:v>0.46745562130177515</c:v>
                </c:pt>
                <c:pt idx="3">
                  <c:v>0.3632286995515695</c:v>
                </c:pt>
              </c:numCache>
            </c:numRef>
          </c:val>
          <c:extLst>
            <c:ext xmlns:c16="http://schemas.microsoft.com/office/drawing/2014/chart" uri="{C3380CC4-5D6E-409C-BE32-E72D297353CC}">
              <c16:uniqueId val="{00000000-DCAF-45E4-96E3-F22258E30F94}"/>
            </c:ext>
          </c:extLst>
        </c:ser>
        <c:ser>
          <c:idx val="1"/>
          <c:order val="1"/>
          <c:tx>
            <c:strRef>
              <c:f>Sheet1!$C$1</c:f>
              <c:strCache>
                <c:ptCount val="1"/>
                <c:pt idx="0">
                  <c:v>Privately held or no longer reporting seperately</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1980s</c:v>
                </c:pt>
                <c:pt idx="1">
                  <c:v>1990s</c:v>
                </c:pt>
                <c:pt idx="2">
                  <c:v>2000s</c:v>
                </c:pt>
                <c:pt idx="3">
                  <c:v>2010s+</c:v>
                </c:pt>
              </c:strCache>
            </c:strRef>
          </c:cat>
          <c:val>
            <c:numRef>
              <c:f>Sheet1!$C$2:$C$5</c:f>
              <c:numCache>
                <c:formatCode>0%</c:formatCode>
                <c:ptCount val="4"/>
                <c:pt idx="0">
                  <c:v>0.1216216216216216</c:v>
                </c:pt>
                <c:pt idx="1">
                  <c:v>0.29441624365482233</c:v>
                </c:pt>
                <c:pt idx="2">
                  <c:v>0.53254437869822491</c:v>
                </c:pt>
                <c:pt idx="3">
                  <c:v>0.63677130044843056</c:v>
                </c:pt>
              </c:numCache>
            </c:numRef>
          </c:val>
          <c:extLst>
            <c:ext xmlns:c16="http://schemas.microsoft.com/office/drawing/2014/chart" uri="{C3380CC4-5D6E-409C-BE32-E72D297353CC}">
              <c16:uniqueId val="{00000001-DCAF-45E4-96E3-F22258E30F94}"/>
            </c:ext>
          </c:extLst>
        </c:ser>
        <c:dLbls>
          <c:dLblPos val="ctr"/>
          <c:showLegendKey val="0"/>
          <c:showVal val="1"/>
          <c:showCatName val="0"/>
          <c:showSerName val="0"/>
          <c:showPercent val="0"/>
          <c:showBubbleSize val="0"/>
        </c:dLbls>
        <c:gapWidth val="219"/>
        <c:overlap val="100"/>
        <c:axId val="679405232"/>
        <c:axId val="983731552"/>
      </c:barChart>
      <c:catAx>
        <c:axId val="679405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3731552"/>
        <c:crosses val="autoZero"/>
        <c:auto val="1"/>
        <c:lblAlgn val="ctr"/>
        <c:lblOffset val="100"/>
        <c:noMultiLvlLbl val="0"/>
      </c:catAx>
      <c:valAx>
        <c:axId val="983731552"/>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9405232"/>
        <c:crosses val="autoZero"/>
        <c:crossBetween val="between"/>
      </c:valAx>
      <c:spPr>
        <a:noFill/>
        <a:ln>
          <a:noFill/>
        </a:ln>
        <a:effectLst/>
      </c:spPr>
    </c:plotArea>
    <c:legend>
      <c:legendPos val="b"/>
      <c:layout>
        <c:manualLayout>
          <c:xMode val="edge"/>
          <c:yMode val="edge"/>
          <c:x val="0.71917039781791992"/>
          <c:y val="2.4882183844666474E-2"/>
          <c:w val="0.2808296021820802"/>
          <c:h val="7.87592727379665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2524960115279707"/>
          <c:y val="0.16057886909025551"/>
          <c:w val="0.83567924107525771"/>
          <c:h val="0.73948807176476394"/>
        </c:manualLayout>
      </c:layout>
      <c:lineChart>
        <c:grouping val="standard"/>
        <c:varyColors val="0"/>
        <c:ser>
          <c:idx val="0"/>
          <c:order val="1"/>
          <c:tx>
            <c:strRef>
              <c:f>Sheet1!#REF!</c:f>
              <c:strCache>
                <c:ptCount val="1"/>
                <c:pt idx="0">
                  <c:v>#REF!</c:v>
                </c:pt>
              </c:strCache>
            </c:strRef>
          </c:tx>
          <c:spPr>
            <a:ln w="28575" cap="rnd" cmpd="sng" algn="ctr">
              <a:solidFill>
                <a:schemeClr val="accent1">
                  <a:shade val="76000"/>
                  <a:shade val="95000"/>
                  <a:satMod val="105000"/>
                </a:schemeClr>
              </a:solidFill>
              <a:prstDash val="solid"/>
              <a:round/>
            </a:ln>
            <a:effectLst/>
          </c:spPr>
          <c:marker>
            <c:symbol val="none"/>
          </c:marker>
          <c:cat>
            <c:numRef>
              <c:f>Table1[Year of filing]</c:f>
              <c:numCache>
                <c:formatCode>General</c:formatCode>
                <c:ptCount val="42"/>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numCache>
            </c:numRef>
          </c:cat>
          <c:val>
            <c:numRef>
              <c:f>Sheet1!#REF!</c:f>
              <c:numCache>
                <c:formatCode>General</c:formatCode>
                <c:ptCount val="1"/>
                <c:pt idx="0">
                  <c:v>1</c:v>
                </c:pt>
              </c:numCache>
            </c:numRef>
          </c:val>
          <c:smooth val="0"/>
          <c:extLst>
            <c:ext xmlns:c16="http://schemas.microsoft.com/office/drawing/2014/chart" uri="{C3380CC4-5D6E-409C-BE32-E72D297353CC}">
              <c16:uniqueId val="{00000000-BB12-4611-A01E-15F7B39A526D}"/>
            </c:ext>
          </c:extLst>
        </c:ser>
        <c:dLbls>
          <c:showLegendKey val="0"/>
          <c:showVal val="0"/>
          <c:showCatName val="0"/>
          <c:showSerName val="0"/>
          <c:showPercent val="0"/>
          <c:showBubbleSize val="0"/>
        </c:dLbls>
        <c:marker val="1"/>
        <c:smooth val="0"/>
        <c:axId val="561485240"/>
        <c:axId val="561488312"/>
      </c:lineChart>
      <c:lineChart>
        <c:grouping val="standard"/>
        <c:varyColors val="0"/>
        <c:ser>
          <c:idx val="1"/>
          <c:order val="0"/>
          <c:tx>
            <c:strRef>
              <c:f>Sheet1!$B$1</c:f>
              <c:strCache>
                <c:ptCount val="1"/>
                <c:pt idx="0">
                  <c:v>Average of Duration</c:v>
                </c:pt>
              </c:strCache>
            </c:strRef>
          </c:tx>
          <c:spPr>
            <a:ln w="28575" cap="rnd" cmpd="sng" algn="ctr">
              <a:solidFill>
                <a:schemeClr val="accent1">
                  <a:tint val="77000"/>
                  <a:shade val="95000"/>
                  <a:satMod val="105000"/>
                </a:schemeClr>
              </a:solidFill>
              <a:prstDash val="solid"/>
              <a:round/>
            </a:ln>
            <a:effectLst/>
          </c:spPr>
          <c:marker>
            <c:symbol val="none"/>
          </c:marker>
          <c:trendline>
            <c:spPr>
              <a:ln w="9525" cap="rnd" cmpd="sng" algn="ctr">
                <a:solidFill>
                  <a:schemeClr val="tx1">
                    <a:shade val="95000"/>
                    <a:satMod val="105000"/>
                  </a:schemeClr>
                </a:solidFill>
                <a:prstDash val="sysDot"/>
                <a:round/>
              </a:ln>
              <a:effectLst/>
            </c:spPr>
            <c:trendlineType val="linear"/>
            <c:dispRSqr val="0"/>
            <c:dispEq val="0"/>
          </c:trendline>
          <c:cat>
            <c:numRef>
              <c:f>Table1[Year of filing]</c:f>
              <c:numCache>
                <c:formatCode>General</c:formatCode>
                <c:ptCount val="42"/>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numCache>
            </c:numRef>
          </c:cat>
          <c:val>
            <c:numRef>
              <c:f>Sheet1!$B$2:$B$43</c:f>
              <c:numCache>
                <c:formatCode>0</c:formatCode>
                <c:ptCount val="42"/>
                <c:pt idx="0">
                  <c:v>1007.6666666666666</c:v>
                </c:pt>
                <c:pt idx="1">
                  <c:v>1403.4</c:v>
                </c:pt>
                <c:pt idx="2">
                  <c:v>1084.4615384615386</c:v>
                </c:pt>
                <c:pt idx="3">
                  <c:v>827.16666666666663</c:v>
                </c:pt>
                <c:pt idx="4">
                  <c:v>823</c:v>
                </c:pt>
                <c:pt idx="5">
                  <c:v>981.28571428571433</c:v>
                </c:pt>
                <c:pt idx="6">
                  <c:v>891.36363636363637</c:v>
                </c:pt>
                <c:pt idx="7">
                  <c:v>636.75</c:v>
                </c:pt>
                <c:pt idx="8">
                  <c:v>732.41666666666663</c:v>
                </c:pt>
                <c:pt idx="9">
                  <c:v>959.3125</c:v>
                </c:pt>
                <c:pt idx="10">
                  <c:v>732.21428571428567</c:v>
                </c:pt>
                <c:pt idx="11">
                  <c:v>648.7560975609756</c:v>
                </c:pt>
                <c:pt idx="12">
                  <c:v>358.25806451612902</c:v>
                </c:pt>
                <c:pt idx="13">
                  <c:v>349.36</c:v>
                </c:pt>
                <c:pt idx="14">
                  <c:v>399.33333333333331</c:v>
                </c:pt>
                <c:pt idx="15">
                  <c:v>662.88888888888891</c:v>
                </c:pt>
                <c:pt idx="16">
                  <c:v>460.25</c:v>
                </c:pt>
                <c:pt idx="17">
                  <c:v>574.82352941176475</c:v>
                </c:pt>
                <c:pt idx="18">
                  <c:v>512.48387096774195</c:v>
                </c:pt>
                <c:pt idx="19">
                  <c:v>612.33333333333337</c:v>
                </c:pt>
                <c:pt idx="20">
                  <c:v>614.88750000000005</c:v>
                </c:pt>
                <c:pt idx="21">
                  <c:v>628.47422680412376</c:v>
                </c:pt>
                <c:pt idx="22">
                  <c:v>417.20481927710841</c:v>
                </c:pt>
                <c:pt idx="23">
                  <c:v>605.75</c:v>
                </c:pt>
                <c:pt idx="24">
                  <c:v>339.51724137931035</c:v>
                </c:pt>
                <c:pt idx="25">
                  <c:v>520.48</c:v>
                </c:pt>
                <c:pt idx="26">
                  <c:v>474.85714285714283</c:v>
                </c:pt>
                <c:pt idx="27">
                  <c:v>486.76923076923077</c:v>
                </c:pt>
                <c:pt idx="28">
                  <c:v>593.20000000000005</c:v>
                </c:pt>
                <c:pt idx="29">
                  <c:v>452.4404761904762</c:v>
                </c:pt>
                <c:pt idx="30">
                  <c:v>334.17857142857144</c:v>
                </c:pt>
                <c:pt idx="31">
                  <c:v>331.18181818181819</c:v>
                </c:pt>
                <c:pt idx="32">
                  <c:v>323.41666666666669</c:v>
                </c:pt>
                <c:pt idx="33">
                  <c:v>230.52</c:v>
                </c:pt>
                <c:pt idx="34">
                  <c:v>325.29411764705884</c:v>
                </c:pt>
                <c:pt idx="35">
                  <c:v>301.88</c:v>
                </c:pt>
                <c:pt idx="36">
                  <c:v>227.63414634146341</c:v>
                </c:pt>
                <c:pt idx="37">
                  <c:v>174.79310344827587</c:v>
                </c:pt>
                <c:pt idx="38">
                  <c:v>241.875</c:v>
                </c:pt>
                <c:pt idx="39">
                  <c:v>236.58333333333334</c:v>
                </c:pt>
                <c:pt idx="40">
                  <c:v>147.33928571428572</c:v>
                </c:pt>
                <c:pt idx="41">
                  <c:v>99.125</c:v>
                </c:pt>
              </c:numCache>
            </c:numRef>
          </c:val>
          <c:smooth val="0"/>
          <c:extLst>
            <c:ext xmlns:c16="http://schemas.microsoft.com/office/drawing/2014/chart" uri="{C3380CC4-5D6E-409C-BE32-E72D297353CC}">
              <c16:uniqueId val="{00000002-BB12-4611-A01E-15F7B39A526D}"/>
            </c:ext>
          </c:extLst>
        </c:ser>
        <c:dLbls>
          <c:showLegendKey val="0"/>
          <c:showVal val="0"/>
          <c:showCatName val="0"/>
          <c:showSerName val="0"/>
          <c:showPercent val="0"/>
          <c:showBubbleSize val="0"/>
        </c:dLbls>
        <c:marker val="1"/>
        <c:smooth val="0"/>
        <c:axId val="561496984"/>
        <c:axId val="561493640"/>
      </c:lineChart>
      <c:catAx>
        <c:axId val="561485240"/>
        <c:scaling>
          <c:orientation val="minMax"/>
        </c:scaling>
        <c:delete val="0"/>
        <c:axPos val="b"/>
        <c:numFmt formatCode="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1488312"/>
        <c:crosses val="autoZero"/>
        <c:auto val="1"/>
        <c:lblAlgn val="ctr"/>
        <c:lblOffset val="100"/>
        <c:tickLblSkip val="5"/>
        <c:tickMarkSkip val="5"/>
        <c:noMultiLvlLbl val="0"/>
      </c:catAx>
      <c:valAx>
        <c:axId val="561488312"/>
        <c:scaling>
          <c:orientation val="minMax"/>
          <c:max val="1500"/>
        </c:scaling>
        <c:delete val="0"/>
        <c:axPos val="l"/>
        <c:majorGridlines>
          <c:spPr>
            <a:ln w="9525" cap="flat" cmpd="sng" algn="ctr">
              <a:noFill/>
              <a:prstDash val="solid"/>
              <a:round/>
            </a:ln>
            <a:effectLst/>
          </c:spPr>
        </c:majorGridlines>
        <c:title>
          <c:tx>
            <c:rich>
              <a:bodyPr rot="0" spcFirstLastPara="1" vertOverflow="ellipsis"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0" i="1" u="none"/>
                  <a:t>Days</a:t>
                </a:r>
              </a:p>
            </c:rich>
          </c:tx>
          <c:layout>
            <c:manualLayout>
              <c:xMode val="edge"/>
              <c:yMode val="edge"/>
              <c:x val="5.4466230936819175E-3"/>
              <c:y val="1.6877637130801686E-2"/>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61485240"/>
        <c:crosses val="autoZero"/>
        <c:crossBetween val="midCat"/>
        <c:majorUnit val="300"/>
      </c:valAx>
      <c:valAx>
        <c:axId val="561493640"/>
        <c:scaling>
          <c:orientation val="minMax"/>
        </c:scaling>
        <c:delete val="1"/>
        <c:axPos val="r"/>
        <c:numFmt formatCode="0%" sourceLinked="0"/>
        <c:majorTickMark val="out"/>
        <c:minorTickMark val="none"/>
        <c:tickLblPos val="nextTo"/>
        <c:crossAx val="561496984"/>
        <c:crosses val="max"/>
        <c:crossBetween val="between"/>
      </c:valAx>
      <c:catAx>
        <c:axId val="561496984"/>
        <c:scaling>
          <c:orientation val="minMax"/>
        </c:scaling>
        <c:delete val="1"/>
        <c:axPos val="b"/>
        <c:numFmt formatCode="General" sourceLinked="1"/>
        <c:majorTickMark val="out"/>
        <c:minorTickMark val="none"/>
        <c:tickLblPos val="none"/>
        <c:crossAx val="561493640"/>
        <c:crosses val="autoZero"/>
        <c:auto val="1"/>
        <c:lblAlgn val="ctr"/>
        <c:lblOffset val="100"/>
        <c:noMultiLvlLbl val="0"/>
      </c:catAx>
      <c:spPr>
        <a:solidFill>
          <a:schemeClr val="bg1"/>
        </a:solidFill>
        <a:ln>
          <a:noFill/>
        </a:ln>
        <a:effectLst/>
      </c:spPr>
    </c:plotArea>
    <c:plotVisOnly val="1"/>
    <c:dispBlanksAs val="gap"/>
    <c:showDLblsOverMax val="0"/>
  </c:chart>
  <c:spPr>
    <a:noFill/>
    <a:ln w="6350" cap="flat" cmpd="sng" algn="ctr">
      <a:noFill/>
      <a:prstDash val="solid"/>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072791665233987E-2"/>
          <c:y val="0.12660583603520148"/>
          <c:w val="0.82538748220197966"/>
          <c:h val="0.76264072873243782"/>
        </c:manualLayout>
      </c:layout>
      <c:barChart>
        <c:barDir val="col"/>
        <c:grouping val="percentStacked"/>
        <c:varyColors val="0"/>
        <c:ser>
          <c:idx val="0"/>
          <c:order val="0"/>
          <c:tx>
            <c:strRef>
              <c:f>Pivot!$N$6</c:f>
              <c:strCache>
                <c:ptCount val="1"/>
                <c:pt idx="0">
                  <c:v> Public</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Pivot!$L$7:$L$11</c:f>
              <c:strCache>
                <c:ptCount val="5"/>
                <c:pt idx="0">
                  <c:v>1980s</c:v>
                </c:pt>
                <c:pt idx="1">
                  <c:v>1990s</c:v>
                </c:pt>
                <c:pt idx="2">
                  <c:v>2000s</c:v>
                </c:pt>
                <c:pt idx="3">
                  <c:v>2010s</c:v>
                </c:pt>
                <c:pt idx="4">
                  <c:v>2020s</c:v>
                </c:pt>
              </c:strCache>
            </c:strRef>
          </c:cat>
          <c:val>
            <c:numRef>
              <c:f>Pivot!$N$7:$N$11</c:f>
              <c:numCache>
                <c:formatCode>0%</c:formatCode>
                <c:ptCount val="5"/>
                <c:pt idx="0">
                  <c:v>0.984375</c:v>
                </c:pt>
                <c:pt idx="1">
                  <c:v>0.98787878787878791</c:v>
                </c:pt>
                <c:pt idx="2">
                  <c:v>0.8258426966292135</c:v>
                </c:pt>
                <c:pt idx="3">
                  <c:v>0.52222222222222225</c:v>
                </c:pt>
                <c:pt idx="4">
                  <c:v>0.39310344827586208</c:v>
                </c:pt>
              </c:numCache>
            </c:numRef>
          </c:val>
          <c:extLst>
            <c:ext xmlns:c16="http://schemas.microsoft.com/office/drawing/2014/chart" uri="{C3380CC4-5D6E-409C-BE32-E72D297353CC}">
              <c16:uniqueId val="{00000000-F603-44D8-8AA6-B3AC6F3E516F}"/>
            </c:ext>
          </c:extLst>
        </c:ser>
        <c:ser>
          <c:idx val="1"/>
          <c:order val="1"/>
          <c:tx>
            <c:strRef>
              <c:f>Pivot!$M$6</c:f>
              <c:strCache>
                <c:ptCount val="1"/>
                <c:pt idx="0">
                  <c:v> Private</c:v>
                </c:pt>
              </c:strCache>
            </c:strRef>
          </c:tx>
          <c:spPr>
            <a:solidFill>
              <a:schemeClr val="dk1">
                <a:tint val="55000"/>
              </a:schemeClr>
            </a:solidFill>
            <a:ln>
              <a:noFill/>
            </a:ln>
            <a:effectLst/>
          </c:spPr>
          <c:invertIfNegative val="0"/>
          <c:dLbls>
            <c:dLbl>
              <c:idx val="2"/>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03-44D8-8AA6-B3AC6F3E516F}"/>
                </c:ext>
              </c:extLst>
            </c:dLbl>
            <c:dLbl>
              <c:idx val="3"/>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03-44D8-8AA6-B3AC6F3E516F}"/>
                </c:ext>
              </c:extLst>
            </c:dLbl>
            <c:dLbl>
              <c:idx val="4"/>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03-44D8-8AA6-B3AC6F3E516F}"/>
                </c:ext>
              </c:extLst>
            </c:dLbl>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Pivot!$L$7:$L$11</c:f>
              <c:strCache>
                <c:ptCount val="5"/>
                <c:pt idx="0">
                  <c:v>1980s</c:v>
                </c:pt>
                <c:pt idx="1">
                  <c:v>1990s</c:v>
                </c:pt>
                <c:pt idx="2">
                  <c:v>2000s</c:v>
                </c:pt>
                <c:pt idx="3">
                  <c:v>2010s</c:v>
                </c:pt>
                <c:pt idx="4">
                  <c:v>2020s</c:v>
                </c:pt>
              </c:strCache>
            </c:strRef>
          </c:cat>
          <c:val>
            <c:numRef>
              <c:f>Pivot!$M$7:$M$11</c:f>
              <c:numCache>
                <c:formatCode>0%</c:formatCode>
                <c:ptCount val="5"/>
                <c:pt idx="0">
                  <c:v>1.5625E-2</c:v>
                </c:pt>
                <c:pt idx="1">
                  <c:v>1.2121212121212121E-2</c:v>
                </c:pt>
                <c:pt idx="2">
                  <c:v>0.17415730337078653</c:v>
                </c:pt>
                <c:pt idx="3">
                  <c:v>0.4777777777777778</c:v>
                </c:pt>
                <c:pt idx="4">
                  <c:v>0.60689655172413792</c:v>
                </c:pt>
              </c:numCache>
            </c:numRef>
          </c:val>
          <c:extLst>
            <c:ext xmlns:c16="http://schemas.microsoft.com/office/drawing/2014/chart" uri="{C3380CC4-5D6E-409C-BE32-E72D297353CC}">
              <c16:uniqueId val="{00000004-F603-44D8-8AA6-B3AC6F3E516F}"/>
            </c:ext>
          </c:extLst>
        </c:ser>
        <c:dLbls>
          <c:showLegendKey val="0"/>
          <c:showVal val="0"/>
          <c:showCatName val="0"/>
          <c:showSerName val="0"/>
          <c:showPercent val="0"/>
          <c:showBubbleSize val="0"/>
        </c:dLbls>
        <c:gapWidth val="150"/>
        <c:overlap val="100"/>
        <c:axId val="684808047"/>
        <c:axId val="685760607"/>
      </c:barChart>
      <c:catAx>
        <c:axId val="684808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5760607"/>
        <c:crosses val="autoZero"/>
        <c:auto val="1"/>
        <c:lblAlgn val="ctr"/>
        <c:lblOffset val="100"/>
        <c:noMultiLvlLbl val="0"/>
      </c:catAx>
      <c:valAx>
        <c:axId val="685760607"/>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4808047"/>
        <c:crosses val="autoZero"/>
        <c:crossBetween val="between"/>
      </c:valAx>
      <c:spPr>
        <a:noFill/>
        <a:ln>
          <a:noFill/>
        </a:ln>
        <a:effectLst/>
      </c:spPr>
    </c:plotArea>
    <c:legend>
      <c:legendPos val="b"/>
      <c:layout>
        <c:manualLayout>
          <c:xMode val="edge"/>
          <c:yMode val="edge"/>
          <c:x val="0.58703038958365494"/>
          <c:y val="1.1529102979774586E-2"/>
          <c:w val="0.38943998421765913"/>
          <c:h val="8.367330554268952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359012141026222E-2"/>
          <c:y val="0.15692737430167597"/>
          <c:w val="0.85450161254353008"/>
          <c:h val="0.75068886640566579"/>
        </c:manualLayout>
      </c:layout>
      <c:barChart>
        <c:barDir val="col"/>
        <c:grouping val="percentStacked"/>
        <c:varyColors val="0"/>
        <c:ser>
          <c:idx val="0"/>
          <c:order val="0"/>
          <c:tx>
            <c:strRef>
              <c:f>Pivot!$Z$5</c:f>
              <c:strCache>
                <c:ptCount val="1"/>
                <c:pt idx="0">
                  <c:v>Publicly Traded</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Pivot!$Y$6:$Y$10</c:f>
              <c:strCache>
                <c:ptCount val="5"/>
                <c:pt idx="0">
                  <c:v>1980s</c:v>
                </c:pt>
                <c:pt idx="1">
                  <c:v>1990s</c:v>
                </c:pt>
                <c:pt idx="2">
                  <c:v>2000s</c:v>
                </c:pt>
                <c:pt idx="3">
                  <c:v>2010s</c:v>
                </c:pt>
                <c:pt idx="4">
                  <c:v>2020s</c:v>
                </c:pt>
              </c:strCache>
            </c:strRef>
          </c:cat>
          <c:val>
            <c:numRef>
              <c:f>Pivot!$Z$6:$Z$10</c:f>
              <c:numCache>
                <c:formatCode>0.0%</c:formatCode>
                <c:ptCount val="5"/>
                <c:pt idx="0">
                  <c:v>0.99474242442125782</c:v>
                </c:pt>
                <c:pt idx="1">
                  <c:v>0.97130819343903807</c:v>
                </c:pt>
                <c:pt idx="2">
                  <c:v>0.95127627143114257</c:v>
                </c:pt>
                <c:pt idx="3">
                  <c:v>0.6632029278597622</c:v>
                </c:pt>
                <c:pt idx="4">
                  <c:v>0.706862349845509</c:v>
                </c:pt>
              </c:numCache>
            </c:numRef>
          </c:val>
          <c:extLst>
            <c:ext xmlns:c16="http://schemas.microsoft.com/office/drawing/2014/chart" uri="{C3380CC4-5D6E-409C-BE32-E72D297353CC}">
              <c16:uniqueId val="{00000000-5173-4CFD-A0A6-3D0DF900E1A8}"/>
            </c:ext>
          </c:extLst>
        </c:ser>
        <c:ser>
          <c:idx val="1"/>
          <c:order val="1"/>
          <c:tx>
            <c:strRef>
              <c:f>Pivot!$AA$5</c:f>
              <c:strCache>
                <c:ptCount val="1"/>
                <c:pt idx="0">
                  <c:v>Privately Held</c:v>
                </c:pt>
              </c:strCache>
            </c:strRef>
          </c:tx>
          <c:spPr>
            <a:solidFill>
              <a:schemeClr val="dk1">
                <a:tint val="55000"/>
              </a:schemeClr>
            </a:solidFill>
            <a:ln>
              <a:noFill/>
            </a:ln>
            <a:effectLst/>
          </c:spPr>
          <c:invertIfNegative val="0"/>
          <c:dLbls>
            <c:dLbl>
              <c:idx val="0"/>
              <c:layout>
                <c:manualLayout>
                  <c:x val="0"/>
                  <c:y val="-4.4897959183673487E-2"/>
                </c:manualLayout>
              </c:layout>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73-4CFD-A0A6-3D0DF900E1A8}"/>
                </c:ext>
              </c:extLst>
            </c:dLbl>
            <c:dLbl>
              <c:idx val="1"/>
              <c:layout>
                <c:manualLayout>
                  <c:x val="-4.980473118051831E-17"/>
                  <c:y val="-5.9183673469387757E-2"/>
                </c:manualLayout>
              </c:layout>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5.590872045639772E-2"/>
                      <c:h val="4.3857303551341799E-2"/>
                    </c:manualLayout>
                  </c15:layout>
                </c:ext>
                <c:ext xmlns:c16="http://schemas.microsoft.com/office/drawing/2014/chart" uri="{C3380CC4-5D6E-409C-BE32-E72D297353CC}">
                  <c16:uniqueId val="{00000002-5173-4CFD-A0A6-3D0DF900E1A8}"/>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Pivot!$Y$6:$Y$10</c:f>
              <c:strCache>
                <c:ptCount val="5"/>
                <c:pt idx="0">
                  <c:v>1980s</c:v>
                </c:pt>
                <c:pt idx="1">
                  <c:v>1990s</c:v>
                </c:pt>
                <c:pt idx="2">
                  <c:v>2000s</c:v>
                </c:pt>
                <c:pt idx="3">
                  <c:v>2010s</c:v>
                </c:pt>
                <c:pt idx="4">
                  <c:v>2020s</c:v>
                </c:pt>
              </c:strCache>
            </c:strRef>
          </c:cat>
          <c:val>
            <c:numRef>
              <c:f>Pivot!$AA$6:$AA$10</c:f>
              <c:numCache>
                <c:formatCode>0.0%</c:formatCode>
                <c:ptCount val="5"/>
                <c:pt idx="0">
                  <c:v>5.2575755787421866E-3</c:v>
                </c:pt>
                <c:pt idx="1">
                  <c:v>2.8691806560961909E-2</c:v>
                </c:pt>
                <c:pt idx="2">
                  <c:v>4.87237285688574E-2</c:v>
                </c:pt>
                <c:pt idx="3">
                  <c:v>0.3367970721402378</c:v>
                </c:pt>
                <c:pt idx="4">
                  <c:v>0.29313765015449095</c:v>
                </c:pt>
              </c:numCache>
            </c:numRef>
          </c:val>
          <c:extLst>
            <c:ext xmlns:c16="http://schemas.microsoft.com/office/drawing/2014/chart" uri="{C3380CC4-5D6E-409C-BE32-E72D297353CC}">
              <c16:uniqueId val="{00000003-5173-4CFD-A0A6-3D0DF900E1A8}"/>
            </c:ext>
          </c:extLst>
        </c:ser>
        <c:dLbls>
          <c:showLegendKey val="0"/>
          <c:showVal val="0"/>
          <c:showCatName val="0"/>
          <c:showSerName val="0"/>
          <c:showPercent val="0"/>
          <c:showBubbleSize val="0"/>
        </c:dLbls>
        <c:gapWidth val="150"/>
        <c:overlap val="100"/>
        <c:axId val="1754238863"/>
        <c:axId val="1754240511"/>
      </c:barChart>
      <c:catAx>
        <c:axId val="1754238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4240511"/>
        <c:crosses val="autoZero"/>
        <c:auto val="1"/>
        <c:lblAlgn val="ctr"/>
        <c:lblOffset val="100"/>
        <c:noMultiLvlLbl val="0"/>
      </c:catAx>
      <c:valAx>
        <c:axId val="1754240511"/>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4238863"/>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0.51054521983771628"/>
          <c:y val="1.4152914546615327E-2"/>
          <c:w val="0.47589933611239782"/>
          <c:h val="0.1085897153917212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0.03229</cdr:x>
      <cdr:y>0.02208</cdr:y>
    </cdr:from>
    <cdr:to>
      <cdr:x>0.88906</cdr:x>
      <cdr:y>0.09661</cdr:y>
    </cdr:to>
    <cdr:sp macro="" textlink="">
      <cdr:nvSpPr>
        <cdr:cNvPr id="2" name="Text Box 1"/>
        <cdr:cNvSpPr txBox="1"/>
      </cdr:nvSpPr>
      <cdr:spPr>
        <a:xfrm xmlns:a="http://schemas.openxmlformats.org/drawingml/2006/main">
          <a:off x="177146" y="70664"/>
          <a:ext cx="4700570" cy="238520"/>
        </a:xfrm>
        <a:prstGeom xmlns:a="http://schemas.openxmlformats.org/drawingml/2006/main" prst="rect">
          <a:avLst/>
        </a:prstGeom>
      </cdr:spPr>
    </cdr:sp>
  </cdr:relSizeAnchor>
  <cdr:relSizeAnchor xmlns:cdr="http://schemas.openxmlformats.org/drawingml/2006/chartDrawing">
    <cdr:from>
      <cdr:x>0.03229</cdr:x>
      <cdr:y>0.02208</cdr:y>
    </cdr:from>
    <cdr:to>
      <cdr:x>1</cdr:x>
      <cdr:y>0.07143</cdr:y>
    </cdr:to>
    <cdr:sp macro="" textlink="">
      <cdr:nvSpPr>
        <cdr:cNvPr id="3" name="Text Box 2"/>
        <cdr:cNvSpPr txBox="1"/>
      </cdr:nvSpPr>
      <cdr:spPr>
        <a:xfrm xmlns:a="http://schemas.openxmlformats.org/drawingml/2006/main">
          <a:off x="177156" y="70665"/>
          <a:ext cx="5309244" cy="15793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en-US" sz="1800" b="0" i="1" dirty="0"/>
        </a:p>
      </cdr:txBody>
    </cdr:sp>
  </cdr:relSizeAnchor>
  <cdr:relSizeAnchor xmlns:cdr="http://schemas.openxmlformats.org/drawingml/2006/chartDrawing">
    <cdr:from>
      <cdr:x>0.04104</cdr:x>
      <cdr:y>0.88822</cdr:y>
    </cdr:from>
    <cdr:to>
      <cdr:x>0.88399</cdr:x>
      <cdr:y>1</cdr:y>
    </cdr:to>
    <cdr:sp macro="" textlink="">
      <cdr:nvSpPr>
        <cdr:cNvPr id="4" name="Text Box 3"/>
        <cdr:cNvSpPr txBox="1"/>
      </cdr:nvSpPr>
      <cdr:spPr>
        <a:xfrm xmlns:a="http://schemas.openxmlformats.org/drawingml/2006/main">
          <a:off x="225188" y="2842665"/>
          <a:ext cx="4624713" cy="357735"/>
        </a:xfrm>
        <a:prstGeom xmlns:a="http://schemas.openxmlformats.org/drawingml/2006/main" prst="rect">
          <a:avLst/>
        </a:prstGeom>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5455C-40D3-49AD-8578-E4CADC41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7210</Words>
  <Characters>41097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August 27, 2003</vt:lpstr>
    </vt:vector>
  </TitlesOfParts>
  <Company>Harvard Law School</Company>
  <LinksUpToDate>false</LinksUpToDate>
  <CharactersWithSpaces>48211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27, 2003</dc:title>
  <dc:subject/>
  <dc:creator>Elizabeth McManus</dc:creator>
  <cp:keywords/>
  <dc:description/>
  <cp:lastModifiedBy>Pollack Center</cp:lastModifiedBy>
  <cp:revision>2</cp:revision>
  <cp:lastPrinted>2004-01-12T18:00:00Z</cp:lastPrinted>
  <dcterms:created xsi:type="dcterms:W3CDTF">2024-09-13T13:30:00Z</dcterms:created>
  <dcterms:modified xsi:type="dcterms:W3CDTF">2024-09-13T13:30:00Z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id="c8qCCkqF"/&gt;&lt;style id="http://www.zotero.org/styles/bluebook-law-review" hasBibliography="0" bibliographyStyleHasBeenSet="0"/&gt;&lt;prefs&gt;&lt;pref name="fieldType" value="Field"/&gt;&lt;pref name="noteType" val</vt:lpwstr>
  </property>
  <property fmtid="{D5CDD505-2E9C-101B-9397-08002B2CF9AE}" pid="3" name="ZOTERO_PREF_2">
    <vt:lpwstr>ue="1"/&gt;&lt;/prefs&gt;&lt;/data&gt;</vt:lpwstr>
  </property>
</Properties>
</file>