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8BEAA" w14:textId="4DEB371E" w:rsidR="002120E3" w:rsidRPr="002B1D90" w:rsidRDefault="002120E3" w:rsidP="002120E3">
      <w:pPr>
        <w:jc w:val="center"/>
        <w:rPr>
          <w:rFonts w:ascii="Times New Roman" w:hAnsi="Times New Roman" w:cs="Times New Roman"/>
          <w:b/>
        </w:rPr>
      </w:pPr>
      <w:r>
        <w:rPr>
          <w:rFonts w:ascii="Times New Roman" w:hAnsi="Times New Roman" w:cs="Times New Roman"/>
          <w:b/>
        </w:rPr>
        <w:t>A</w:t>
      </w:r>
      <w:r w:rsidRPr="00612CBC">
        <w:rPr>
          <w:rFonts w:ascii="Times New Roman" w:hAnsi="Times New Roman" w:cs="Times New Roman"/>
          <w:b/>
        </w:rPr>
        <w:t xml:space="preserve">ntitrust intent in </w:t>
      </w:r>
      <w:r w:rsidR="007959CD">
        <w:rPr>
          <w:rFonts w:ascii="Times New Roman" w:hAnsi="Times New Roman" w:cs="Times New Roman"/>
          <w:b/>
        </w:rPr>
        <w:t>the</w:t>
      </w:r>
      <w:r w:rsidRPr="00612CBC">
        <w:rPr>
          <w:rFonts w:ascii="Times New Roman" w:hAnsi="Times New Roman" w:cs="Times New Roman"/>
          <w:b/>
        </w:rPr>
        <w:t xml:space="preserve"> age of algorithmic </w:t>
      </w:r>
      <w:r>
        <w:rPr>
          <w:rFonts w:ascii="Times New Roman" w:hAnsi="Times New Roman" w:cs="Times New Roman"/>
          <w:b/>
        </w:rPr>
        <w:t>nudging</w:t>
      </w:r>
      <w:r w:rsidRPr="002B1D90">
        <w:rPr>
          <w:rFonts w:ascii="Times New Roman" w:hAnsi="Times New Roman" w:cs="Times New Roman"/>
          <w:b/>
        </w:rPr>
        <w:t xml:space="preserve"> </w:t>
      </w:r>
    </w:p>
    <w:p w14:paraId="07273795" w14:textId="77777777" w:rsidR="002120E3" w:rsidRPr="00612CBC" w:rsidRDefault="002120E3" w:rsidP="002120E3">
      <w:pPr>
        <w:jc w:val="center"/>
        <w:rPr>
          <w:rFonts w:ascii="Times New Roman" w:hAnsi="Times New Roman" w:cs="Times New Roman"/>
          <w:b/>
        </w:rPr>
      </w:pPr>
    </w:p>
    <w:p w14:paraId="068C0EF9" w14:textId="77777777" w:rsidR="002120E3" w:rsidRPr="00612CBC" w:rsidRDefault="002120E3" w:rsidP="002120E3">
      <w:pPr>
        <w:jc w:val="right"/>
        <w:rPr>
          <w:rFonts w:ascii="Times New Roman" w:hAnsi="Times New Roman" w:cs="Times New Roman"/>
        </w:rPr>
      </w:pPr>
      <w:r w:rsidRPr="00612CBC">
        <w:rPr>
          <w:rFonts w:ascii="Times New Roman" w:hAnsi="Times New Roman" w:cs="Times New Roman"/>
        </w:rPr>
        <w:t>Nicolo Zingales*</w:t>
      </w:r>
    </w:p>
    <w:p w14:paraId="462710A4" w14:textId="77777777" w:rsidR="002120E3" w:rsidRPr="00612CBC" w:rsidRDefault="002120E3" w:rsidP="002120E3">
      <w:pPr>
        <w:rPr>
          <w:rFonts w:ascii="Times New Roman" w:hAnsi="Times New Roman" w:cs="Times New Roman"/>
        </w:rPr>
      </w:pPr>
    </w:p>
    <w:p w14:paraId="63B64788" w14:textId="77777777" w:rsidR="002120E3" w:rsidRPr="00612CBC" w:rsidRDefault="002120E3" w:rsidP="002120E3">
      <w:pPr>
        <w:jc w:val="center"/>
        <w:rPr>
          <w:rFonts w:ascii="Times New Roman" w:hAnsi="Times New Roman" w:cs="Times New Roman"/>
          <w:b/>
        </w:rPr>
      </w:pPr>
      <w:r w:rsidRPr="00612CBC">
        <w:rPr>
          <w:rFonts w:ascii="Times New Roman" w:hAnsi="Times New Roman" w:cs="Times New Roman"/>
          <w:b/>
        </w:rPr>
        <w:t>Short abstract</w:t>
      </w:r>
    </w:p>
    <w:p w14:paraId="62E31215" w14:textId="77777777" w:rsidR="002120E3" w:rsidRPr="00612CBC" w:rsidRDefault="002120E3" w:rsidP="002120E3">
      <w:pPr>
        <w:rPr>
          <w:rFonts w:ascii="Times New Roman" w:hAnsi="Times New Roman" w:cs="Times New Roman"/>
        </w:rPr>
      </w:pPr>
    </w:p>
    <w:p w14:paraId="09275211" w14:textId="48A06F49" w:rsidR="002120E3" w:rsidRPr="000679B1" w:rsidRDefault="002120E3" w:rsidP="002120E3">
      <w:pPr>
        <w:jc w:val="both"/>
        <w:rPr>
          <w:rFonts w:ascii="Times New Roman" w:hAnsi="Times New Roman" w:cs="Times New Roman"/>
        </w:rPr>
      </w:pPr>
      <w:r w:rsidRPr="00612CBC">
        <w:rPr>
          <w:rFonts w:ascii="Times New Roman" w:hAnsi="Times New Roman" w:cs="Times New Roman"/>
        </w:rPr>
        <w:t xml:space="preserve">This </w:t>
      </w:r>
      <w:r>
        <w:rPr>
          <w:rFonts w:ascii="Times New Roman" w:hAnsi="Times New Roman" w:cs="Times New Roman"/>
        </w:rPr>
        <w:t>paper</w:t>
      </w:r>
      <w:r w:rsidRPr="00612CBC">
        <w:rPr>
          <w:rFonts w:ascii="Times New Roman" w:hAnsi="Times New Roman" w:cs="Times New Roman"/>
        </w:rPr>
        <w:t xml:space="preserve"> </w:t>
      </w:r>
      <w:r>
        <w:rPr>
          <w:rFonts w:ascii="Times New Roman" w:hAnsi="Times New Roman" w:cs="Times New Roman"/>
        </w:rPr>
        <w:t>revisits</w:t>
      </w:r>
      <w:r w:rsidRPr="00612CBC">
        <w:rPr>
          <w:rFonts w:ascii="Times New Roman" w:hAnsi="Times New Roman" w:cs="Times New Roman"/>
        </w:rPr>
        <w:t xml:space="preserve"> the </w:t>
      </w:r>
      <w:r>
        <w:rPr>
          <w:rFonts w:ascii="Times New Roman" w:hAnsi="Times New Roman" w:cs="Times New Roman"/>
        </w:rPr>
        <w:t>role</w:t>
      </w:r>
      <w:r w:rsidRPr="00612CBC">
        <w:rPr>
          <w:rFonts w:ascii="Times New Roman" w:hAnsi="Times New Roman" w:cs="Times New Roman"/>
        </w:rPr>
        <w:t xml:space="preserve"> of intent in abuse of dominance cases</w:t>
      </w:r>
      <w:r>
        <w:rPr>
          <w:rFonts w:ascii="Times New Roman" w:hAnsi="Times New Roman" w:cs="Times New Roman"/>
        </w:rPr>
        <w:t xml:space="preserve"> under EU competition law</w:t>
      </w:r>
      <w:r w:rsidRPr="00612CBC">
        <w:rPr>
          <w:rFonts w:ascii="Times New Roman" w:hAnsi="Times New Roman" w:cs="Times New Roman"/>
        </w:rPr>
        <w:t>, in particular</w:t>
      </w:r>
      <w:r>
        <w:rPr>
          <w:rFonts w:ascii="Times New Roman" w:hAnsi="Times New Roman" w:cs="Times New Roman"/>
        </w:rPr>
        <w:t xml:space="preserve"> discussing</w:t>
      </w:r>
      <w:r w:rsidRPr="00612CBC">
        <w:rPr>
          <w:rFonts w:ascii="Times New Roman" w:hAnsi="Times New Roman" w:cs="Times New Roman"/>
        </w:rPr>
        <w:t xml:space="preserve"> </w:t>
      </w:r>
      <w:r>
        <w:rPr>
          <w:rFonts w:ascii="Times New Roman" w:hAnsi="Times New Roman" w:cs="Times New Roman"/>
        </w:rPr>
        <w:t>its relevance</w:t>
      </w:r>
      <w:r w:rsidRPr="00612CBC">
        <w:rPr>
          <w:rFonts w:ascii="Times New Roman" w:hAnsi="Times New Roman" w:cs="Times New Roman"/>
        </w:rPr>
        <w:t xml:space="preserve"> in the context of algorithmic </w:t>
      </w:r>
      <w:r>
        <w:rPr>
          <w:rFonts w:ascii="Times New Roman" w:hAnsi="Times New Roman" w:cs="Times New Roman"/>
        </w:rPr>
        <w:t>decisions that direct (“nudge) consumers towards a particular provider of goods or services</w:t>
      </w:r>
      <w:r w:rsidRPr="00612CBC">
        <w:rPr>
          <w:rFonts w:ascii="Times New Roman" w:hAnsi="Times New Roman" w:cs="Times New Roman"/>
        </w:rPr>
        <w:t xml:space="preserve">. </w:t>
      </w:r>
      <w:r>
        <w:rPr>
          <w:rFonts w:ascii="Times New Roman" w:hAnsi="Times New Roman" w:cs="Times New Roman"/>
        </w:rPr>
        <w:t xml:space="preserve">To do so, it critically reviews the case-law, highlighting gaps and inconsistencies; and draws the systemic implications from the European Commission’s use of intent in the establishment of the self-favouring abuse formulated </w:t>
      </w:r>
      <w:r w:rsidRPr="00612CBC">
        <w:rPr>
          <w:rFonts w:ascii="Times New Roman" w:hAnsi="Times New Roman" w:cs="Times New Roman"/>
        </w:rPr>
        <w:t xml:space="preserve">in </w:t>
      </w:r>
      <w:r>
        <w:rPr>
          <w:rFonts w:ascii="Times New Roman" w:hAnsi="Times New Roman" w:cs="Times New Roman"/>
        </w:rPr>
        <w:t>its</w:t>
      </w:r>
      <w:r w:rsidRPr="00612CBC">
        <w:rPr>
          <w:rFonts w:ascii="Times New Roman" w:hAnsi="Times New Roman" w:cs="Times New Roman"/>
        </w:rPr>
        <w:t xml:space="preserve"> </w:t>
      </w:r>
      <w:r w:rsidRPr="00612CBC">
        <w:rPr>
          <w:rFonts w:ascii="Times New Roman" w:hAnsi="Times New Roman" w:cs="Times New Roman"/>
          <w:i/>
        </w:rPr>
        <w:t>Google Shopping</w:t>
      </w:r>
      <w:r w:rsidRPr="00612CBC">
        <w:rPr>
          <w:rFonts w:ascii="Times New Roman" w:hAnsi="Times New Roman" w:cs="Times New Roman"/>
        </w:rPr>
        <w:t xml:space="preserve"> </w:t>
      </w:r>
      <w:r>
        <w:rPr>
          <w:rFonts w:ascii="Times New Roman" w:hAnsi="Times New Roman" w:cs="Times New Roman"/>
        </w:rPr>
        <w:t xml:space="preserve">decision. It concludes suggesting that courts and competition authorities should only </w:t>
      </w:r>
      <w:r w:rsidRPr="00D112A8">
        <w:rPr>
          <w:rFonts w:ascii="Times New Roman" w:eastAsia="Times New Roman" w:hAnsi="Times New Roman" w:cs="Times New Roman"/>
          <w:color w:val="000000"/>
        </w:rPr>
        <w:t xml:space="preserve">take into account a defendant’s </w:t>
      </w:r>
      <w:r>
        <w:rPr>
          <w:rFonts w:ascii="Times New Roman" w:eastAsia="Times New Roman" w:hAnsi="Times New Roman" w:cs="Times New Roman"/>
          <w:color w:val="000000"/>
        </w:rPr>
        <w:t xml:space="preserve">subjective </w:t>
      </w:r>
      <w:r w:rsidRPr="00D112A8">
        <w:rPr>
          <w:rFonts w:ascii="Times New Roman" w:eastAsia="Times New Roman" w:hAnsi="Times New Roman" w:cs="Times New Roman"/>
          <w:color w:val="000000"/>
        </w:rPr>
        <w:t>state of mind </w:t>
      </w:r>
      <w:r w:rsidRPr="004F7456">
        <w:rPr>
          <w:rFonts w:ascii="Times New Roman" w:eastAsia="Times New Roman" w:hAnsi="Times New Roman" w:cs="Times New Roman"/>
        </w:rPr>
        <w:t xml:space="preserve">under </w:t>
      </w:r>
      <w:r>
        <w:rPr>
          <w:rFonts w:ascii="Times New Roman" w:hAnsi="Times New Roman" w:cs="Times New Roman"/>
        </w:rPr>
        <w:t xml:space="preserve">a “qualified intent” </w:t>
      </w:r>
      <w:r w:rsidRPr="00612CBC">
        <w:rPr>
          <w:rFonts w:ascii="Times New Roman" w:hAnsi="Times New Roman" w:cs="Times New Roman"/>
        </w:rPr>
        <w:t xml:space="preserve">test: </w:t>
      </w:r>
      <w:r>
        <w:rPr>
          <w:rFonts w:ascii="Times New Roman" w:hAnsi="Times New Roman" w:cs="Times New Roman"/>
        </w:rPr>
        <w:t xml:space="preserve">a test requiring proof of </w:t>
      </w:r>
      <w:r w:rsidRPr="00612CBC">
        <w:rPr>
          <w:rFonts w:ascii="Times New Roman" w:hAnsi="Times New Roman" w:cs="Times New Roman"/>
        </w:rPr>
        <w:t>immediate, substantial and foreseeable anticompetitive effect</w:t>
      </w:r>
      <w:r>
        <w:rPr>
          <w:rFonts w:ascii="Times New Roman" w:hAnsi="Times New Roman" w:cs="Times New Roman"/>
        </w:rPr>
        <w:t>s arising from a</w:t>
      </w:r>
      <w:r w:rsidRPr="00612CBC">
        <w:rPr>
          <w:rFonts w:ascii="Times New Roman" w:hAnsi="Times New Roman" w:cs="Times New Roman"/>
        </w:rPr>
        <w:t xml:space="preserve"> </w:t>
      </w:r>
      <w:r w:rsidRPr="009F4F1B">
        <w:rPr>
          <w:rFonts w:ascii="Times New Roman" w:hAnsi="Times New Roman" w:cs="Times New Roman"/>
        </w:rPr>
        <w:t>purported</w:t>
      </w:r>
      <w:r w:rsidRPr="00612CBC">
        <w:rPr>
          <w:rFonts w:ascii="Times New Roman" w:hAnsi="Times New Roman" w:cs="Times New Roman"/>
        </w:rPr>
        <w:t xml:space="preserve"> conduct.</w:t>
      </w:r>
      <w:r>
        <w:rPr>
          <w:rFonts w:ascii="Times New Roman" w:hAnsi="Times New Roman" w:cs="Times New Roman"/>
        </w:rPr>
        <w:t xml:space="preserve"> It also proposes a negligence-based “safe harbor”, in order to</w:t>
      </w:r>
      <w:r w:rsidRPr="00612CBC">
        <w:rPr>
          <w:rFonts w:ascii="Times New Roman" w:hAnsi="Times New Roman" w:cs="Times New Roman"/>
        </w:rPr>
        <w:t xml:space="preserve"> constrain </w:t>
      </w:r>
      <w:r>
        <w:rPr>
          <w:rFonts w:ascii="Times New Roman" w:hAnsi="Times New Roman" w:cs="Times New Roman"/>
        </w:rPr>
        <w:t>the scope of application</w:t>
      </w:r>
      <w:r w:rsidRPr="00612CBC">
        <w:rPr>
          <w:rFonts w:ascii="Times New Roman" w:hAnsi="Times New Roman" w:cs="Times New Roman"/>
        </w:rPr>
        <w:t xml:space="preserve"> of the actionable du</w:t>
      </w:r>
      <w:r>
        <w:rPr>
          <w:rFonts w:ascii="Times New Roman" w:hAnsi="Times New Roman" w:cs="Times New Roman"/>
        </w:rPr>
        <w:t xml:space="preserve">ty of algorithmic self-scrutiny, which replicates the dynamics of a notice and takedown regime, while also promoting adherence to cross-industry best practices in algorithmic design.  </w:t>
      </w:r>
    </w:p>
    <w:p w14:paraId="448412DE" w14:textId="77777777" w:rsidR="002120E3" w:rsidRDefault="002120E3" w:rsidP="002120E3">
      <w:pPr>
        <w:jc w:val="both"/>
        <w:rPr>
          <w:rFonts w:ascii="Times New Roman" w:hAnsi="Times New Roman" w:cs="Times New Roman"/>
        </w:rPr>
      </w:pPr>
    </w:p>
    <w:p w14:paraId="19D4AD6F" w14:textId="77777777" w:rsidR="006F1E60" w:rsidRDefault="006F1E60" w:rsidP="002120E3">
      <w:pPr>
        <w:jc w:val="both"/>
        <w:rPr>
          <w:rFonts w:ascii="Times New Roman" w:hAnsi="Times New Roman" w:cs="Times New Roman"/>
        </w:rPr>
      </w:pPr>
    </w:p>
    <w:p w14:paraId="0F0E4C8D" w14:textId="77777777" w:rsidR="002120E3" w:rsidRDefault="002120E3" w:rsidP="006F1E60">
      <w:pPr>
        <w:jc w:val="center"/>
        <w:rPr>
          <w:rFonts w:ascii="Times New Roman" w:hAnsi="Times New Roman" w:cs="Times New Roman"/>
          <w:b/>
        </w:rPr>
      </w:pPr>
      <w:r w:rsidRPr="00BA357E">
        <w:rPr>
          <w:rFonts w:ascii="Times New Roman" w:hAnsi="Times New Roman" w:cs="Times New Roman"/>
          <w:b/>
        </w:rPr>
        <w:t>Table of contents</w:t>
      </w:r>
    </w:p>
    <w:p w14:paraId="329B6CCE" w14:textId="77777777" w:rsidR="006F1E60" w:rsidRPr="00BA357E" w:rsidRDefault="006F1E60" w:rsidP="002120E3">
      <w:pPr>
        <w:jc w:val="both"/>
        <w:rPr>
          <w:rFonts w:ascii="Times New Roman" w:hAnsi="Times New Roman" w:cs="Times New Roman"/>
          <w:b/>
        </w:rPr>
      </w:pPr>
    </w:p>
    <w:p w14:paraId="0FA9DB6D" w14:textId="77777777" w:rsidR="006F1E60" w:rsidRPr="002A7931" w:rsidRDefault="006F1E60">
      <w:pPr>
        <w:pStyle w:val="TOC1"/>
        <w:tabs>
          <w:tab w:val="right" w:leader="dot" w:pos="8630"/>
        </w:tabs>
        <w:rPr>
          <w:noProof/>
          <w:sz w:val="20"/>
          <w:szCs w:val="20"/>
          <w:lang w:eastAsia="ja-JP"/>
        </w:rPr>
      </w:pPr>
      <w:r w:rsidRPr="002A7931">
        <w:rPr>
          <w:rFonts w:ascii="Times New Roman" w:hAnsi="Times New Roman" w:cs="Times New Roman"/>
          <w:sz w:val="20"/>
          <w:szCs w:val="20"/>
        </w:rPr>
        <w:fldChar w:fldCharType="begin"/>
      </w:r>
      <w:r w:rsidRPr="002A7931">
        <w:rPr>
          <w:rFonts w:ascii="Times New Roman" w:hAnsi="Times New Roman" w:cs="Times New Roman"/>
          <w:sz w:val="20"/>
          <w:szCs w:val="20"/>
        </w:rPr>
        <w:instrText xml:space="preserve"> TOC \o "1-3" </w:instrText>
      </w:r>
      <w:r w:rsidRPr="002A7931">
        <w:rPr>
          <w:rFonts w:ascii="Times New Roman" w:hAnsi="Times New Roman" w:cs="Times New Roman"/>
          <w:sz w:val="20"/>
          <w:szCs w:val="20"/>
        </w:rPr>
        <w:fldChar w:fldCharType="separate"/>
      </w:r>
      <w:r w:rsidRPr="002A7931">
        <w:rPr>
          <w:noProof/>
          <w:sz w:val="20"/>
          <w:szCs w:val="20"/>
        </w:rPr>
        <w:t>1. Introduction: understanding the role of intent in antitrust analysis</w:t>
      </w:r>
      <w:r w:rsidRPr="002A7931">
        <w:rPr>
          <w:noProof/>
          <w:sz w:val="20"/>
          <w:szCs w:val="20"/>
        </w:rPr>
        <w:tab/>
      </w:r>
      <w:r w:rsidRPr="002A7931">
        <w:rPr>
          <w:noProof/>
          <w:sz w:val="20"/>
          <w:szCs w:val="20"/>
        </w:rPr>
        <w:fldChar w:fldCharType="begin"/>
      </w:r>
      <w:r w:rsidRPr="002A7931">
        <w:rPr>
          <w:noProof/>
          <w:sz w:val="20"/>
          <w:szCs w:val="20"/>
        </w:rPr>
        <w:instrText xml:space="preserve"> PAGEREF _Toc390300601 \h </w:instrText>
      </w:r>
      <w:r w:rsidRPr="002A7931">
        <w:rPr>
          <w:noProof/>
          <w:sz w:val="20"/>
          <w:szCs w:val="20"/>
        </w:rPr>
      </w:r>
      <w:r w:rsidRPr="002A7931">
        <w:rPr>
          <w:noProof/>
          <w:sz w:val="20"/>
          <w:szCs w:val="20"/>
        </w:rPr>
        <w:fldChar w:fldCharType="separate"/>
      </w:r>
      <w:r w:rsidRPr="002A7931">
        <w:rPr>
          <w:noProof/>
          <w:sz w:val="20"/>
          <w:szCs w:val="20"/>
        </w:rPr>
        <w:t>2</w:t>
      </w:r>
      <w:r w:rsidRPr="002A7931">
        <w:rPr>
          <w:noProof/>
          <w:sz w:val="20"/>
          <w:szCs w:val="20"/>
        </w:rPr>
        <w:fldChar w:fldCharType="end"/>
      </w:r>
    </w:p>
    <w:p w14:paraId="0253AE1B" w14:textId="77777777" w:rsidR="006F1E60" w:rsidRPr="002A7931" w:rsidRDefault="006F1E60">
      <w:pPr>
        <w:pStyle w:val="TOC1"/>
        <w:tabs>
          <w:tab w:val="right" w:leader="dot" w:pos="8630"/>
        </w:tabs>
        <w:rPr>
          <w:noProof/>
          <w:sz w:val="20"/>
          <w:szCs w:val="20"/>
          <w:lang w:eastAsia="ja-JP"/>
        </w:rPr>
      </w:pPr>
      <w:r w:rsidRPr="002A7931">
        <w:rPr>
          <w:noProof/>
          <w:sz w:val="20"/>
          <w:szCs w:val="20"/>
        </w:rPr>
        <w:t>2. Exploring the role of intent in art 102 TFEU</w:t>
      </w:r>
      <w:r w:rsidRPr="002A7931">
        <w:rPr>
          <w:noProof/>
          <w:sz w:val="20"/>
          <w:szCs w:val="20"/>
        </w:rPr>
        <w:tab/>
      </w:r>
      <w:r w:rsidRPr="002A7931">
        <w:rPr>
          <w:noProof/>
          <w:sz w:val="20"/>
          <w:szCs w:val="20"/>
        </w:rPr>
        <w:fldChar w:fldCharType="begin"/>
      </w:r>
      <w:r w:rsidRPr="002A7931">
        <w:rPr>
          <w:noProof/>
          <w:sz w:val="20"/>
          <w:szCs w:val="20"/>
        </w:rPr>
        <w:instrText xml:space="preserve"> PAGEREF _Toc390300602 \h </w:instrText>
      </w:r>
      <w:r w:rsidRPr="002A7931">
        <w:rPr>
          <w:noProof/>
          <w:sz w:val="20"/>
          <w:szCs w:val="20"/>
        </w:rPr>
      </w:r>
      <w:r w:rsidRPr="002A7931">
        <w:rPr>
          <w:noProof/>
          <w:sz w:val="20"/>
          <w:szCs w:val="20"/>
        </w:rPr>
        <w:fldChar w:fldCharType="separate"/>
      </w:r>
      <w:r w:rsidRPr="002A7931">
        <w:rPr>
          <w:noProof/>
          <w:sz w:val="20"/>
          <w:szCs w:val="20"/>
        </w:rPr>
        <w:t>5</w:t>
      </w:r>
      <w:r w:rsidRPr="002A7931">
        <w:rPr>
          <w:noProof/>
          <w:sz w:val="20"/>
          <w:szCs w:val="20"/>
        </w:rPr>
        <w:fldChar w:fldCharType="end"/>
      </w:r>
    </w:p>
    <w:p w14:paraId="5F4AFC8D" w14:textId="77777777" w:rsidR="006F1E60" w:rsidRPr="002A7931" w:rsidRDefault="006F1E60">
      <w:pPr>
        <w:pStyle w:val="TOC2"/>
        <w:tabs>
          <w:tab w:val="right" w:leader="dot" w:pos="8630"/>
        </w:tabs>
        <w:rPr>
          <w:noProof/>
          <w:sz w:val="20"/>
          <w:szCs w:val="20"/>
          <w:lang w:eastAsia="ja-JP"/>
        </w:rPr>
      </w:pPr>
      <w:r w:rsidRPr="002A7931">
        <w:rPr>
          <w:noProof/>
          <w:sz w:val="20"/>
          <w:szCs w:val="20"/>
        </w:rPr>
        <w:t>2.1 Constitutive element?</w:t>
      </w:r>
      <w:r w:rsidRPr="002A7931">
        <w:rPr>
          <w:noProof/>
          <w:sz w:val="20"/>
          <w:szCs w:val="20"/>
        </w:rPr>
        <w:tab/>
      </w:r>
      <w:r w:rsidRPr="002A7931">
        <w:rPr>
          <w:noProof/>
          <w:sz w:val="20"/>
          <w:szCs w:val="20"/>
        </w:rPr>
        <w:fldChar w:fldCharType="begin"/>
      </w:r>
      <w:r w:rsidRPr="002A7931">
        <w:rPr>
          <w:noProof/>
          <w:sz w:val="20"/>
          <w:szCs w:val="20"/>
        </w:rPr>
        <w:instrText xml:space="preserve"> PAGEREF _Toc390300603 \h </w:instrText>
      </w:r>
      <w:r w:rsidRPr="002A7931">
        <w:rPr>
          <w:noProof/>
          <w:sz w:val="20"/>
          <w:szCs w:val="20"/>
        </w:rPr>
      </w:r>
      <w:r w:rsidRPr="002A7931">
        <w:rPr>
          <w:noProof/>
          <w:sz w:val="20"/>
          <w:szCs w:val="20"/>
        </w:rPr>
        <w:fldChar w:fldCharType="separate"/>
      </w:r>
      <w:r w:rsidRPr="002A7931">
        <w:rPr>
          <w:noProof/>
          <w:sz w:val="20"/>
          <w:szCs w:val="20"/>
        </w:rPr>
        <w:t>5</w:t>
      </w:r>
      <w:r w:rsidRPr="002A7931">
        <w:rPr>
          <w:noProof/>
          <w:sz w:val="20"/>
          <w:szCs w:val="20"/>
        </w:rPr>
        <w:fldChar w:fldCharType="end"/>
      </w:r>
    </w:p>
    <w:p w14:paraId="5AC796A6" w14:textId="77777777" w:rsidR="006F1E60" w:rsidRPr="002A7931" w:rsidRDefault="006F1E60">
      <w:pPr>
        <w:pStyle w:val="TOC2"/>
        <w:tabs>
          <w:tab w:val="right" w:leader="dot" w:pos="8630"/>
        </w:tabs>
        <w:rPr>
          <w:noProof/>
          <w:sz w:val="20"/>
          <w:szCs w:val="20"/>
          <w:lang w:eastAsia="ja-JP"/>
        </w:rPr>
      </w:pPr>
      <w:r w:rsidRPr="002A7931">
        <w:rPr>
          <w:noProof/>
          <w:sz w:val="20"/>
          <w:szCs w:val="20"/>
        </w:rPr>
        <w:t>2.2. A typology of intent usage: disambiguation v. corroboration</w:t>
      </w:r>
      <w:r w:rsidRPr="002A7931">
        <w:rPr>
          <w:noProof/>
          <w:sz w:val="20"/>
          <w:szCs w:val="20"/>
        </w:rPr>
        <w:tab/>
      </w:r>
      <w:r w:rsidRPr="002A7931">
        <w:rPr>
          <w:noProof/>
          <w:sz w:val="20"/>
          <w:szCs w:val="20"/>
        </w:rPr>
        <w:fldChar w:fldCharType="begin"/>
      </w:r>
      <w:r w:rsidRPr="002A7931">
        <w:rPr>
          <w:noProof/>
          <w:sz w:val="20"/>
          <w:szCs w:val="20"/>
        </w:rPr>
        <w:instrText xml:space="preserve"> PAGEREF _Toc390300604 \h </w:instrText>
      </w:r>
      <w:r w:rsidRPr="002A7931">
        <w:rPr>
          <w:noProof/>
          <w:sz w:val="20"/>
          <w:szCs w:val="20"/>
        </w:rPr>
      </w:r>
      <w:r w:rsidRPr="002A7931">
        <w:rPr>
          <w:noProof/>
          <w:sz w:val="20"/>
          <w:szCs w:val="20"/>
        </w:rPr>
        <w:fldChar w:fldCharType="separate"/>
      </w:r>
      <w:r w:rsidRPr="002A7931">
        <w:rPr>
          <w:noProof/>
          <w:sz w:val="20"/>
          <w:szCs w:val="20"/>
        </w:rPr>
        <w:t>8</w:t>
      </w:r>
      <w:r w:rsidRPr="002A7931">
        <w:rPr>
          <w:noProof/>
          <w:sz w:val="20"/>
          <w:szCs w:val="20"/>
        </w:rPr>
        <w:fldChar w:fldCharType="end"/>
      </w:r>
    </w:p>
    <w:p w14:paraId="35EB3E97" w14:textId="77777777" w:rsidR="006F1E60" w:rsidRPr="002A7931" w:rsidRDefault="006F1E60">
      <w:pPr>
        <w:pStyle w:val="TOC2"/>
        <w:tabs>
          <w:tab w:val="right" w:leader="dot" w:pos="8630"/>
        </w:tabs>
        <w:rPr>
          <w:noProof/>
          <w:sz w:val="20"/>
          <w:szCs w:val="20"/>
          <w:lang w:eastAsia="ja-JP"/>
        </w:rPr>
      </w:pPr>
      <w:r w:rsidRPr="002A7931">
        <w:rPr>
          <w:noProof/>
          <w:sz w:val="20"/>
          <w:szCs w:val="20"/>
        </w:rPr>
        <w:t>2.3. Link to special responsibility</w:t>
      </w:r>
      <w:r w:rsidRPr="002A7931">
        <w:rPr>
          <w:noProof/>
          <w:sz w:val="20"/>
          <w:szCs w:val="20"/>
        </w:rPr>
        <w:tab/>
      </w:r>
      <w:r w:rsidRPr="002A7931">
        <w:rPr>
          <w:noProof/>
          <w:sz w:val="20"/>
          <w:szCs w:val="20"/>
        </w:rPr>
        <w:fldChar w:fldCharType="begin"/>
      </w:r>
      <w:r w:rsidRPr="002A7931">
        <w:rPr>
          <w:noProof/>
          <w:sz w:val="20"/>
          <w:szCs w:val="20"/>
        </w:rPr>
        <w:instrText xml:space="preserve"> PAGEREF _Toc390300605 \h </w:instrText>
      </w:r>
      <w:r w:rsidRPr="002A7931">
        <w:rPr>
          <w:noProof/>
          <w:sz w:val="20"/>
          <w:szCs w:val="20"/>
        </w:rPr>
      </w:r>
      <w:r w:rsidRPr="002A7931">
        <w:rPr>
          <w:noProof/>
          <w:sz w:val="20"/>
          <w:szCs w:val="20"/>
        </w:rPr>
        <w:fldChar w:fldCharType="separate"/>
      </w:r>
      <w:r w:rsidRPr="002A7931">
        <w:rPr>
          <w:noProof/>
          <w:sz w:val="20"/>
          <w:szCs w:val="20"/>
        </w:rPr>
        <w:t>12</w:t>
      </w:r>
      <w:r w:rsidRPr="002A7931">
        <w:rPr>
          <w:noProof/>
          <w:sz w:val="20"/>
          <w:szCs w:val="20"/>
        </w:rPr>
        <w:fldChar w:fldCharType="end"/>
      </w:r>
    </w:p>
    <w:p w14:paraId="1CCCE9FE" w14:textId="77777777" w:rsidR="006F1E60" w:rsidRPr="002A7931" w:rsidRDefault="006F1E60">
      <w:pPr>
        <w:pStyle w:val="TOC2"/>
        <w:tabs>
          <w:tab w:val="right" w:leader="dot" w:pos="8630"/>
        </w:tabs>
        <w:rPr>
          <w:noProof/>
          <w:sz w:val="20"/>
          <w:szCs w:val="20"/>
          <w:lang w:eastAsia="ja-JP"/>
        </w:rPr>
      </w:pPr>
      <w:r w:rsidRPr="002A7931">
        <w:rPr>
          <w:noProof/>
          <w:sz w:val="20"/>
          <w:szCs w:val="20"/>
        </w:rPr>
        <w:t>2.4 Intent in the Guidance Paper</w:t>
      </w:r>
      <w:r w:rsidRPr="002A7931">
        <w:rPr>
          <w:noProof/>
          <w:sz w:val="20"/>
          <w:szCs w:val="20"/>
        </w:rPr>
        <w:tab/>
      </w:r>
      <w:r w:rsidRPr="002A7931">
        <w:rPr>
          <w:noProof/>
          <w:sz w:val="20"/>
          <w:szCs w:val="20"/>
        </w:rPr>
        <w:fldChar w:fldCharType="begin"/>
      </w:r>
      <w:r w:rsidRPr="002A7931">
        <w:rPr>
          <w:noProof/>
          <w:sz w:val="20"/>
          <w:szCs w:val="20"/>
        </w:rPr>
        <w:instrText xml:space="preserve"> PAGEREF _Toc390300606 \h </w:instrText>
      </w:r>
      <w:r w:rsidRPr="002A7931">
        <w:rPr>
          <w:noProof/>
          <w:sz w:val="20"/>
          <w:szCs w:val="20"/>
        </w:rPr>
      </w:r>
      <w:r w:rsidRPr="002A7931">
        <w:rPr>
          <w:noProof/>
          <w:sz w:val="20"/>
          <w:szCs w:val="20"/>
        </w:rPr>
        <w:fldChar w:fldCharType="separate"/>
      </w:r>
      <w:r w:rsidRPr="002A7931">
        <w:rPr>
          <w:noProof/>
          <w:sz w:val="20"/>
          <w:szCs w:val="20"/>
        </w:rPr>
        <w:t>14</w:t>
      </w:r>
      <w:r w:rsidRPr="002A7931">
        <w:rPr>
          <w:noProof/>
          <w:sz w:val="20"/>
          <w:szCs w:val="20"/>
        </w:rPr>
        <w:fldChar w:fldCharType="end"/>
      </w:r>
    </w:p>
    <w:p w14:paraId="7C398585" w14:textId="77777777" w:rsidR="006F1E60" w:rsidRPr="002A7931" w:rsidRDefault="006F1E60">
      <w:pPr>
        <w:pStyle w:val="TOC2"/>
        <w:tabs>
          <w:tab w:val="right" w:leader="dot" w:pos="8630"/>
        </w:tabs>
        <w:rPr>
          <w:noProof/>
          <w:sz w:val="20"/>
          <w:szCs w:val="20"/>
          <w:lang w:eastAsia="ja-JP"/>
        </w:rPr>
      </w:pPr>
      <w:r w:rsidRPr="002A7931">
        <w:rPr>
          <w:noProof/>
          <w:sz w:val="20"/>
          <w:szCs w:val="20"/>
          <w:shd w:val="clear" w:color="auto" w:fill="FFFFFF"/>
        </w:rPr>
        <w:t>2.5 Conclusion</w:t>
      </w:r>
      <w:r w:rsidRPr="002A7931">
        <w:rPr>
          <w:noProof/>
          <w:sz w:val="20"/>
          <w:szCs w:val="20"/>
        </w:rPr>
        <w:tab/>
      </w:r>
      <w:r w:rsidRPr="002A7931">
        <w:rPr>
          <w:noProof/>
          <w:sz w:val="20"/>
          <w:szCs w:val="20"/>
        </w:rPr>
        <w:fldChar w:fldCharType="begin"/>
      </w:r>
      <w:r w:rsidRPr="002A7931">
        <w:rPr>
          <w:noProof/>
          <w:sz w:val="20"/>
          <w:szCs w:val="20"/>
        </w:rPr>
        <w:instrText xml:space="preserve"> PAGEREF _Toc390300607 \h </w:instrText>
      </w:r>
      <w:r w:rsidRPr="002A7931">
        <w:rPr>
          <w:noProof/>
          <w:sz w:val="20"/>
          <w:szCs w:val="20"/>
        </w:rPr>
      </w:r>
      <w:r w:rsidRPr="002A7931">
        <w:rPr>
          <w:noProof/>
          <w:sz w:val="20"/>
          <w:szCs w:val="20"/>
        </w:rPr>
        <w:fldChar w:fldCharType="separate"/>
      </w:r>
      <w:r w:rsidRPr="002A7931">
        <w:rPr>
          <w:noProof/>
          <w:sz w:val="20"/>
          <w:szCs w:val="20"/>
        </w:rPr>
        <w:t>15</w:t>
      </w:r>
      <w:r w:rsidRPr="002A7931">
        <w:rPr>
          <w:noProof/>
          <w:sz w:val="20"/>
          <w:szCs w:val="20"/>
        </w:rPr>
        <w:fldChar w:fldCharType="end"/>
      </w:r>
    </w:p>
    <w:p w14:paraId="45C42DC3" w14:textId="77777777" w:rsidR="006F1E60" w:rsidRPr="002A7931" w:rsidRDefault="006F1E60">
      <w:pPr>
        <w:pStyle w:val="TOC1"/>
        <w:tabs>
          <w:tab w:val="right" w:leader="dot" w:pos="8630"/>
        </w:tabs>
        <w:rPr>
          <w:noProof/>
          <w:sz w:val="20"/>
          <w:szCs w:val="20"/>
          <w:lang w:eastAsia="ja-JP"/>
        </w:rPr>
      </w:pPr>
      <w:r w:rsidRPr="002A7931">
        <w:rPr>
          <w:noProof/>
          <w:sz w:val="20"/>
          <w:szCs w:val="20"/>
        </w:rPr>
        <w:t xml:space="preserve">3. Intent in the algorithmic age: the </w:t>
      </w:r>
      <w:r w:rsidRPr="002A7931">
        <w:rPr>
          <w:i/>
          <w:noProof/>
          <w:sz w:val="20"/>
          <w:szCs w:val="20"/>
        </w:rPr>
        <w:t>Google Shopping</w:t>
      </w:r>
      <w:r w:rsidRPr="002A7931">
        <w:rPr>
          <w:noProof/>
          <w:sz w:val="20"/>
          <w:szCs w:val="20"/>
        </w:rPr>
        <w:t xml:space="preserve"> decision and its legal basis</w:t>
      </w:r>
      <w:r w:rsidRPr="002A7931">
        <w:rPr>
          <w:noProof/>
          <w:sz w:val="20"/>
          <w:szCs w:val="20"/>
        </w:rPr>
        <w:tab/>
      </w:r>
      <w:r w:rsidRPr="002A7931">
        <w:rPr>
          <w:noProof/>
          <w:sz w:val="20"/>
          <w:szCs w:val="20"/>
        </w:rPr>
        <w:fldChar w:fldCharType="begin"/>
      </w:r>
      <w:r w:rsidRPr="002A7931">
        <w:rPr>
          <w:noProof/>
          <w:sz w:val="20"/>
          <w:szCs w:val="20"/>
        </w:rPr>
        <w:instrText xml:space="preserve"> PAGEREF _Toc390300608 \h </w:instrText>
      </w:r>
      <w:r w:rsidRPr="002A7931">
        <w:rPr>
          <w:noProof/>
          <w:sz w:val="20"/>
          <w:szCs w:val="20"/>
        </w:rPr>
      </w:r>
      <w:r w:rsidRPr="002A7931">
        <w:rPr>
          <w:noProof/>
          <w:sz w:val="20"/>
          <w:szCs w:val="20"/>
        </w:rPr>
        <w:fldChar w:fldCharType="separate"/>
      </w:r>
      <w:r w:rsidRPr="002A7931">
        <w:rPr>
          <w:noProof/>
          <w:sz w:val="20"/>
          <w:szCs w:val="20"/>
        </w:rPr>
        <w:t>17</w:t>
      </w:r>
      <w:r w:rsidRPr="002A7931">
        <w:rPr>
          <w:noProof/>
          <w:sz w:val="20"/>
          <w:szCs w:val="20"/>
        </w:rPr>
        <w:fldChar w:fldCharType="end"/>
      </w:r>
    </w:p>
    <w:p w14:paraId="121C61CB" w14:textId="77777777" w:rsidR="006F1E60" w:rsidRPr="002A7931" w:rsidRDefault="006F1E60">
      <w:pPr>
        <w:pStyle w:val="TOC2"/>
        <w:tabs>
          <w:tab w:val="right" w:leader="dot" w:pos="8630"/>
        </w:tabs>
        <w:rPr>
          <w:noProof/>
          <w:sz w:val="20"/>
          <w:szCs w:val="20"/>
          <w:lang w:eastAsia="ja-JP"/>
        </w:rPr>
      </w:pPr>
      <w:r w:rsidRPr="002A7931">
        <w:rPr>
          <w:noProof/>
          <w:sz w:val="20"/>
          <w:szCs w:val="20"/>
        </w:rPr>
        <w:t xml:space="preserve">3.1 The notion of preferential treatment in </w:t>
      </w:r>
      <w:r w:rsidRPr="002A7931">
        <w:rPr>
          <w:i/>
          <w:noProof/>
          <w:sz w:val="20"/>
          <w:szCs w:val="20"/>
        </w:rPr>
        <w:t>Google Shopping</w:t>
      </w:r>
      <w:r w:rsidRPr="002A7931">
        <w:rPr>
          <w:noProof/>
          <w:sz w:val="20"/>
          <w:szCs w:val="20"/>
        </w:rPr>
        <w:tab/>
      </w:r>
      <w:r w:rsidRPr="002A7931">
        <w:rPr>
          <w:noProof/>
          <w:sz w:val="20"/>
          <w:szCs w:val="20"/>
        </w:rPr>
        <w:fldChar w:fldCharType="begin"/>
      </w:r>
      <w:r w:rsidRPr="002A7931">
        <w:rPr>
          <w:noProof/>
          <w:sz w:val="20"/>
          <w:szCs w:val="20"/>
        </w:rPr>
        <w:instrText xml:space="preserve"> PAGEREF _Toc390300609 \h </w:instrText>
      </w:r>
      <w:r w:rsidRPr="002A7931">
        <w:rPr>
          <w:noProof/>
          <w:sz w:val="20"/>
          <w:szCs w:val="20"/>
        </w:rPr>
      </w:r>
      <w:r w:rsidRPr="002A7931">
        <w:rPr>
          <w:noProof/>
          <w:sz w:val="20"/>
          <w:szCs w:val="20"/>
        </w:rPr>
        <w:fldChar w:fldCharType="separate"/>
      </w:r>
      <w:r w:rsidRPr="002A7931">
        <w:rPr>
          <w:noProof/>
          <w:sz w:val="20"/>
          <w:szCs w:val="20"/>
        </w:rPr>
        <w:t>20</w:t>
      </w:r>
      <w:r w:rsidRPr="002A7931">
        <w:rPr>
          <w:noProof/>
          <w:sz w:val="20"/>
          <w:szCs w:val="20"/>
        </w:rPr>
        <w:fldChar w:fldCharType="end"/>
      </w:r>
    </w:p>
    <w:p w14:paraId="65E054F4" w14:textId="77777777" w:rsidR="006F1E60" w:rsidRPr="002A7931" w:rsidRDefault="006F1E60">
      <w:pPr>
        <w:pStyle w:val="TOC2"/>
        <w:tabs>
          <w:tab w:val="right" w:leader="dot" w:pos="8630"/>
        </w:tabs>
        <w:rPr>
          <w:noProof/>
          <w:sz w:val="20"/>
          <w:szCs w:val="20"/>
          <w:lang w:eastAsia="ja-JP"/>
        </w:rPr>
      </w:pPr>
      <w:r w:rsidRPr="002A7931">
        <w:rPr>
          <w:noProof/>
          <w:sz w:val="20"/>
          <w:szCs w:val="20"/>
        </w:rPr>
        <w:t>3.2 The Commission’s opacity v. Google’s lack of transparency, which one is better?</w:t>
      </w:r>
      <w:r w:rsidRPr="002A7931">
        <w:rPr>
          <w:noProof/>
          <w:sz w:val="20"/>
          <w:szCs w:val="20"/>
        </w:rPr>
        <w:tab/>
      </w:r>
      <w:r w:rsidRPr="002A7931">
        <w:rPr>
          <w:noProof/>
          <w:sz w:val="20"/>
          <w:szCs w:val="20"/>
        </w:rPr>
        <w:fldChar w:fldCharType="begin"/>
      </w:r>
      <w:r w:rsidRPr="002A7931">
        <w:rPr>
          <w:noProof/>
          <w:sz w:val="20"/>
          <w:szCs w:val="20"/>
        </w:rPr>
        <w:instrText xml:space="preserve"> PAGEREF _Toc390300610 \h </w:instrText>
      </w:r>
      <w:r w:rsidRPr="002A7931">
        <w:rPr>
          <w:noProof/>
          <w:sz w:val="20"/>
          <w:szCs w:val="20"/>
        </w:rPr>
      </w:r>
      <w:r w:rsidRPr="002A7931">
        <w:rPr>
          <w:noProof/>
          <w:sz w:val="20"/>
          <w:szCs w:val="20"/>
        </w:rPr>
        <w:fldChar w:fldCharType="separate"/>
      </w:r>
      <w:r w:rsidRPr="002A7931">
        <w:rPr>
          <w:noProof/>
          <w:sz w:val="20"/>
          <w:szCs w:val="20"/>
        </w:rPr>
        <w:t>23</w:t>
      </w:r>
      <w:r w:rsidRPr="002A7931">
        <w:rPr>
          <w:noProof/>
          <w:sz w:val="20"/>
          <w:szCs w:val="20"/>
        </w:rPr>
        <w:fldChar w:fldCharType="end"/>
      </w:r>
    </w:p>
    <w:p w14:paraId="6A27F4EC" w14:textId="77777777" w:rsidR="006F1E60" w:rsidRPr="002A7931" w:rsidRDefault="006F1E60">
      <w:pPr>
        <w:pStyle w:val="TOC2"/>
        <w:tabs>
          <w:tab w:val="right" w:leader="dot" w:pos="8630"/>
        </w:tabs>
        <w:rPr>
          <w:noProof/>
          <w:sz w:val="20"/>
          <w:szCs w:val="20"/>
          <w:lang w:eastAsia="ja-JP"/>
        </w:rPr>
      </w:pPr>
      <w:r w:rsidRPr="002A7931">
        <w:rPr>
          <w:noProof/>
          <w:sz w:val="20"/>
          <w:szCs w:val="20"/>
        </w:rPr>
        <w:t>3.3  Conclusion</w:t>
      </w:r>
      <w:r w:rsidRPr="002A7931">
        <w:rPr>
          <w:noProof/>
          <w:sz w:val="20"/>
          <w:szCs w:val="20"/>
        </w:rPr>
        <w:tab/>
      </w:r>
      <w:r w:rsidRPr="002A7931">
        <w:rPr>
          <w:noProof/>
          <w:sz w:val="20"/>
          <w:szCs w:val="20"/>
        </w:rPr>
        <w:fldChar w:fldCharType="begin"/>
      </w:r>
      <w:r w:rsidRPr="002A7931">
        <w:rPr>
          <w:noProof/>
          <w:sz w:val="20"/>
          <w:szCs w:val="20"/>
        </w:rPr>
        <w:instrText xml:space="preserve"> PAGEREF _Toc390300611 \h </w:instrText>
      </w:r>
      <w:r w:rsidRPr="002A7931">
        <w:rPr>
          <w:noProof/>
          <w:sz w:val="20"/>
          <w:szCs w:val="20"/>
        </w:rPr>
      </w:r>
      <w:r w:rsidRPr="002A7931">
        <w:rPr>
          <w:noProof/>
          <w:sz w:val="20"/>
          <w:szCs w:val="20"/>
        </w:rPr>
        <w:fldChar w:fldCharType="separate"/>
      </w:r>
      <w:r w:rsidRPr="002A7931">
        <w:rPr>
          <w:noProof/>
          <w:sz w:val="20"/>
          <w:szCs w:val="20"/>
        </w:rPr>
        <w:t>27</w:t>
      </w:r>
      <w:r w:rsidRPr="002A7931">
        <w:rPr>
          <w:noProof/>
          <w:sz w:val="20"/>
          <w:szCs w:val="20"/>
        </w:rPr>
        <w:fldChar w:fldCharType="end"/>
      </w:r>
    </w:p>
    <w:p w14:paraId="19EBEB3C" w14:textId="77777777" w:rsidR="006F1E60" w:rsidRPr="002A7931" w:rsidRDefault="006F1E60">
      <w:pPr>
        <w:pStyle w:val="TOC1"/>
        <w:tabs>
          <w:tab w:val="right" w:leader="dot" w:pos="8630"/>
        </w:tabs>
        <w:rPr>
          <w:noProof/>
          <w:sz w:val="20"/>
          <w:szCs w:val="20"/>
          <w:lang w:eastAsia="ja-JP"/>
        </w:rPr>
      </w:pPr>
      <w:r w:rsidRPr="002A7931">
        <w:rPr>
          <w:noProof/>
          <w:sz w:val="20"/>
          <w:szCs w:val="20"/>
        </w:rPr>
        <w:t xml:space="preserve">4. </w:t>
      </w:r>
      <w:r w:rsidRPr="002A7931">
        <w:rPr>
          <w:i/>
          <w:noProof/>
          <w:sz w:val="20"/>
          <w:szCs w:val="20"/>
        </w:rPr>
        <w:t>Google Shopping</w:t>
      </w:r>
      <w:r w:rsidRPr="002A7931">
        <w:rPr>
          <w:noProof/>
          <w:sz w:val="20"/>
          <w:szCs w:val="20"/>
        </w:rPr>
        <w:t xml:space="preserve"> as a cautionary tale for antitrust intent in an era of algorithms and big data: the need for limiting principles</w:t>
      </w:r>
      <w:r w:rsidRPr="002A7931">
        <w:rPr>
          <w:noProof/>
          <w:sz w:val="20"/>
          <w:szCs w:val="20"/>
        </w:rPr>
        <w:tab/>
      </w:r>
      <w:r w:rsidRPr="002A7931">
        <w:rPr>
          <w:noProof/>
          <w:sz w:val="20"/>
          <w:szCs w:val="20"/>
        </w:rPr>
        <w:fldChar w:fldCharType="begin"/>
      </w:r>
      <w:r w:rsidRPr="002A7931">
        <w:rPr>
          <w:noProof/>
          <w:sz w:val="20"/>
          <w:szCs w:val="20"/>
        </w:rPr>
        <w:instrText xml:space="preserve"> PAGEREF _Toc390300612 \h </w:instrText>
      </w:r>
      <w:r w:rsidRPr="002A7931">
        <w:rPr>
          <w:noProof/>
          <w:sz w:val="20"/>
          <w:szCs w:val="20"/>
        </w:rPr>
      </w:r>
      <w:r w:rsidRPr="002A7931">
        <w:rPr>
          <w:noProof/>
          <w:sz w:val="20"/>
          <w:szCs w:val="20"/>
        </w:rPr>
        <w:fldChar w:fldCharType="separate"/>
      </w:r>
      <w:r w:rsidRPr="002A7931">
        <w:rPr>
          <w:noProof/>
          <w:sz w:val="20"/>
          <w:szCs w:val="20"/>
        </w:rPr>
        <w:t>27</w:t>
      </w:r>
      <w:r w:rsidRPr="002A7931">
        <w:rPr>
          <w:noProof/>
          <w:sz w:val="20"/>
          <w:szCs w:val="20"/>
        </w:rPr>
        <w:fldChar w:fldCharType="end"/>
      </w:r>
    </w:p>
    <w:p w14:paraId="0AAC2D0C" w14:textId="77777777" w:rsidR="006F1E60" w:rsidRPr="002A7931" w:rsidRDefault="006F1E60">
      <w:pPr>
        <w:pStyle w:val="TOC2"/>
        <w:tabs>
          <w:tab w:val="right" w:leader="dot" w:pos="8630"/>
        </w:tabs>
        <w:rPr>
          <w:noProof/>
          <w:sz w:val="20"/>
          <w:szCs w:val="20"/>
          <w:lang w:eastAsia="ja-JP"/>
        </w:rPr>
      </w:pPr>
      <w:r w:rsidRPr="002A7931">
        <w:rPr>
          <w:noProof/>
          <w:sz w:val="20"/>
          <w:szCs w:val="20"/>
        </w:rPr>
        <w:t>4.1 Offering a limiting principle: the case for “qualified intent”</w:t>
      </w:r>
      <w:r w:rsidRPr="002A7931">
        <w:rPr>
          <w:noProof/>
          <w:sz w:val="20"/>
          <w:szCs w:val="20"/>
        </w:rPr>
        <w:tab/>
      </w:r>
      <w:r w:rsidRPr="002A7931">
        <w:rPr>
          <w:noProof/>
          <w:sz w:val="20"/>
          <w:szCs w:val="20"/>
        </w:rPr>
        <w:fldChar w:fldCharType="begin"/>
      </w:r>
      <w:r w:rsidRPr="002A7931">
        <w:rPr>
          <w:noProof/>
          <w:sz w:val="20"/>
          <w:szCs w:val="20"/>
        </w:rPr>
        <w:instrText xml:space="preserve"> PAGEREF _Toc390300613 \h </w:instrText>
      </w:r>
      <w:r w:rsidRPr="002A7931">
        <w:rPr>
          <w:noProof/>
          <w:sz w:val="20"/>
          <w:szCs w:val="20"/>
        </w:rPr>
      </w:r>
      <w:r w:rsidRPr="002A7931">
        <w:rPr>
          <w:noProof/>
          <w:sz w:val="20"/>
          <w:szCs w:val="20"/>
        </w:rPr>
        <w:fldChar w:fldCharType="separate"/>
      </w:r>
      <w:r w:rsidRPr="002A7931">
        <w:rPr>
          <w:noProof/>
          <w:sz w:val="20"/>
          <w:szCs w:val="20"/>
        </w:rPr>
        <w:t>29</w:t>
      </w:r>
      <w:r w:rsidRPr="002A7931">
        <w:rPr>
          <w:noProof/>
          <w:sz w:val="20"/>
          <w:szCs w:val="20"/>
        </w:rPr>
        <w:fldChar w:fldCharType="end"/>
      </w:r>
    </w:p>
    <w:p w14:paraId="0A48ED72" w14:textId="77777777" w:rsidR="006F1E60" w:rsidRPr="002A7931" w:rsidRDefault="006F1E60">
      <w:pPr>
        <w:pStyle w:val="TOC2"/>
        <w:tabs>
          <w:tab w:val="right" w:leader="dot" w:pos="8630"/>
        </w:tabs>
        <w:rPr>
          <w:noProof/>
          <w:sz w:val="20"/>
          <w:szCs w:val="20"/>
          <w:lang w:eastAsia="ja-JP"/>
        </w:rPr>
      </w:pPr>
      <w:r w:rsidRPr="002A7931">
        <w:rPr>
          <w:noProof/>
          <w:sz w:val="20"/>
          <w:szCs w:val="20"/>
        </w:rPr>
        <w:t>4. 2 Towards a negligence-based safe harbor for gatekeeping algorithms?</w:t>
      </w:r>
      <w:r w:rsidRPr="002A7931">
        <w:rPr>
          <w:noProof/>
          <w:sz w:val="20"/>
          <w:szCs w:val="20"/>
        </w:rPr>
        <w:tab/>
      </w:r>
      <w:r w:rsidRPr="002A7931">
        <w:rPr>
          <w:noProof/>
          <w:sz w:val="20"/>
          <w:szCs w:val="20"/>
        </w:rPr>
        <w:fldChar w:fldCharType="begin"/>
      </w:r>
      <w:r w:rsidRPr="002A7931">
        <w:rPr>
          <w:noProof/>
          <w:sz w:val="20"/>
          <w:szCs w:val="20"/>
        </w:rPr>
        <w:instrText xml:space="preserve"> PAGEREF _Toc390300614 \h </w:instrText>
      </w:r>
      <w:r w:rsidRPr="002A7931">
        <w:rPr>
          <w:noProof/>
          <w:sz w:val="20"/>
          <w:szCs w:val="20"/>
        </w:rPr>
      </w:r>
      <w:r w:rsidRPr="002A7931">
        <w:rPr>
          <w:noProof/>
          <w:sz w:val="20"/>
          <w:szCs w:val="20"/>
        </w:rPr>
        <w:fldChar w:fldCharType="separate"/>
      </w:r>
      <w:r w:rsidRPr="002A7931">
        <w:rPr>
          <w:noProof/>
          <w:sz w:val="20"/>
          <w:szCs w:val="20"/>
        </w:rPr>
        <w:t>31</w:t>
      </w:r>
      <w:r w:rsidRPr="002A7931">
        <w:rPr>
          <w:noProof/>
          <w:sz w:val="20"/>
          <w:szCs w:val="20"/>
        </w:rPr>
        <w:fldChar w:fldCharType="end"/>
      </w:r>
    </w:p>
    <w:p w14:paraId="2AC9D7DA" w14:textId="77777777" w:rsidR="006F1E60" w:rsidRPr="002A7931" w:rsidRDefault="006F1E60">
      <w:pPr>
        <w:pStyle w:val="TOC2"/>
        <w:tabs>
          <w:tab w:val="right" w:leader="dot" w:pos="8630"/>
        </w:tabs>
        <w:rPr>
          <w:noProof/>
          <w:sz w:val="20"/>
          <w:szCs w:val="20"/>
          <w:lang w:eastAsia="ja-JP"/>
        </w:rPr>
      </w:pPr>
      <w:r w:rsidRPr="002A7931">
        <w:rPr>
          <w:noProof/>
          <w:sz w:val="20"/>
          <w:szCs w:val="20"/>
        </w:rPr>
        <w:t>4.3 Conclusion</w:t>
      </w:r>
      <w:r w:rsidRPr="002A7931">
        <w:rPr>
          <w:noProof/>
          <w:sz w:val="20"/>
          <w:szCs w:val="20"/>
        </w:rPr>
        <w:tab/>
      </w:r>
      <w:r w:rsidRPr="002A7931">
        <w:rPr>
          <w:noProof/>
          <w:sz w:val="20"/>
          <w:szCs w:val="20"/>
        </w:rPr>
        <w:fldChar w:fldCharType="begin"/>
      </w:r>
      <w:r w:rsidRPr="002A7931">
        <w:rPr>
          <w:noProof/>
          <w:sz w:val="20"/>
          <w:szCs w:val="20"/>
        </w:rPr>
        <w:instrText xml:space="preserve"> PAGEREF _Toc390300615 \h </w:instrText>
      </w:r>
      <w:r w:rsidRPr="002A7931">
        <w:rPr>
          <w:noProof/>
          <w:sz w:val="20"/>
          <w:szCs w:val="20"/>
        </w:rPr>
      </w:r>
      <w:r w:rsidRPr="002A7931">
        <w:rPr>
          <w:noProof/>
          <w:sz w:val="20"/>
          <w:szCs w:val="20"/>
        </w:rPr>
        <w:fldChar w:fldCharType="separate"/>
      </w:r>
      <w:r w:rsidRPr="002A7931">
        <w:rPr>
          <w:noProof/>
          <w:sz w:val="20"/>
          <w:szCs w:val="20"/>
        </w:rPr>
        <w:t>33</w:t>
      </w:r>
      <w:r w:rsidRPr="002A7931">
        <w:rPr>
          <w:noProof/>
          <w:sz w:val="20"/>
          <w:szCs w:val="20"/>
        </w:rPr>
        <w:fldChar w:fldCharType="end"/>
      </w:r>
    </w:p>
    <w:p w14:paraId="1C6A8AD5" w14:textId="77777777" w:rsidR="002120E3" w:rsidRDefault="006F1E60" w:rsidP="002120E3">
      <w:pPr>
        <w:jc w:val="both"/>
        <w:rPr>
          <w:rFonts w:ascii="Times New Roman" w:hAnsi="Times New Roman" w:cs="Times New Roman"/>
        </w:rPr>
      </w:pPr>
      <w:r w:rsidRPr="002A7931">
        <w:rPr>
          <w:rFonts w:ascii="Times New Roman" w:hAnsi="Times New Roman" w:cs="Times New Roman"/>
          <w:sz w:val="20"/>
          <w:szCs w:val="20"/>
        </w:rPr>
        <w:fldChar w:fldCharType="end"/>
      </w:r>
    </w:p>
    <w:p w14:paraId="3E5CCF8B" w14:textId="77777777" w:rsidR="002120E3" w:rsidRDefault="002120E3" w:rsidP="002120E3">
      <w:pPr>
        <w:rPr>
          <w:rFonts w:ascii="Times New Roman" w:hAnsi="Times New Roman" w:cs="Times New Roman"/>
        </w:rPr>
      </w:pPr>
      <w:r>
        <w:rPr>
          <w:rFonts w:ascii="Times New Roman" w:hAnsi="Times New Roman" w:cs="Times New Roman"/>
        </w:rPr>
        <w:br w:type="page"/>
      </w:r>
    </w:p>
    <w:p w14:paraId="0992C9E3" w14:textId="77777777" w:rsidR="002120E3" w:rsidRPr="00612CBC" w:rsidRDefault="002120E3" w:rsidP="000E0F53">
      <w:pPr>
        <w:pStyle w:val="Heading1"/>
      </w:pPr>
      <w:bookmarkStart w:id="0" w:name="_Toc390300601"/>
      <w:r w:rsidRPr="00612CBC">
        <w:lastRenderedPageBreak/>
        <w:t xml:space="preserve">1. Introduction: </w:t>
      </w:r>
      <w:r>
        <w:t>understanding the role of intent in antitrust analysis</w:t>
      </w:r>
      <w:bookmarkEnd w:id="0"/>
    </w:p>
    <w:p w14:paraId="5F57BA64" w14:textId="77777777" w:rsidR="002120E3" w:rsidRPr="00612CBC" w:rsidRDefault="002120E3" w:rsidP="002120E3">
      <w:pPr>
        <w:jc w:val="both"/>
        <w:rPr>
          <w:rFonts w:ascii="Times New Roman" w:hAnsi="Times New Roman" w:cs="Times New Roman"/>
        </w:rPr>
      </w:pPr>
    </w:p>
    <w:p w14:paraId="43967F9F" w14:textId="77777777" w:rsidR="002120E3" w:rsidRDefault="002120E3" w:rsidP="002120E3">
      <w:pPr>
        <w:jc w:val="both"/>
        <w:rPr>
          <w:rFonts w:ascii="Times New Roman" w:hAnsi="Times New Roman" w:cs="Times New Roman"/>
        </w:rPr>
      </w:pPr>
      <w:r>
        <w:rPr>
          <w:rFonts w:ascii="Times New Roman" w:hAnsi="Times New Roman" w:cs="Times New Roman"/>
        </w:rPr>
        <w:t>Intent</w:t>
      </w:r>
      <w:r w:rsidRPr="00612CBC">
        <w:rPr>
          <w:rFonts w:ascii="Times New Roman" w:hAnsi="Times New Roman" w:cs="Times New Roman"/>
        </w:rPr>
        <w:t xml:space="preserve"> in antitrust analysis of unilateral conduct </w:t>
      </w:r>
      <w:r>
        <w:rPr>
          <w:rFonts w:ascii="Times New Roman" w:hAnsi="Times New Roman" w:cs="Times New Roman"/>
        </w:rPr>
        <w:t>has always been</w:t>
      </w:r>
      <w:r w:rsidRPr="00612CBC">
        <w:rPr>
          <w:rFonts w:ascii="Times New Roman" w:hAnsi="Times New Roman" w:cs="Times New Roman"/>
        </w:rPr>
        <w:t xml:space="preserve"> </w:t>
      </w:r>
      <w:r>
        <w:rPr>
          <w:rFonts w:ascii="Times New Roman" w:hAnsi="Times New Roman" w:cs="Times New Roman"/>
        </w:rPr>
        <w:t>a</w:t>
      </w:r>
      <w:r w:rsidRPr="00612CBC">
        <w:rPr>
          <w:rFonts w:ascii="Times New Roman" w:hAnsi="Times New Roman" w:cs="Times New Roman"/>
        </w:rPr>
        <w:t xml:space="preserve"> controversial</w:t>
      </w:r>
      <w:r>
        <w:rPr>
          <w:rFonts w:ascii="Times New Roman" w:hAnsi="Times New Roman" w:cs="Times New Roman"/>
        </w:rPr>
        <w:t xml:space="preserve"> topic</w:t>
      </w:r>
      <w:r w:rsidRPr="00612CBC">
        <w:rPr>
          <w:rFonts w:ascii="Times New Roman" w:hAnsi="Times New Roman" w:cs="Times New Roman"/>
        </w:rPr>
        <w:t xml:space="preserve">, having been at the center of </w:t>
      </w:r>
      <w:r>
        <w:rPr>
          <w:rFonts w:ascii="Times New Roman" w:hAnsi="Times New Roman" w:cs="Times New Roman"/>
        </w:rPr>
        <w:t xml:space="preserve">the </w:t>
      </w:r>
      <w:r w:rsidRPr="00612CBC">
        <w:rPr>
          <w:rFonts w:ascii="Times New Roman" w:hAnsi="Times New Roman" w:cs="Times New Roman"/>
        </w:rPr>
        <w:t xml:space="preserve">discussions </w:t>
      </w:r>
      <w:r>
        <w:rPr>
          <w:rFonts w:ascii="Times New Roman" w:hAnsi="Times New Roman" w:cs="Times New Roman"/>
        </w:rPr>
        <w:t>of</w:t>
      </w:r>
      <w:r w:rsidRPr="00612CBC">
        <w:rPr>
          <w:rFonts w:ascii="Times New Roman" w:hAnsi="Times New Roman" w:cs="Times New Roman"/>
        </w:rPr>
        <w:t xml:space="preserve"> </w:t>
      </w:r>
      <w:r>
        <w:rPr>
          <w:rFonts w:ascii="Times New Roman" w:hAnsi="Times New Roman" w:cs="Times New Roman"/>
        </w:rPr>
        <w:t>numerous</w:t>
      </w:r>
      <w:r w:rsidRPr="00612CBC">
        <w:rPr>
          <w:rFonts w:ascii="Times New Roman" w:hAnsi="Times New Roman" w:cs="Times New Roman"/>
        </w:rPr>
        <w:t xml:space="preserve"> commentators, especially in the US and EU, </w:t>
      </w:r>
      <w:r>
        <w:rPr>
          <w:rFonts w:ascii="Times New Roman" w:hAnsi="Times New Roman" w:cs="Times New Roman"/>
        </w:rPr>
        <w:t>who have advocated</w:t>
      </w:r>
      <w:r w:rsidRPr="00612CBC">
        <w:rPr>
          <w:rFonts w:ascii="Times New Roman" w:hAnsi="Times New Roman" w:cs="Times New Roman"/>
        </w:rPr>
        <w:t xml:space="preserve"> </w:t>
      </w:r>
      <w:r>
        <w:rPr>
          <w:rFonts w:ascii="Times New Roman" w:hAnsi="Times New Roman" w:cs="Times New Roman"/>
        </w:rPr>
        <w:t>either</w:t>
      </w:r>
      <w:r w:rsidRPr="00612CBC">
        <w:rPr>
          <w:rFonts w:ascii="Times New Roman" w:hAnsi="Times New Roman" w:cs="Times New Roman"/>
        </w:rPr>
        <w:t xml:space="preserve"> for increasing or</w:t>
      </w:r>
      <w:r>
        <w:rPr>
          <w:rFonts w:ascii="Times New Roman" w:hAnsi="Times New Roman" w:cs="Times New Roman"/>
        </w:rPr>
        <w:t xml:space="preserve"> for </w:t>
      </w:r>
      <w:r w:rsidRPr="00612CBC">
        <w:rPr>
          <w:rFonts w:ascii="Times New Roman" w:hAnsi="Times New Roman" w:cs="Times New Roman"/>
        </w:rPr>
        <w:t xml:space="preserve">reducing </w:t>
      </w:r>
      <w:bookmarkStart w:id="1" w:name="_Ref389682656"/>
      <w:r>
        <w:rPr>
          <w:rFonts w:ascii="Times New Roman" w:hAnsi="Times New Roman" w:cs="Times New Roman"/>
        </w:rPr>
        <w:t xml:space="preserve">the role of evidence documenting subjective state of mind </w:t>
      </w:r>
      <w:bookmarkStart w:id="2" w:name="_Ref390182134"/>
      <w:r w:rsidRPr="00612CBC">
        <w:rPr>
          <w:rStyle w:val="FootnoteReference"/>
          <w:rFonts w:ascii="Times New Roman" w:hAnsi="Times New Roman" w:cs="Times New Roman"/>
        </w:rPr>
        <w:footnoteReference w:id="1"/>
      </w:r>
      <w:bookmarkEnd w:id="1"/>
      <w:bookmarkEnd w:id="2"/>
      <w:r w:rsidRPr="00612CBC">
        <w:rPr>
          <w:rFonts w:ascii="Times New Roman" w:hAnsi="Times New Roman" w:cs="Times New Roman"/>
        </w:rPr>
        <w:t xml:space="preserve">. </w:t>
      </w:r>
      <w:r>
        <w:rPr>
          <w:rFonts w:ascii="Times New Roman" w:hAnsi="Times New Roman" w:cs="Times New Roman"/>
        </w:rPr>
        <w:t>Those in favor of a greater consideration of subjective intent argue that it constitutes an invaluable tool in the antitrust arsenal, allowing agencies and litigants to overcome situations where the facts are ambiguous</w:t>
      </w:r>
      <w:r>
        <w:rPr>
          <w:rStyle w:val="FootnoteReference"/>
          <w:rFonts w:ascii="Times New Roman" w:hAnsi="Times New Roman" w:cs="Times New Roman"/>
        </w:rPr>
        <w:footnoteReference w:id="2"/>
      </w:r>
      <w:r>
        <w:rPr>
          <w:rFonts w:ascii="Times New Roman" w:hAnsi="Times New Roman" w:cs="Times New Roman"/>
        </w:rPr>
        <w:t xml:space="preserve"> or the evidence of harm to competition inconclusive</w:t>
      </w:r>
      <w:r>
        <w:rPr>
          <w:rStyle w:val="FootnoteReference"/>
          <w:rFonts w:ascii="Times New Roman" w:hAnsi="Times New Roman" w:cs="Times New Roman"/>
        </w:rPr>
        <w:footnoteReference w:id="3"/>
      </w:r>
      <w:r>
        <w:rPr>
          <w:rFonts w:ascii="Times New Roman" w:hAnsi="Times New Roman" w:cs="Times New Roman"/>
        </w:rPr>
        <w:t>. A further argument advanced especially by US commentators’ is that, with antitrust’s increasing reliance on effects-based analysis and given the complexity of predicting harm to innovation, excluding subjective intent evidence is likely to generate a significant amount of false negatives</w:t>
      </w:r>
      <w:r>
        <w:rPr>
          <w:rStyle w:val="FootnoteReference"/>
          <w:rFonts w:ascii="Times New Roman" w:hAnsi="Times New Roman" w:cs="Times New Roman"/>
        </w:rPr>
        <w:footnoteReference w:id="4"/>
      </w:r>
      <w:r>
        <w:rPr>
          <w:rFonts w:ascii="Times New Roman" w:hAnsi="Times New Roman" w:cs="Times New Roman"/>
        </w:rPr>
        <w:t xml:space="preserve">. </w:t>
      </w:r>
    </w:p>
    <w:p w14:paraId="7FAAC2CF" w14:textId="77777777" w:rsidR="002120E3" w:rsidRDefault="002120E3" w:rsidP="002120E3">
      <w:pPr>
        <w:jc w:val="both"/>
        <w:rPr>
          <w:rFonts w:ascii="Times New Roman" w:hAnsi="Times New Roman" w:cs="Times New Roman"/>
        </w:rPr>
      </w:pPr>
    </w:p>
    <w:p w14:paraId="55008D6A" w14:textId="77777777" w:rsidR="002120E3" w:rsidRPr="00612CBC" w:rsidRDefault="002120E3" w:rsidP="002120E3">
      <w:pPr>
        <w:jc w:val="both"/>
        <w:rPr>
          <w:rFonts w:ascii="Times New Roman" w:hAnsi="Times New Roman" w:cs="Times New Roman"/>
        </w:rPr>
      </w:pPr>
      <w:r>
        <w:rPr>
          <w:rFonts w:ascii="Times New Roman" w:hAnsi="Times New Roman" w:cs="Times New Roman"/>
        </w:rPr>
        <w:t>On the other side of the fence, t</w:t>
      </w:r>
      <w:r w:rsidRPr="00612CBC">
        <w:rPr>
          <w:rFonts w:ascii="Times New Roman" w:hAnsi="Times New Roman" w:cs="Times New Roman"/>
        </w:rPr>
        <w:t>hose opposing a reliance on intent do so for two main reasons: first, because “sales talks” to the company’s employees encouraging to beat and indeed eliminate competitors are indicative of an aggressive business strategy, which may or may not be anticompetitive in the first place</w:t>
      </w:r>
      <w:r w:rsidRPr="00612CBC">
        <w:rPr>
          <w:rStyle w:val="FootnoteReference"/>
          <w:rFonts w:ascii="Times New Roman" w:hAnsi="Times New Roman" w:cs="Times New Roman"/>
        </w:rPr>
        <w:footnoteReference w:id="5"/>
      </w:r>
      <w:r>
        <w:rPr>
          <w:rFonts w:ascii="Times New Roman" w:hAnsi="Times New Roman" w:cs="Times New Roman"/>
        </w:rPr>
        <w:t xml:space="preserve">. </w:t>
      </w:r>
      <w:r w:rsidRPr="00612CBC">
        <w:rPr>
          <w:rFonts w:ascii="Times New Roman" w:hAnsi="Times New Roman" w:cs="Times New Roman"/>
        </w:rPr>
        <w:t xml:space="preserve">Second, because </w:t>
      </w:r>
      <w:r>
        <w:rPr>
          <w:rFonts w:ascii="Times New Roman" w:hAnsi="Times New Roman" w:cs="Times New Roman"/>
        </w:rPr>
        <w:t>banning any exhortation to compete aggressively</w:t>
      </w:r>
      <w:r w:rsidRPr="00612CBC">
        <w:rPr>
          <w:rFonts w:ascii="Times New Roman" w:hAnsi="Times New Roman" w:cs="Times New Roman"/>
        </w:rPr>
        <w:t xml:space="preserve"> would </w:t>
      </w:r>
      <w:r>
        <w:rPr>
          <w:rFonts w:ascii="Times New Roman" w:hAnsi="Times New Roman" w:cs="Times New Roman"/>
        </w:rPr>
        <w:t xml:space="preserve">encourage firms to deploy </w:t>
      </w:r>
      <w:r w:rsidRPr="00612CBC">
        <w:rPr>
          <w:rFonts w:ascii="Times New Roman" w:hAnsi="Times New Roman" w:cs="Times New Roman"/>
        </w:rPr>
        <w:t xml:space="preserve">more subtle forms of </w:t>
      </w:r>
      <w:r>
        <w:rPr>
          <w:rFonts w:ascii="Times New Roman" w:hAnsi="Times New Roman" w:cs="Times New Roman"/>
        </w:rPr>
        <w:t xml:space="preserve">inducement, and thereby favor those </w:t>
      </w:r>
      <w:r w:rsidRPr="00612CBC">
        <w:rPr>
          <w:rFonts w:ascii="Times New Roman" w:hAnsi="Times New Roman" w:cs="Times New Roman"/>
        </w:rPr>
        <w:t xml:space="preserve">who have the resources to master that </w:t>
      </w:r>
      <w:r>
        <w:rPr>
          <w:rFonts w:ascii="Times New Roman" w:hAnsi="Times New Roman" w:cs="Times New Roman"/>
        </w:rPr>
        <w:t xml:space="preserve">complexification </w:t>
      </w:r>
      <w:r w:rsidRPr="00612CBC">
        <w:rPr>
          <w:rFonts w:ascii="Times New Roman" w:hAnsi="Times New Roman" w:cs="Times New Roman"/>
        </w:rPr>
        <w:t>effectively: evidence documenting the state of mind of executives and managers is</w:t>
      </w:r>
      <w:r>
        <w:rPr>
          <w:rFonts w:ascii="Times New Roman" w:hAnsi="Times New Roman" w:cs="Times New Roman"/>
        </w:rPr>
        <w:t xml:space="preserve"> less </w:t>
      </w:r>
      <w:r w:rsidRPr="00612CBC">
        <w:rPr>
          <w:rFonts w:ascii="Times New Roman" w:hAnsi="Times New Roman" w:cs="Times New Roman"/>
        </w:rPr>
        <w:t xml:space="preserve">likely to be </w:t>
      </w:r>
      <w:r>
        <w:rPr>
          <w:rFonts w:ascii="Times New Roman" w:hAnsi="Times New Roman" w:cs="Times New Roman"/>
        </w:rPr>
        <w:t>found</w:t>
      </w:r>
      <w:r w:rsidRPr="00612CBC">
        <w:rPr>
          <w:rFonts w:ascii="Times New Roman" w:hAnsi="Times New Roman" w:cs="Times New Roman"/>
        </w:rPr>
        <w:t xml:space="preserve"> in the case of </w:t>
      </w:r>
      <w:r>
        <w:rPr>
          <w:rFonts w:ascii="Times New Roman" w:hAnsi="Times New Roman" w:cs="Times New Roman"/>
        </w:rPr>
        <w:t xml:space="preserve">large or experienced </w:t>
      </w:r>
      <w:r w:rsidRPr="00612CBC">
        <w:rPr>
          <w:rFonts w:ascii="Times New Roman" w:hAnsi="Times New Roman" w:cs="Times New Roman"/>
        </w:rPr>
        <w:t>firms. On that ground, intent evidence has been said to be</w:t>
      </w:r>
      <w:r>
        <w:rPr>
          <w:rFonts w:ascii="Times New Roman" w:hAnsi="Times New Roman" w:cs="Times New Roman"/>
        </w:rPr>
        <w:t xml:space="preserve"> too subjective and unreliable, as</w:t>
      </w:r>
      <w:r w:rsidRPr="00612CBC">
        <w:rPr>
          <w:rFonts w:ascii="Times New Roman" w:hAnsi="Times New Roman" w:cs="Times New Roman"/>
        </w:rPr>
        <w:t xml:space="preserve"> </w:t>
      </w:r>
      <w:r>
        <w:rPr>
          <w:rFonts w:ascii="Times New Roman" w:hAnsi="Times New Roman" w:cs="Times New Roman"/>
        </w:rPr>
        <w:t xml:space="preserve">potentially </w:t>
      </w:r>
      <w:r w:rsidRPr="00612CBC">
        <w:rPr>
          <w:rFonts w:ascii="Times New Roman" w:hAnsi="Times New Roman" w:cs="Times New Roman"/>
        </w:rPr>
        <w:t>both over-inclusive and under-inclusive</w:t>
      </w:r>
      <w:r w:rsidRPr="00612CBC">
        <w:rPr>
          <w:rStyle w:val="FootnoteReference"/>
          <w:rFonts w:ascii="Times New Roman" w:hAnsi="Times New Roman" w:cs="Times New Roman"/>
        </w:rPr>
        <w:footnoteReference w:id="6"/>
      </w:r>
      <w:r w:rsidRPr="00612CBC">
        <w:rPr>
          <w:rFonts w:ascii="Times New Roman" w:hAnsi="Times New Roman" w:cs="Times New Roman"/>
        </w:rPr>
        <w:t xml:space="preserve">. </w:t>
      </w:r>
    </w:p>
    <w:p w14:paraId="113DEC0F" w14:textId="77777777" w:rsidR="002120E3" w:rsidRPr="00612CBC" w:rsidRDefault="002120E3" w:rsidP="002120E3">
      <w:pPr>
        <w:jc w:val="both"/>
        <w:rPr>
          <w:rFonts w:ascii="Times New Roman" w:hAnsi="Times New Roman" w:cs="Times New Roman"/>
        </w:rPr>
      </w:pPr>
    </w:p>
    <w:p w14:paraId="0F95B90B" w14:textId="77777777" w:rsidR="002120E3" w:rsidRPr="00612CBC" w:rsidRDefault="002120E3" w:rsidP="002120E3">
      <w:pPr>
        <w:jc w:val="both"/>
        <w:rPr>
          <w:rFonts w:ascii="Times New Roman" w:hAnsi="Times New Roman" w:cs="Times New Roman"/>
        </w:rPr>
      </w:pPr>
      <w:r w:rsidRPr="003B5724">
        <w:rPr>
          <w:rFonts w:ascii="Times New Roman" w:hAnsi="Times New Roman" w:cs="Times New Roman"/>
        </w:rPr>
        <w:t>This criticism is well</w:t>
      </w:r>
      <w:r w:rsidRPr="00612CBC">
        <w:rPr>
          <w:rFonts w:ascii="Times New Roman" w:hAnsi="Times New Roman" w:cs="Times New Roman"/>
        </w:rPr>
        <w:t xml:space="preserve"> taken, in a world where </w:t>
      </w:r>
      <w:r>
        <w:rPr>
          <w:rFonts w:ascii="Times New Roman" w:hAnsi="Times New Roman" w:cs="Times New Roman"/>
        </w:rPr>
        <w:t xml:space="preserve">the requisite culpability can be grounded on </w:t>
      </w:r>
      <w:r w:rsidRPr="00873064">
        <w:rPr>
          <w:rFonts w:ascii="Times New Roman" w:hAnsi="Times New Roman" w:cs="Times New Roman"/>
          <w:i/>
        </w:rPr>
        <w:t xml:space="preserve">any </w:t>
      </w:r>
      <w:r w:rsidRPr="00612CBC">
        <w:rPr>
          <w:rFonts w:ascii="Times New Roman" w:hAnsi="Times New Roman" w:cs="Times New Roman"/>
        </w:rPr>
        <w:t xml:space="preserve">evidence documenting the defendant’s state of mind </w:t>
      </w:r>
      <w:r>
        <w:rPr>
          <w:rFonts w:ascii="Times New Roman" w:hAnsi="Times New Roman" w:cs="Times New Roman"/>
        </w:rPr>
        <w:t>when</w:t>
      </w:r>
      <w:r w:rsidRPr="00612CBC">
        <w:rPr>
          <w:rFonts w:ascii="Times New Roman" w:hAnsi="Times New Roman" w:cs="Times New Roman"/>
        </w:rPr>
        <w:t xml:space="preserve"> undertaking a certain act. In that world, focusing on </w:t>
      </w:r>
      <w:r>
        <w:rPr>
          <w:rFonts w:ascii="Times New Roman" w:hAnsi="Times New Roman" w:cs="Times New Roman"/>
        </w:rPr>
        <w:t xml:space="preserve">subjective </w:t>
      </w:r>
      <w:r w:rsidRPr="00612CBC">
        <w:rPr>
          <w:rFonts w:ascii="Times New Roman" w:hAnsi="Times New Roman" w:cs="Times New Roman"/>
        </w:rPr>
        <w:t>intent can be a slippery slope because a court or competition authority might believe that certain evidence suggests that the defendant aimed to achieve an anticompetitive outcome</w:t>
      </w:r>
      <w:r>
        <w:rPr>
          <w:rFonts w:ascii="Times New Roman" w:hAnsi="Times New Roman" w:cs="Times New Roman"/>
        </w:rPr>
        <w:t>, even if that outcome wa</w:t>
      </w:r>
      <w:r w:rsidRPr="00612CBC">
        <w:rPr>
          <w:rFonts w:ascii="Times New Roman" w:hAnsi="Times New Roman" w:cs="Times New Roman"/>
        </w:rPr>
        <w:t xml:space="preserve">s </w:t>
      </w:r>
      <w:r>
        <w:rPr>
          <w:rFonts w:ascii="Times New Roman" w:hAnsi="Times New Roman" w:cs="Times New Roman"/>
        </w:rPr>
        <w:t xml:space="preserve">in fact </w:t>
      </w:r>
      <w:r w:rsidRPr="00612CBC">
        <w:rPr>
          <w:rFonts w:ascii="Times New Roman" w:hAnsi="Times New Roman" w:cs="Times New Roman"/>
        </w:rPr>
        <w:t>either impossible or highly unlikely</w:t>
      </w:r>
      <w:r>
        <w:rPr>
          <w:rFonts w:ascii="Times New Roman" w:hAnsi="Times New Roman" w:cs="Times New Roman"/>
        </w:rPr>
        <w:t xml:space="preserve"> to materialize</w:t>
      </w:r>
      <w:r w:rsidRPr="00612CBC">
        <w:rPr>
          <w:rFonts w:ascii="Times New Roman" w:hAnsi="Times New Roman" w:cs="Times New Roman"/>
        </w:rPr>
        <w:t xml:space="preserve"> given the circumstances</w:t>
      </w:r>
      <w:r>
        <w:rPr>
          <w:rStyle w:val="FootnoteReference"/>
          <w:rFonts w:ascii="Times New Roman" w:hAnsi="Times New Roman" w:cs="Times New Roman"/>
        </w:rPr>
        <w:footnoteReference w:id="7"/>
      </w:r>
      <w:r>
        <w:rPr>
          <w:rFonts w:ascii="Times New Roman" w:hAnsi="Times New Roman" w:cs="Times New Roman"/>
        </w:rPr>
        <w:t>. However, it is submitted that this</w:t>
      </w:r>
      <w:r w:rsidRPr="00612CBC">
        <w:rPr>
          <w:rFonts w:ascii="Times New Roman" w:hAnsi="Times New Roman" w:cs="Times New Roman"/>
        </w:rPr>
        <w:t xml:space="preserve"> </w:t>
      </w:r>
      <w:r>
        <w:rPr>
          <w:rFonts w:ascii="Times New Roman" w:hAnsi="Times New Roman" w:cs="Times New Roman"/>
        </w:rPr>
        <w:t>is not the world in which EU antitrust enforcement operates</w:t>
      </w:r>
      <w:r>
        <w:rPr>
          <w:rStyle w:val="FootnoteReference"/>
          <w:rFonts w:ascii="Times New Roman" w:hAnsi="Times New Roman" w:cs="Times New Roman"/>
        </w:rPr>
        <w:footnoteReference w:id="8"/>
      </w:r>
      <w:r>
        <w:rPr>
          <w:rFonts w:ascii="Times New Roman" w:hAnsi="Times New Roman" w:cs="Times New Roman"/>
        </w:rPr>
        <w:t>: a close</w:t>
      </w:r>
      <w:r w:rsidRPr="00612CBC">
        <w:rPr>
          <w:rFonts w:ascii="Times New Roman" w:hAnsi="Times New Roman" w:cs="Times New Roman"/>
        </w:rPr>
        <w:t xml:space="preserve"> reading of some of the case</w:t>
      </w:r>
      <w:r>
        <w:rPr>
          <w:rFonts w:ascii="Times New Roman" w:hAnsi="Times New Roman" w:cs="Times New Roman"/>
        </w:rPr>
        <w:t>-</w:t>
      </w:r>
      <w:r w:rsidRPr="00612CBC">
        <w:rPr>
          <w:rFonts w:ascii="Times New Roman" w:hAnsi="Times New Roman" w:cs="Times New Roman"/>
        </w:rPr>
        <w:t xml:space="preserve">law of the European Court of Justice </w:t>
      </w:r>
      <w:r>
        <w:rPr>
          <w:rFonts w:ascii="Times New Roman" w:hAnsi="Times New Roman" w:cs="Times New Roman"/>
        </w:rPr>
        <w:t xml:space="preserve">(CJEU) </w:t>
      </w:r>
      <w:r w:rsidRPr="00612CBC">
        <w:rPr>
          <w:rFonts w:ascii="Times New Roman" w:hAnsi="Times New Roman" w:cs="Times New Roman"/>
        </w:rPr>
        <w:t>suggests that the notion of</w:t>
      </w:r>
      <w:r>
        <w:rPr>
          <w:rFonts w:ascii="Times New Roman" w:hAnsi="Times New Roman" w:cs="Times New Roman"/>
        </w:rPr>
        <w:t xml:space="preserve"> subjective</w:t>
      </w:r>
      <w:r w:rsidRPr="00612CBC">
        <w:rPr>
          <w:rFonts w:ascii="Times New Roman" w:hAnsi="Times New Roman" w:cs="Times New Roman"/>
        </w:rPr>
        <w:t xml:space="preserve"> intent can only be validly relied upon where</w:t>
      </w:r>
      <w:r>
        <w:rPr>
          <w:rFonts w:ascii="Times New Roman" w:hAnsi="Times New Roman" w:cs="Times New Roman"/>
        </w:rPr>
        <w:t>, on net balance with the whole body of evidence,</w:t>
      </w:r>
      <w:r w:rsidRPr="00612CBC">
        <w:rPr>
          <w:rFonts w:ascii="Times New Roman" w:hAnsi="Times New Roman" w:cs="Times New Roman"/>
        </w:rPr>
        <w:t xml:space="preserve"> t</w:t>
      </w:r>
      <w:r>
        <w:rPr>
          <w:rFonts w:ascii="Times New Roman" w:hAnsi="Times New Roman" w:cs="Times New Roman"/>
        </w:rPr>
        <w:t>here is</w:t>
      </w:r>
      <w:r w:rsidRPr="00612CBC">
        <w:rPr>
          <w:rFonts w:ascii="Times New Roman" w:hAnsi="Times New Roman" w:cs="Times New Roman"/>
        </w:rPr>
        <w:t xml:space="preserve"> sufficient likelihood </w:t>
      </w:r>
      <w:r>
        <w:rPr>
          <w:rFonts w:ascii="Times New Roman" w:hAnsi="Times New Roman" w:cs="Times New Roman"/>
        </w:rPr>
        <w:t>for</w:t>
      </w:r>
      <w:r w:rsidRPr="00612CBC">
        <w:rPr>
          <w:rFonts w:ascii="Times New Roman" w:hAnsi="Times New Roman" w:cs="Times New Roman"/>
        </w:rPr>
        <w:t xml:space="preserve"> </w:t>
      </w:r>
      <w:r>
        <w:rPr>
          <w:rFonts w:ascii="Times New Roman" w:hAnsi="Times New Roman" w:cs="Times New Roman"/>
        </w:rPr>
        <w:t xml:space="preserve">the </w:t>
      </w:r>
      <w:r w:rsidRPr="00237A44">
        <w:rPr>
          <w:rFonts w:ascii="Times New Roman" w:hAnsi="Times New Roman" w:cs="Times New Roman"/>
        </w:rPr>
        <w:t xml:space="preserve">defendant’s </w:t>
      </w:r>
      <w:r>
        <w:rPr>
          <w:rFonts w:ascii="Times New Roman" w:hAnsi="Times New Roman" w:cs="Times New Roman"/>
        </w:rPr>
        <w:t>projected conduct to</w:t>
      </w:r>
      <w:r w:rsidRPr="00612CBC">
        <w:rPr>
          <w:rFonts w:ascii="Times New Roman" w:hAnsi="Times New Roman" w:cs="Times New Roman"/>
        </w:rPr>
        <w:t xml:space="preserve"> lead to an anticompetitive effect. In other words, th</w:t>
      </w:r>
      <w:r>
        <w:rPr>
          <w:rFonts w:ascii="Times New Roman" w:hAnsi="Times New Roman" w:cs="Times New Roman"/>
        </w:rPr>
        <w:t>at</w:t>
      </w:r>
      <w:r w:rsidRPr="00612CBC">
        <w:rPr>
          <w:rFonts w:ascii="Times New Roman" w:hAnsi="Times New Roman" w:cs="Times New Roman"/>
        </w:rPr>
        <w:t xml:space="preserve"> notion must be integrated with an objective component</w:t>
      </w:r>
      <w:r>
        <w:rPr>
          <w:rFonts w:ascii="Times New Roman" w:hAnsi="Times New Roman" w:cs="Times New Roman"/>
        </w:rPr>
        <w:t>, which relates at least in some way to the closeness of the connection between the subjective state and the anticompetitive outcome</w:t>
      </w:r>
      <w:r w:rsidRPr="00612CBC">
        <w:rPr>
          <w:rFonts w:ascii="Times New Roman" w:hAnsi="Times New Roman" w:cs="Times New Roman"/>
        </w:rPr>
        <w:t xml:space="preserve">. This resonates with the established principle that abuse of dominance is </w:t>
      </w:r>
      <w:r>
        <w:rPr>
          <w:rFonts w:ascii="Times New Roman" w:hAnsi="Times New Roman" w:cs="Times New Roman"/>
        </w:rPr>
        <w:t>“</w:t>
      </w:r>
      <w:r w:rsidRPr="00612CBC">
        <w:rPr>
          <w:rFonts w:ascii="Times New Roman" w:hAnsi="Times New Roman" w:cs="Times New Roman"/>
        </w:rPr>
        <w:t xml:space="preserve">an </w:t>
      </w:r>
      <w:r w:rsidRPr="00612CBC">
        <w:rPr>
          <w:rFonts w:ascii="Times New Roman" w:hAnsi="Times New Roman" w:cs="Times New Roman"/>
          <w:i/>
        </w:rPr>
        <w:t>objective concept</w:t>
      </w:r>
      <w:r w:rsidRPr="00612CBC">
        <w:rPr>
          <w:rFonts w:ascii="Times New Roman" w:hAnsi="Times New Roman" w:cs="Times New Roman"/>
        </w:rPr>
        <w:t xml:space="preserve"> </w:t>
      </w:r>
      <w:r>
        <w:rPr>
          <w:rFonts w:ascii="Times New Roman" w:hAnsi="Times New Roman" w:cs="Times New Roman"/>
        </w:rPr>
        <w:t>relating to the behavio</w:t>
      </w:r>
      <w:r w:rsidRPr="00612CBC">
        <w:rPr>
          <w:rFonts w:ascii="Times New Roman" w:hAnsi="Times New Roman" w:cs="Times New Roman"/>
        </w:rPr>
        <w:t xml:space="preserve">r of a dominant undertaking which is such as to influence the structure of a market where, as a result of the very presence of that undertaking, the degree of competition is weakened and which, through recourse to methods different from those which condition normal competition, </w:t>
      </w:r>
      <w:r w:rsidRPr="00A52BDA">
        <w:rPr>
          <w:rFonts w:ascii="Times New Roman" w:hAnsi="Times New Roman" w:cs="Times New Roman"/>
        </w:rPr>
        <w:t>has the</w:t>
      </w:r>
      <w:r w:rsidRPr="00612CBC">
        <w:rPr>
          <w:rFonts w:ascii="Times New Roman" w:hAnsi="Times New Roman" w:cs="Times New Roman"/>
          <w:i/>
        </w:rPr>
        <w:t xml:space="preserve"> effect </w:t>
      </w:r>
      <w:r w:rsidRPr="00A52BDA">
        <w:rPr>
          <w:rFonts w:ascii="Times New Roman" w:hAnsi="Times New Roman" w:cs="Times New Roman"/>
        </w:rPr>
        <w:t>of hindering</w:t>
      </w:r>
      <w:r w:rsidRPr="00612CBC">
        <w:rPr>
          <w:rFonts w:ascii="Times New Roman" w:hAnsi="Times New Roman" w:cs="Times New Roman"/>
        </w:rPr>
        <w:t xml:space="preserve"> the maintenance of the degree of remaining competition or the growth of that </w:t>
      </w:r>
      <w:r w:rsidRPr="00A52BDA">
        <w:rPr>
          <w:rFonts w:ascii="Times New Roman" w:hAnsi="Times New Roman" w:cs="Times New Roman"/>
        </w:rPr>
        <w:t>competition</w:t>
      </w:r>
      <w:r>
        <w:rPr>
          <w:rFonts w:ascii="Times New Roman" w:hAnsi="Times New Roman" w:cs="Times New Roman"/>
        </w:rPr>
        <w:t>”</w:t>
      </w:r>
      <w:r w:rsidRPr="00612CBC">
        <w:rPr>
          <w:rFonts w:ascii="Times New Roman" w:hAnsi="Times New Roman" w:cs="Times New Roman"/>
        </w:rPr>
        <w:t>.</w:t>
      </w:r>
      <w:bookmarkStart w:id="4" w:name="_Ref382917638"/>
      <w:r w:rsidRPr="00612CBC">
        <w:rPr>
          <w:rStyle w:val="FootnoteReference"/>
          <w:rFonts w:ascii="Times New Roman" w:hAnsi="Times New Roman" w:cs="Times New Roman"/>
        </w:rPr>
        <w:footnoteReference w:id="9"/>
      </w:r>
      <w:bookmarkEnd w:id="4"/>
    </w:p>
    <w:p w14:paraId="7DE89A4F" w14:textId="77777777" w:rsidR="002120E3" w:rsidRPr="00612CBC" w:rsidRDefault="002120E3" w:rsidP="002120E3">
      <w:pPr>
        <w:jc w:val="both"/>
        <w:rPr>
          <w:rFonts w:ascii="Times New Roman" w:hAnsi="Times New Roman" w:cs="Times New Roman"/>
        </w:rPr>
      </w:pPr>
    </w:p>
    <w:p w14:paraId="5F74B532" w14:textId="77777777" w:rsidR="002120E3" w:rsidRDefault="002120E3" w:rsidP="002120E3">
      <w:pPr>
        <w:jc w:val="both"/>
        <w:rPr>
          <w:rFonts w:ascii="Times New Roman" w:hAnsi="Times New Roman" w:cs="Times New Roman"/>
        </w:rPr>
      </w:pPr>
      <w:r w:rsidRPr="00612CBC">
        <w:rPr>
          <w:rFonts w:ascii="Times New Roman" w:hAnsi="Times New Roman" w:cs="Times New Roman"/>
        </w:rPr>
        <w:t xml:space="preserve">To fully appreciate this point, </w:t>
      </w:r>
      <w:r>
        <w:rPr>
          <w:rFonts w:ascii="Times New Roman" w:hAnsi="Times New Roman" w:cs="Times New Roman"/>
        </w:rPr>
        <w:t xml:space="preserve">a clarification is in order to distinguish </w:t>
      </w:r>
      <w:r w:rsidRPr="00612CBC">
        <w:rPr>
          <w:rFonts w:ascii="Times New Roman" w:hAnsi="Times New Roman" w:cs="Times New Roman"/>
        </w:rPr>
        <w:t>between</w:t>
      </w:r>
      <w:r>
        <w:rPr>
          <w:rFonts w:ascii="Times New Roman" w:hAnsi="Times New Roman" w:cs="Times New Roman"/>
        </w:rPr>
        <w:t xml:space="preserve"> the</w:t>
      </w:r>
      <w:r w:rsidRPr="00612CBC">
        <w:rPr>
          <w:rFonts w:ascii="Times New Roman" w:hAnsi="Times New Roman" w:cs="Times New Roman"/>
        </w:rPr>
        <w:t xml:space="preserve"> subjective intent (</w:t>
      </w:r>
      <w:r>
        <w:rPr>
          <w:rFonts w:ascii="Times New Roman" w:hAnsi="Times New Roman" w:cs="Times New Roman"/>
        </w:rPr>
        <w:t>i.e., evidence of a defendant’s state of mind</w:t>
      </w:r>
      <w:r w:rsidRPr="00612CBC">
        <w:rPr>
          <w:rFonts w:ascii="Times New Roman" w:hAnsi="Times New Roman" w:cs="Times New Roman"/>
        </w:rPr>
        <w:t>)</w:t>
      </w:r>
      <w:r>
        <w:rPr>
          <w:rFonts w:ascii="Times New Roman" w:hAnsi="Times New Roman" w:cs="Times New Roman"/>
        </w:rPr>
        <w:t xml:space="preserve"> that we discussed so far,</w:t>
      </w:r>
      <w:r w:rsidRPr="00612CBC">
        <w:rPr>
          <w:rFonts w:ascii="Times New Roman" w:hAnsi="Times New Roman" w:cs="Times New Roman"/>
        </w:rPr>
        <w:t xml:space="preserve"> and objective intent to engage in anticompetitive conduct</w:t>
      </w:r>
      <w:r>
        <w:rPr>
          <w:rFonts w:ascii="Times New Roman" w:hAnsi="Times New Roman" w:cs="Times New Roman"/>
        </w:rPr>
        <w:t>: specifically, it is important to bear in mind</w:t>
      </w:r>
      <w:r w:rsidRPr="00612CBC">
        <w:rPr>
          <w:rFonts w:ascii="Times New Roman" w:hAnsi="Times New Roman" w:cs="Times New Roman"/>
        </w:rPr>
        <w:t xml:space="preserve"> the latter indicates the </w:t>
      </w:r>
      <w:r>
        <w:rPr>
          <w:rFonts w:ascii="Times New Roman" w:hAnsi="Times New Roman" w:cs="Times New Roman"/>
        </w:rPr>
        <w:t>intent</w:t>
      </w:r>
      <w:r w:rsidRPr="00612CBC">
        <w:rPr>
          <w:rFonts w:ascii="Times New Roman" w:hAnsi="Times New Roman" w:cs="Times New Roman"/>
        </w:rPr>
        <w:t xml:space="preserve"> attributed </w:t>
      </w:r>
      <w:r w:rsidRPr="00EF383A">
        <w:rPr>
          <w:rFonts w:ascii="Times New Roman" w:hAnsi="Times New Roman" w:cs="Times New Roman"/>
          <w:i/>
        </w:rPr>
        <w:t>to a dominant firm</w:t>
      </w:r>
      <w:r w:rsidRPr="00612CBC">
        <w:rPr>
          <w:rFonts w:ascii="Times New Roman" w:hAnsi="Times New Roman" w:cs="Times New Roman"/>
        </w:rPr>
        <w:t xml:space="preserve"> by way of inference from </w:t>
      </w:r>
      <w:r>
        <w:rPr>
          <w:rFonts w:ascii="Times New Roman" w:hAnsi="Times New Roman" w:cs="Times New Roman"/>
        </w:rPr>
        <w:t>a</w:t>
      </w:r>
      <w:r w:rsidRPr="00612CBC">
        <w:rPr>
          <w:rFonts w:ascii="Times New Roman" w:hAnsi="Times New Roman" w:cs="Times New Roman"/>
        </w:rPr>
        <w:t xml:space="preserve"> business decisions it made. Much of the case-law is confusing in this regard, as it fails properly differentiate between these two notions in referring almost invariably </w:t>
      </w:r>
      <w:r w:rsidRPr="00DA0347">
        <w:rPr>
          <w:rFonts w:ascii="Times New Roman" w:hAnsi="Times New Roman" w:cs="Times New Roman"/>
        </w:rPr>
        <w:t>to “intent” or “intention”, “objective”, “strategy” and “purpose” or “aim”. However, that difference is crucial in determining how culpability is established: while in both cases there</w:t>
      </w:r>
      <w:r w:rsidRPr="00612CBC">
        <w:rPr>
          <w:rFonts w:ascii="Times New Roman" w:hAnsi="Times New Roman" w:cs="Times New Roman"/>
        </w:rPr>
        <w:t xml:space="preserve"> may be an inference process at some level of abstraction, objective intent is a legal </w:t>
      </w:r>
      <w:r>
        <w:rPr>
          <w:rFonts w:ascii="Times New Roman" w:hAnsi="Times New Roman" w:cs="Times New Roman"/>
        </w:rPr>
        <w:t xml:space="preserve">construct which </w:t>
      </w:r>
      <w:r w:rsidRPr="00EE2764">
        <w:rPr>
          <w:rFonts w:ascii="Times New Roman" w:hAnsi="Times New Roman" w:cs="Times New Roman"/>
        </w:rPr>
        <w:t>prescinds from the existence of any form of volitional expression</w:t>
      </w:r>
      <w:r>
        <w:rPr>
          <w:rFonts w:ascii="Times New Roman" w:hAnsi="Times New Roman" w:cs="Times New Roman"/>
        </w:rPr>
        <w:t xml:space="preserve">, and </w:t>
      </w:r>
      <w:r w:rsidRPr="0055060D">
        <w:rPr>
          <w:rFonts w:ascii="Times New Roman" w:hAnsi="Times New Roman" w:cs="Times New Roman"/>
        </w:rPr>
        <w:t xml:space="preserve">focuses on the </w:t>
      </w:r>
      <w:r>
        <w:rPr>
          <w:rFonts w:ascii="Times New Roman" w:hAnsi="Times New Roman" w:cs="Times New Roman"/>
        </w:rPr>
        <w:t xml:space="preserve">presumed </w:t>
      </w:r>
      <w:r w:rsidRPr="0055060D">
        <w:rPr>
          <w:rFonts w:ascii="Times New Roman" w:hAnsi="Times New Roman" w:cs="Times New Roman"/>
        </w:rPr>
        <w:t xml:space="preserve">state of mind of </w:t>
      </w:r>
      <w:r>
        <w:rPr>
          <w:rFonts w:ascii="Times New Roman" w:hAnsi="Times New Roman" w:cs="Times New Roman"/>
        </w:rPr>
        <w:t>a reasonable person</w:t>
      </w:r>
      <w:r w:rsidRPr="0055060D">
        <w:rPr>
          <w:rFonts w:ascii="Times New Roman" w:hAnsi="Times New Roman" w:cs="Times New Roman"/>
        </w:rPr>
        <w:t xml:space="preserve"> (rather than the defendant specifical</w:t>
      </w:r>
      <w:r>
        <w:rPr>
          <w:rFonts w:ascii="Times New Roman" w:hAnsi="Times New Roman" w:cs="Times New Roman"/>
        </w:rPr>
        <w:t>ly) or undertaking in committing a particular act or omission</w:t>
      </w:r>
      <w:r w:rsidRPr="00EE2764">
        <w:rPr>
          <w:rFonts w:ascii="Times New Roman" w:hAnsi="Times New Roman" w:cs="Times New Roman"/>
        </w:rPr>
        <w:t xml:space="preserve">. It is </w:t>
      </w:r>
      <w:r w:rsidRPr="00612CBC">
        <w:rPr>
          <w:rFonts w:ascii="Times New Roman" w:hAnsi="Times New Roman" w:cs="Times New Roman"/>
        </w:rPr>
        <w:t xml:space="preserve">obtained through an inductive process </w:t>
      </w:r>
      <w:r>
        <w:rPr>
          <w:rFonts w:ascii="Times New Roman" w:hAnsi="Times New Roman" w:cs="Times New Roman"/>
        </w:rPr>
        <w:t xml:space="preserve">which is typically </w:t>
      </w:r>
      <w:r w:rsidRPr="00612CBC">
        <w:rPr>
          <w:rFonts w:ascii="Times New Roman" w:hAnsi="Times New Roman" w:cs="Times New Roman"/>
        </w:rPr>
        <w:t>based on the metric of rationality</w:t>
      </w:r>
      <w:r>
        <w:rPr>
          <w:rFonts w:ascii="Times New Roman" w:hAnsi="Times New Roman" w:cs="Times New Roman"/>
        </w:rPr>
        <w:t xml:space="preserve"> of a </w:t>
      </w:r>
      <w:r w:rsidRPr="000C643F">
        <w:rPr>
          <w:rFonts w:ascii="Times New Roman" w:hAnsi="Times New Roman" w:cs="Times New Roman"/>
          <w:i/>
        </w:rPr>
        <w:t>homo economicus</w:t>
      </w:r>
      <w:bookmarkStart w:id="5" w:name="_Ref390173981"/>
      <w:r>
        <w:rPr>
          <w:rStyle w:val="FootnoteReference"/>
          <w:rFonts w:ascii="Times New Roman" w:hAnsi="Times New Roman" w:cs="Times New Roman"/>
          <w:i/>
        </w:rPr>
        <w:footnoteReference w:id="10"/>
      </w:r>
      <w:bookmarkEnd w:id="5"/>
      <w:r w:rsidRPr="00612CBC">
        <w:rPr>
          <w:rFonts w:ascii="Times New Roman" w:hAnsi="Times New Roman" w:cs="Times New Roman"/>
        </w:rPr>
        <w:t xml:space="preserve">, </w:t>
      </w:r>
      <w:r>
        <w:rPr>
          <w:rFonts w:ascii="Times New Roman" w:hAnsi="Times New Roman" w:cs="Times New Roman"/>
        </w:rPr>
        <w:t xml:space="preserve">as is well </w:t>
      </w:r>
      <w:r w:rsidRPr="00612CBC">
        <w:rPr>
          <w:rFonts w:ascii="Times New Roman" w:hAnsi="Times New Roman" w:cs="Times New Roman"/>
        </w:rPr>
        <w:t>illustrated by widely deployed unilateral conduct tests such as the “no-economic sense” test, the profit-sacrifice test and the as-efficient competitor test</w:t>
      </w:r>
      <w:r w:rsidRPr="00612CBC">
        <w:rPr>
          <w:rStyle w:val="FootnoteReference"/>
          <w:rFonts w:ascii="Times New Roman" w:hAnsi="Times New Roman" w:cs="Times New Roman"/>
        </w:rPr>
        <w:footnoteReference w:id="11"/>
      </w:r>
      <w:r w:rsidRPr="00612CBC">
        <w:rPr>
          <w:rFonts w:ascii="Times New Roman" w:hAnsi="Times New Roman" w:cs="Times New Roman"/>
        </w:rPr>
        <w:t>.</w:t>
      </w:r>
      <w:r>
        <w:rPr>
          <w:rFonts w:ascii="Times New Roman" w:hAnsi="Times New Roman" w:cs="Times New Roman"/>
        </w:rPr>
        <w:t xml:space="preserve">  Note that objective intent is fundamentally different from so called “indirect” or “oblique” intent (also known as “</w:t>
      </w:r>
      <w:r w:rsidRPr="000C643F">
        <w:rPr>
          <w:rFonts w:ascii="Times New Roman" w:hAnsi="Times New Roman" w:cs="Times New Roman"/>
          <w:i/>
        </w:rPr>
        <w:t>dolus indirectus</w:t>
      </w:r>
      <w:r>
        <w:rPr>
          <w:rFonts w:ascii="Times New Roman" w:hAnsi="Times New Roman" w:cs="Times New Roman"/>
        </w:rPr>
        <w:t>”), which is when a person not only intends a particular consequence of their act, but also an additional consequence which is virtually certain following that act</w:t>
      </w:r>
      <w:r>
        <w:rPr>
          <w:rStyle w:val="FootnoteReference"/>
          <w:rFonts w:ascii="Times New Roman" w:hAnsi="Times New Roman" w:cs="Times New Roman"/>
        </w:rPr>
        <w:footnoteReference w:id="12"/>
      </w:r>
      <w:r>
        <w:rPr>
          <w:rFonts w:ascii="Times New Roman" w:hAnsi="Times New Roman" w:cs="Times New Roman"/>
        </w:rPr>
        <w:t>; and it differs significantly from the so called “intention on possibility” (or “</w:t>
      </w:r>
      <w:r w:rsidRPr="000C643F">
        <w:rPr>
          <w:rFonts w:ascii="Times New Roman" w:hAnsi="Times New Roman" w:cs="Times New Roman"/>
          <w:i/>
        </w:rPr>
        <w:t>dolus eventualis</w:t>
      </w:r>
      <w:r>
        <w:rPr>
          <w:rFonts w:ascii="Times New Roman" w:hAnsi="Times New Roman" w:cs="Times New Roman"/>
        </w:rPr>
        <w:t xml:space="preserve">”) which means appreciating and accepting the considerable chance that a certain consequence may materialize. As a practical matter, objective intent will often overlap with </w:t>
      </w:r>
      <w:r w:rsidRPr="00164FE9">
        <w:rPr>
          <w:rFonts w:ascii="Times New Roman" w:hAnsi="Times New Roman" w:cs="Times New Roman"/>
          <w:i/>
        </w:rPr>
        <w:t>dolus indirectus</w:t>
      </w:r>
      <w:r>
        <w:rPr>
          <w:rFonts w:ascii="Times New Roman" w:hAnsi="Times New Roman" w:cs="Times New Roman"/>
        </w:rPr>
        <w:t xml:space="preserve"> or </w:t>
      </w:r>
      <w:r w:rsidRPr="00164FE9">
        <w:rPr>
          <w:rFonts w:ascii="Times New Roman" w:hAnsi="Times New Roman" w:cs="Times New Roman"/>
          <w:i/>
        </w:rPr>
        <w:t>dolus eventualis</w:t>
      </w:r>
      <w:r>
        <w:rPr>
          <w:rFonts w:ascii="Times New Roman" w:hAnsi="Times New Roman" w:cs="Times New Roman"/>
        </w:rPr>
        <w:t>, in particular when the accepted consequence reasonably follows from economic logic</w:t>
      </w:r>
      <w:r w:rsidRPr="00867094">
        <w:rPr>
          <w:rFonts w:ascii="Times New Roman" w:hAnsi="Times New Roman" w:cs="Times New Roman"/>
        </w:rPr>
        <w:t>; however, the key difference is that in one case the inquiry is subjective (into the mind of the person in question), while in the other it is purely objective (into the mind of a reasonable person). For convenience, I will distinguish between “intent” as the general subjective element denoting culpability for an offense</w:t>
      </w:r>
      <w:r>
        <w:rPr>
          <w:rFonts w:ascii="Times New Roman" w:hAnsi="Times New Roman" w:cs="Times New Roman"/>
        </w:rPr>
        <w:t xml:space="preserve"> (known in common law systems as “</w:t>
      </w:r>
      <w:r w:rsidRPr="005F0B8E">
        <w:rPr>
          <w:rFonts w:ascii="Times New Roman" w:hAnsi="Times New Roman" w:cs="Times New Roman"/>
          <w:i/>
        </w:rPr>
        <w:t>mens rea</w:t>
      </w:r>
      <w:r>
        <w:rPr>
          <w:rFonts w:ascii="Times New Roman" w:hAnsi="Times New Roman" w:cs="Times New Roman"/>
        </w:rPr>
        <w:t>”)</w:t>
      </w:r>
      <w:r w:rsidRPr="00867094">
        <w:rPr>
          <w:rFonts w:ascii="Times New Roman" w:hAnsi="Times New Roman" w:cs="Times New Roman"/>
        </w:rPr>
        <w:t>, and “intention” as the more specific type of culpability which is attributed following an inquiry into a defendant’s mind</w:t>
      </w:r>
      <w:r>
        <w:rPr>
          <w:rStyle w:val="FootnoteReference"/>
          <w:rFonts w:ascii="Times New Roman" w:hAnsi="Times New Roman" w:cs="Times New Roman"/>
        </w:rPr>
        <w:footnoteReference w:id="13"/>
      </w:r>
      <w:r w:rsidRPr="00867094">
        <w:rPr>
          <w:rFonts w:ascii="Times New Roman" w:hAnsi="Times New Roman" w:cs="Times New Roman"/>
        </w:rPr>
        <w:t>: thus, the subjective/objective nature of the inquiry marks a key difference between subjective intent (hereinafter also referred to as “intention”) and objective intent (which is generally known as “negligence”</w:t>
      </w:r>
      <w:r w:rsidRPr="00867094">
        <w:rPr>
          <w:rStyle w:val="FootnoteReference"/>
          <w:rFonts w:ascii="Times New Roman" w:hAnsi="Times New Roman" w:cs="Times New Roman"/>
        </w:rPr>
        <w:footnoteReference w:id="14"/>
      </w:r>
      <w:r w:rsidRPr="00867094">
        <w:rPr>
          <w:rFonts w:ascii="Times New Roman" w:hAnsi="Times New Roman" w:cs="Times New Roman"/>
        </w:rPr>
        <w:t>).</w:t>
      </w:r>
      <w:r>
        <w:rPr>
          <w:rFonts w:ascii="Times New Roman" w:hAnsi="Times New Roman" w:cs="Times New Roman"/>
        </w:rPr>
        <w:t xml:space="preserve">  </w:t>
      </w:r>
    </w:p>
    <w:p w14:paraId="1B58199B" w14:textId="77777777" w:rsidR="002120E3" w:rsidRDefault="002120E3" w:rsidP="002120E3">
      <w:pPr>
        <w:jc w:val="both"/>
        <w:rPr>
          <w:rFonts w:ascii="Times New Roman" w:hAnsi="Times New Roman" w:cs="Times New Roman"/>
        </w:rPr>
      </w:pPr>
    </w:p>
    <w:p w14:paraId="1DDB0C01" w14:textId="06EDFC89" w:rsidR="002120E3" w:rsidRDefault="002120E3" w:rsidP="002120E3">
      <w:pPr>
        <w:jc w:val="both"/>
        <w:rPr>
          <w:rFonts w:ascii="Times New Roman" w:hAnsi="Times New Roman" w:cs="Times New Roman"/>
        </w:rPr>
      </w:pPr>
      <w:r>
        <w:rPr>
          <w:rFonts w:ascii="Times New Roman" w:hAnsi="Times New Roman" w:cs="Times New Roman"/>
        </w:rPr>
        <w:t xml:space="preserve">The following section proceeds to review the relevant cases in EU competition law and thereby illustrate the difference and interplay between </w:t>
      </w:r>
      <w:r w:rsidRPr="00335B03">
        <w:rPr>
          <w:rFonts w:ascii="Times New Roman" w:hAnsi="Times New Roman" w:cs="Times New Roman"/>
        </w:rPr>
        <w:t>different types of intent,</w:t>
      </w:r>
      <w:r>
        <w:rPr>
          <w:rFonts w:ascii="Times New Roman" w:hAnsi="Times New Roman" w:cs="Times New Roman"/>
        </w:rPr>
        <w:t xml:space="preserve"> as well as the closely related distinction between subjective and objective evidence. In section 3, the attention will be placed on the recent Commission decision in </w:t>
      </w:r>
      <w:r w:rsidRPr="00BB6ACA">
        <w:rPr>
          <w:rFonts w:ascii="Times New Roman" w:hAnsi="Times New Roman" w:cs="Times New Roman"/>
          <w:i/>
        </w:rPr>
        <w:t>Google Shopping</w:t>
      </w:r>
      <w:r>
        <w:rPr>
          <w:rFonts w:ascii="Times New Roman" w:hAnsi="Times New Roman" w:cs="Times New Roman"/>
        </w:rPr>
        <w:t xml:space="preserve">, to examine the role played </w:t>
      </w:r>
      <w:r w:rsidRPr="009E0941">
        <w:rPr>
          <w:rFonts w:ascii="Times New Roman" w:hAnsi="Times New Roman" w:cs="Times New Roman"/>
        </w:rPr>
        <w:t>by subjective and objective intent i</w:t>
      </w:r>
      <w:r>
        <w:rPr>
          <w:rFonts w:ascii="Times New Roman" w:hAnsi="Times New Roman" w:cs="Times New Roman"/>
        </w:rPr>
        <w:t xml:space="preserve">n the Commission’s assessment, and how the decision squares with previous case-law. Finally, section 4 will offer a possible solution to safeguard against the stretching of the role of intent in future cases, with particular regard for situations in which undertakings may assume liability for their own algorithmic design choices. </w:t>
      </w:r>
    </w:p>
    <w:p w14:paraId="77683AC8" w14:textId="77777777" w:rsidR="002120E3" w:rsidRDefault="002120E3" w:rsidP="002120E3">
      <w:pPr>
        <w:jc w:val="both"/>
        <w:rPr>
          <w:rFonts w:ascii="Times New Roman" w:hAnsi="Times New Roman" w:cs="Times New Roman"/>
        </w:rPr>
      </w:pPr>
    </w:p>
    <w:p w14:paraId="74A4023D" w14:textId="77777777" w:rsidR="002120E3" w:rsidRDefault="002120E3" w:rsidP="000E0F53">
      <w:pPr>
        <w:pStyle w:val="Heading1"/>
      </w:pPr>
      <w:bookmarkStart w:id="6" w:name="_Toc390300602"/>
      <w:r>
        <w:t>2. Exploring the role of i</w:t>
      </w:r>
      <w:r w:rsidRPr="00EB1D68">
        <w:t xml:space="preserve">ntent </w:t>
      </w:r>
      <w:r>
        <w:t>in art 102 TFEU</w:t>
      </w:r>
      <w:bookmarkEnd w:id="6"/>
      <w:r>
        <w:t xml:space="preserve"> </w:t>
      </w:r>
    </w:p>
    <w:p w14:paraId="52F6DA77" w14:textId="77777777" w:rsidR="002120E3" w:rsidRDefault="002120E3" w:rsidP="002120E3">
      <w:pPr>
        <w:jc w:val="both"/>
        <w:rPr>
          <w:rFonts w:ascii="Times New Roman" w:hAnsi="Times New Roman" w:cs="Times New Roman"/>
          <w:b/>
        </w:rPr>
      </w:pPr>
    </w:p>
    <w:p w14:paraId="6327EE41" w14:textId="77777777" w:rsidR="002120E3" w:rsidRPr="00EB1D68" w:rsidRDefault="002120E3" w:rsidP="000E0F53">
      <w:pPr>
        <w:pStyle w:val="Heading2"/>
      </w:pPr>
      <w:bookmarkStart w:id="7" w:name="_Toc390300603"/>
      <w:r w:rsidRPr="00EB1D68">
        <w:t xml:space="preserve">2.1 </w:t>
      </w:r>
      <w:r>
        <w:t>Constitutive element?</w:t>
      </w:r>
      <w:bookmarkEnd w:id="7"/>
      <w:r>
        <w:t xml:space="preserve"> </w:t>
      </w:r>
    </w:p>
    <w:p w14:paraId="0DEC2A74" w14:textId="77777777" w:rsidR="002120E3" w:rsidRPr="00A1284F" w:rsidRDefault="002120E3" w:rsidP="002120E3">
      <w:pPr>
        <w:jc w:val="both"/>
        <w:rPr>
          <w:rFonts w:ascii="Times New Roman" w:hAnsi="Times New Roman" w:cs="Times New Roman"/>
          <w:sz w:val="20"/>
          <w:szCs w:val="20"/>
        </w:rPr>
      </w:pPr>
    </w:p>
    <w:p w14:paraId="38255AC4" w14:textId="5DB2642B" w:rsidR="002120E3" w:rsidRPr="00EF155E" w:rsidRDefault="002120E3" w:rsidP="002120E3">
      <w:pPr>
        <w:jc w:val="both"/>
        <w:rPr>
          <w:rFonts w:ascii="Times New Roman" w:eastAsia="Times New Roman" w:hAnsi="Times New Roman" w:cs="Times New Roman"/>
          <w:sz w:val="20"/>
          <w:szCs w:val="20"/>
        </w:rPr>
      </w:pPr>
      <w:r>
        <w:rPr>
          <w:rFonts w:ascii="Times New Roman" w:hAnsi="Times New Roman" w:cs="Times New Roman"/>
        </w:rPr>
        <w:t xml:space="preserve">Construing the place for intent in article 102 TFEU from the existing law is far from a straightforward. To begin with, the textual basis does not help, as there is no reference to any subjective element in article 102 TFEU. The article literally refers to </w:t>
      </w:r>
      <w:r w:rsidRPr="00256FAD">
        <w:rPr>
          <w:rFonts w:ascii="Times New Roman" w:hAnsi="Times New Roman" w:cs="Times New Roman"/>
          <w:i/>
        </w:rPr>
        <w:t>a</w:t>
      </w:r>
      <w:r w:rsidRPr="00256FAD">
        <w:rPr>
          <w:rFonts w:ascii="Times New Roman" w:eastAsia="Times New Roman" w:hAnsi="Times New Roman" w:cs="Times New Roman"/>
          <w:i/>
          <w:shd w:val="clear" w:color="auto" w:fill="FFFFFF"/>
        </w:rPr>
        <w:t>ny</w:t>
      </w:r>
      <w:r w:rsidRPr="00256FAD">
        <w:rPr>
          <w:rFonts w:ascii="Times New Roman" w:eastAsia="Times New Roman" w:hAnsi="Times New Roman" w:cs="Times New Roman"/>
          <w:shd w:val="clear" w:color="auto" w:fill="FFFFFF"/>
        </w:rPr>
        <w:t xml:space="preserve"> abuse </w:t>
      </w:r>
      <w:r>
        <w:rPr>
          <w:rFonts w:ascii="Times New Roman" w:eastAsia="Times New Roman" w:hAnsi="Times New Roman" w:cs="Times New Roman"/>
          <w:shd w:val="clear" w:color="auto" w:fill="FFFFFF"/>
        </w:rPr>
        <w:t>“</w:t>
      </w:r>
      <w:r w:rsidRPr="00256FAD">
        <w:rPr>
          <w:rFonts w:ascii="Times New Roman" w:eastAsia="Times New Roman" w:hAnsi="Times New Roman" w:cs="Times New Roman"/>
          <w:shd w:val="clear" w:color="auto" w:fill="FFFFFF"/>
        </w:rPr>
        <w:t>by one or more undertakings of a dominant position within the internal market or in a substantial part of it shall be prohibited as incompatible with the internal market in so far as it may affect trade between Member States”.</w:t>
      </w:r>
      <w:r w:rsidRPr="007531A1">
        <w:rPr>
          <w:rFonts w:ascii="Tahoma" w:eastAsia="Times New Roman" w:hAnsi="Tahoma" w:cs="Tahoma"/>
          <w:color w:val="444444"/>
          <w:shd w:val="clear" w:color="auto" w:fill="FFFFFF"/>
        </w:rPr>
        <w:t xml:space="preserve"> </w:t>
      </w:r>
      <w:r>
        <w:rPr>
          <w:rFonts w:ascii="Times New Roman" w:hAnsi="Times New Roman" w:cs="Times New Roman"/>
        </w:rPr>
        <w:t>And if your next move is to suggest that intent could be read into</w:t>
      </w:r>
      <w:r w:rsidR="00BB6ACA">
        <w:rPr>
          <w:rFonts w:ascii="Times New Roman" w:hAnsi="Times New Roman" w:cs="Times New Roman"/>
        </w:rPr>
        <w:t xml:space="preserve"> the word</w:t>
      </w:r>
      <w:r>
        <w:rPr>
          <w:rFonts w:ascii="Times New Roman" w:hAnsi="Times New Roman" w:cs="Times New Roman"/>
        </w:rPr>
        <w:t xml:space="preserve"> “abuse”, you’re</w:t>
      </w:r>
      <w:r w:rsidRPr="007531A1">
        <w:rPr>
          <w:rFonts w:ascii="Times New Roman" w:hAnsi="Times New Roman" w:cs="Times New Roman"/>
        </w:rPr>
        <w:t xml:space="preserve"> likely to face </w:t>
      </w:r>
      <w:r>
        <w:rPr>
          <w:rFonts w:ascii="Times New Roman" w:hAnsi="Times New Roman" w:cs="Times New Roman"/>
        </w:rPr>
        <w:t xml:space="preserve">some </w:t>
      </w:r>
      <w:r w:rsidRPr="007531A1">
        <w:rPr>
          <w:rFonts w:ascii="Times New Roman" w:hAnsi="Times New Roman" w:cs="Times New Roman"/>
        </w:rPr>
        <w:t xml:space="preserve">resistance </w:t>
      </w:r>
      <w:r>
        <w:rPr>
          <w:rFonts w:ascii="Times New Roman" w:hAnsi="Times New Roman" w:cs="Times New Roman"/>
        </w:rPr>
        <w:t>by reference to</w:t>
      </w:r>
      <w:r w:rsidRPr="007531A1">
        <w:rPr>
          <w:rFonts w:ascii="Times New Roman" w:hAnsi="Times New Roman" w:cs="Times New Roman"/>
        </w:rPr>
        <w:t xml:space="preserve"> the oft-cited </w:t>
      </w:r>
      <w:r w:rsidRPr="007531A1">
        <w:rPr>
          <w:rFonts w:ascii="Times New Roman" w:hAnsi="Times New Roman" w:cs="Times New Roman"/>
          <w:i/>
        </w:rPr>
        <w:t>obiter dictum</w:t>
      </w:r>
      <w:r w:rsidRPr="007531A1">
        <w:rPr>
          <w:rFonts w:ascii="Times New Roman" w:hAnsi="Times New Roman" w:cs="Times New Roman"/>
        </w:rPr>
        <w:t xml:space="preserve"> by the CJEU in</w:t>
      </w:r>
      <w:r>
        <w:rPr>
          <w:rFonts w:ascii="Times New Roman" w:hAnsi="Times New Roman" w:cs="Times New Roman"/>
        </w:rPr>
        <w:t xml:space="preserve"> </w:t>
      </w:r>
      <w:r w:rsidRPr="00FC02F9">
        <w:rPr>
          <w:rFonts w:ascii="Times New Roman" w:hAnsi="Times New Roman" w:cs="Times New Roman"/>
          <w:i/>
        </w:rPr>
        <w:t>Hoffman La Roche</w:t>
      </w:r>
      <w:r>
        <w:rPr>
          <w:rFonts w:ascii="Times New Roman" w:hAnsi="Times New Roman" w:cs="Times New Roman"/>
        </w:rPr>
        <w:t xml:space="preserve"> that abuse is an “objective concept”. This is commonly taken to mean that the subjective state of mind of the dominant company is not a requisite for the establishment of an abuse. However, it is interesting to note that the statement made by the Court in that case did not deal with subjective intent, but rather with the </w:t>
      </w:r>
      <w:r w:rsidRPr="008E7DFF">
        <w:rPr>
          <w:rFonts w:ascii="Times New Roman" w:hAnsi="Times New Roman" w:cs="Times New Roman"/>
          <w:i/>
        </w:rPr>
        <w:t>active or passive</w:t>
      </w:r>
      <w:r>
        <w:rPr>
          <w:rFonts w:ascii="Times New Roman" w:hAnsi="Times New Roman" w:cs="Times New Roman"/>
        </w:rPr>
        <w:t xml:space="preserve"> nature of the undertaking’s conduct: it simply rejected the centrality of </w:t>
      </w:r>
      <w:r w:rsidR="0066447D">
        <w:rPr>
          <w:rFonts w:ascii="Times New Roman" w:hAnsi="Times New Roman" w:cs="Times New Roman"/>
        </w:rPr>
        <w:t>such nature</w:t>
      </w:r>
      <w:r>
        <w:rPr>
          <w:rFonts w:ascii="Times New Roman" w:hAnsi="Times New Roman" w:cs="Times New Roman"/>
        </w:rPr>
        <w:t xml:space="preserve"> in </w:t>
      </w:r>
      <w:r w:rsidR="0066447D">
        <w:rPr>
          <w:rFonts w:ascii="Times New Roman" w:hAnsi="Times New Roman" w:cs="Times New Roman"/>
        </w:rPr>
        <w:t>the establishment</w:t>
      </w:r>
      <w:r>
        <w:rPr>
          <w:rFonts w:ascii="Times New Roman" w:hAnsi="Times New Roman" w:cs="Times New Roman"/>
        </w:rPr>
        <w:t xml:space="preserve"> of an abuse. </w:t>
      </w:r>
    </w:p>
    <w:p w14:paraId="0C17D4A4" w14:textId="77777777" w:rsidR="002120E3" w:rsidRDefault="002120E3" w:rsidP="002120E3">
      <w:pPr>
        <w:jc w:val="both"/>
        <w:rPr>
          <w:rFonts w:ascii="Times New Roman" w:hAnsi="Times New Roman" w:cs="Times New Roman"/>
        </w:rPr>
      </w:pPr>
    </w:p>
    <w:p w14:paraId="09455D57" w14:textId="670FE901" w:rsidR="002120E3" w:rsidRDefault="002120E3" w:rsidP="002120E3">
      <w:pPr>
        <w:jc w:val="both"/>
        <w:rPr>
          <w:rFonts w:ascii="Times New Roman" w:hAnsi="Times New Roman" w:cs="Times New Roman"/>
        </w:rPr>
      </w:pPr>
      <w:r>
        <w:rPr>
          <w:rFonts w:ascii="Times New Roman" w:hAnsi="Times New Roman" w:cs="Times New Roman"/>
        </w:rPr>
        <w:t xml:space="preserve">More specifically, the famous quote about the </w:t>
      </w:r>
      <w:r w:rsidRPr="00223232">
        <w:rPr>
          <w:rFonts w:ascii="Times New Roman" w:hAnsi="Times New Roman" w:cs="Times New Roman"/>
          <w:i/>
        </w:rPr>
        <w:t>objective</w:t>
      </w:r>
      <w:r>
        <w:rPr>
          <w:rFonts w:ascii="Times New Roman" w:hAnsi="Times New Roman" w:cs="Times New Roman"/>
        </w:rPr>
        <w:t xml:space="preserve"> nature was made in the context of rejecting the defendant’s interpretation that an abuse according to article 102 TFEU implies that “</w:t>
      </w:r>
      <w:r w:rsidRPr="008621C2">
        <w:rPr>
          <w:rFonts w:ascii="Times New Roman" w:hAnsi="Times New Roman" w:cs="Times New Roman"/>
        </w:rPr>
        <w:t>the use of the economic power bestowed by a dominant position is the means whereby t</w:t>
      </w:r>
      <w:r>
        <w:rPr>
          <w:rFonts w:ascii="Times New Roman" w:hAnsi="Times New Roman" w:cs="Times New Roman"/>
        </w:rPr>
        <w:t>he abuse has been brought about”</w:t>
      </w:r>
      <w:r>
        <w:rPr>
          <w:rStyle w:val="FootnoteReference"/>
          <w:rFonts w:ascii="Times New Roman" w:hAnsi="Times New Roman" w:cs="Times New Roman"/>
        </w:rPr>
        <w:footnoteReference w:id="15"/>
      </w:r>
      <w:r>
        <w:rPr>
          <w:rFonts w:ascii="Times New Roman" w:hAnsi="Times New Roman" w:cs="Times New Roman"/>
        </w:rPr>
        <w:t>. The linkage that the defendant had suggested was one between a dominant position and the nature of the conduct, such that exclusive dealing would not be qualified as abusive if it was demanded by its customers (rather than imposed upon them) or given in exchange for a consideration</w:t>
      </w:r>
      <w:r>
        <w:rPr>
          <w:rStyle w:val="FootnoteReference"/>
          <w:rFonts w:ascii="Times New Roman" w:hAnsi="Times New Roman" w:cs="Times New Roman"/>
        </w:rPr>
        <w:footnoteReference w:id="16"/>
      </w:r>
      <w:r>
        <w:rPr>
          <w:rFonts w:ascii="Times New Roman" w:hAnsi="Times New Roman" w:cs="Times New Roman"/>
        </w:rPr>
        <w:t>. The Court however downplayed those co</w:t>
      </w:r>
      <w:r w:rsidR="0066447D">
        <w:rPr>
          <w:rFonts w:ascii="Times New Roman" w:hAnsi="Times New Roman" w:cs="Times New Roman"/>
        </w:rPr>
        <w:t>nsiderations, eschewing a more cohercive</w:t>
      </w:r>
      <w:r>
        <w:rPr>
          <w:rFonts w:ascii="Times New Roman" w:hAnsi="Times New Roman" w:cs="Times New Roman"/>
        </w:rPr>
        <w:t xml:space="preserve"> notion of abusive conduct and pointing to the special responsibility of a dominant firm, which by its very existence weakens competition and thus may affect it further by “recourse to methods different from those which condition normal competition </w:t>
      </w:r>
      <w:r w:rsidRPr="002B37E1">
        <w:rPr>
          <w:rFonts w:ascii="Times New Roman" w:hAnsi="Times New Roman" w:cs="Times New Roman"/>
        </w:rPr>
        <w:t xml:space="preserve">in products or services </w:t>
      </w:r>
      <w:r w:rsidRPr="002B37E1">
        <w:rPr>
          <w:rFonts w:ascii="Times New Roman" w:hAnsi="Times New Roman" w:cs="Times New Roman"/>
          <w:i/>
        </w:rPr>
        <w:t>on the basis of transactions of commercial operators</w:t>
      </w:r>
      <w:r>
        <w:rPr>
          <w:rFonts w:ascii="Times New Roman" w:hAnsi="Times New Roman" w:cs="Times New Roman"/>
          <w:i/>
        </w:rPr>
        <w:t>”</w:t>
      </w:r>
      <w:r w:rsidRPr="0050505A">
        <w:rPr>
          <w:rStyle w:val="FootnoteReference"/>
          <w:rFonts w:ascii="Times New Roman" w:hAnsi="Times New Roman" w:cs="Times New Roman"/>
        </w:rPr>
        <w:footnoteReference w:id="17"/>
      </w:r>
      <w:r w:rsidRPr="0050505A">
        <w:rPr>
          <w:rFonts w:ascii="Times New Roman" w:hAnsi="Times New Roman" w:cs="Times New Roman"/>
        </w:rPr>
        <w:t>.</w:t>
      </w:r>
      <w:r>
        <w:rPr>
          <w:rFonts w:ascii="Times New Roman" w:hAnsi="Times New Roman" w:cs="Times New Roman"/>
        </w:rPr>
        <w:t xml:space="preserve"> The Court’s statement thus contrasts the objectivity of the abuse with the dominant firms’ ability to justify conduct on the basis of consumers’ freedom to choose their course of action in any particular transactions</w:t>
      </w:r>
      <w:r>
        <w:rPr>
          <w:rStyle w:val="FootnoteReference"/>
          <w:rFonts w:ascii="Times New Roman" w:hAnsi="Times New Roman" w:cs="Times New Roman"/>
        </w:rPr>
        <w:footnoteReference w:id="18"/>
      </w:r>
      <w:r>
        <w:rPr>
          <w:rFonts w:ascii="Times New Roman" w:hAnsi="Times New Roman" w:cs="Times New Roman"/>
        </w:rPr>
        <w:t xml:space="preserve">, rather than with the dominant firm’s intention to exclude rivals or harm consumers. </w:t>
      </w:r>
    </w:p>
    <w:p w14:paraId="451A8A34" w14:textId="77777777" w:rsidR="002120E3" w:rsidRDefault="002120E3" w:rsidP="002120E3">
      <w:pPr>
        <w:jc w:val="both"/>
        <w:rPr>
          <w:rFonts w:ascii="Times New Roman" w:hAnsi="Times New Roman" w:cs="Times New Roman"/>
        </w:rPr>
      </w:pPr>
    </w:p>
    <w:p w14:paraId="2634BE31" w14:textId="600579E7" w:rsidR="002120E3" w:rsidRDefault="002120E3" w:rsidP="002120E3">
      <w:pPr>
        <w:jc w:val="both"/>
        <w:rPr>
          <w:rFonts w:ascii="Times New Roman" w:hAnsi="Times New Roman" w:cs="Times New Roman"/>
        </w:rPr>
      </w:pPr>
      <w:r>
        <w:rPr>
          <w:rFonts w:ascii="Times New Roman" w:hAnsi="Times New Roman" w:cs="Times New Roman"/>
        </w:rPr>
        <w:t xml:space="preserve">Of course, this does not mean that objectivity </w:t>
      </w:r>
      <w:r w:rsidRPr="00A86169">
        <w:rPr>
          <w:rFonts w:ascii="Times New Roman" w:hAnsi="Times New Roman" w:cs="Times New Roman"/>
          <w:i/>
        </w:rPr>
        <w:t>cannot</w:t>
      </w:r>
      <w:r>
        <w:rPr>
          <w:rFonts w:ascii="Times New Roman" w:hAnsi="Times New Roman" w:cs="Times New Roman"/>
        </w:rPr>
        <w:t xml:space="preserve"> be interpreted to exclude the consideration </w:t>
      </w:r>
      <w:r w:rsidRPr="00DF6586">
        <w:rPr>
          <w:rFonts w:ascii="Times New Roman" w:hAnsi="Times New Roman" w:cs="Times New Roman"/>
        </w:rPr>
        <w:t xml:space="preserve">of </w:t>
      </w:r>
      <w:r w:rsidRPr="00DF6586">
        <w:rPr>
          <w:rFonts w:ascii="Times New Roman" w:hAnsi="Times New Roman" w:cs="Times New Roman"/>
          <w:i/>
        </w:rPr>
        <w:t>certain</w:t>
      </w:r>
      <w:r w:rsidRPr="00DF6586">
        <w:rPr>
          <w:rFonts w:ascii="Times New Roman" w:hAnsi="Times New Roman" w:cs="Times New Roman"/>
        </w:rPr>
        <w:t xml:space="preserve"> </w:t>
      </w:r>
      <w:r>
        <w:rPr>
          <w:rFonts w:ascii="Times New Roman" w:hAnsi="Times New Roman" w:cs="Times New Roman"/>
        </w:rPr>
        <w:t xml:space="preserve">elements </w:t>
      </w:r>
      <w:r w:rsidRPr="00DF6586">
        <w:rPr>
          <w:rFonts w:ascii="Times New Roman" w:hAnsi="Times New Roman" w:cs="Times New Roman"/>
        </w:rPr>
        <w:t>relating</w:t>
      </w:r>
      <w:r>
        <w:rPr>
          <w:rFonts w:ascii="Times New Roman" w:hAnsi="Times New Roman" w:cs="Times New Roman"/>
        </w:rPr>
        <w:t xml:space="preserve"> to the subjective state of mind of the defendant</w:t>
      </w:r>
      <w:r>
        <w:rPr>
          <w:rStyle w:val="FootnoteReference"/>
          <w:rFonts w:ascii="Times New Roman" w:hAnsi="Times New Roman" w:cs="Times New Roman"/>
        </w:rPr>
        <w:footnoteReference w:id="19"/>
      </w:r>
      <w:r>
        <w:rPr>
          <w:rFonts w:ascii="Times New Roman" w:hAnsi="Times New Roman" w:cs="Times New Roman"/>
        </w:rPr>
        <w:t xml:space="preserve">, at least as a constitutive element of the abuse. But that is a step further, which was not made in </w:t>
      </w:r>
      <w:r w:rsidRPr="00904D03">
        <w:rPr>
          <w:rFonts w:ascii="Times New Roman" w:hAnsi="Times New Roman" w:cs="Times New Roman"/>
          <w:i/>
        </w:rPr>
        <w:t>Hoffman Laroche</w:t>
      </w:r>
      <w:r>
        <w:rPr>
          <w:rFonts w:ascii="Times New Roman" w:hAnsi="Times New Roman" w:cs="Times New Roman"/>
        </w:rPr>
        <w:t xml:space="preserve">. The implications of objectivity on the relevance of a defendant’s state of mind were somewhat better explained in </w:t>
      </w:r>
      <w:r w:rsidRPr="00626ECA">
        <w:rPr>
          <w:rFonts w:ascii="Times New Roman" w:hAnsi="Times New Roman" w:cs="Times New Roman"/>
          <w:i/>
        </w:rPr>
        <w:t>Continental Can</w:t>
      </w:r>
      <w:r>
        <w:rPr>
          <w:rFonts w:ascii="Times New Roman" w:hAnsi="Times New Roman" w:cs="Times New Roman"/>
        </w:rPr>
        <w:t xml:space="preserve">, where the Court held that “abuse” does not imply the existence of fault in the sense of a </w:t>
      </w:r>
      <w:r w:rsidRPr="001A488F">
        <w:rPr>
          <w:rFonts w:ascii="Times New Roman" w:hAnsi="Times New Roman" w:cs="Times New Roman"/>
        </w:rPr>
        <w:t>failure in propriety or morality</w:t>
      </w:r>
      <w:r>
        <w:rPr>
          <w:rFonts w:ascii="Times New Roman" w:hAnsi="Times New Roman" w:cs="Times New Roman"/>
        </w:rPr>
        <w:t>: in other words, negligence suffices</w:t>
      </w:r>
      <w:r>
        <w:rPr>
          <w:rStyle w:val="FootnoteReference"/>
          <w:rFonts w:ascii="Times New Roman" w:hAnsi="Times New Roman" w:cs="Times New Roman"/>
        </w:rPr>
        <w:footnoteReference w:id="20"/>
      </w:r>
      <w:r w:rsidRPr="001A488F">
        <w:rPr>
          <w:rFonts w:ascii="Times New Roman" w:hAnsi="Times New Roman" w:cs="Times New Roman"/>
        </w:rPr>
        <w:t xml:space="preserve">. </w:t>
      </w:r>
      <w:r>
        <w:rPr>
          <w:rFonts w:ascii="Times New Roman" w:hAnsi="Times New Roman" w:cs="Times New Roman"/>
        </w:rPr>
        <w:t>However the example provided by the Court in that instance, referring to the takeover that it had deemed abusive, did not focus on the intentio</w:t>
      </w:r>
      <w:r w:rsidR="0066447D">
        <w:rPr>
          <w:rFonts w:ascii="Times New Roman" w:hAnsi="Times New Roman" w:cs="Times New Roman"/>
        </w:rPr>
        <w:t>n of the acquirer, but rather on</w:t>
      </w:r>
      <w:r>
        <w:rPr>
          <w:rFonts w:ascii="Times New Roman" w:hAnsi="Times New Roman" w:cs="Times New Roman"/>
        </w:rPr>
        <w:t xml:space="preserve"> the fairness of the price paid to the acquiree’s shareholders: fairness was not a relevant consideration -the Court explained- as t</w:t>
      </w:r>
      <w:r w:rsidRPr="001A488F">
        <w:rPr>
          <w:rFonts w:ascii="Times New Roman" w:hAnsi="Times New Roman" w:cs="Times New Roman"/>
        </w:rPr>
        <w:t xml:space="preserve">he real problem </w:t>
      </w:r>
      <w:r>
        <w:rPr>
          <w:rFonts w:ascii="Times New Roman" w:hAnsi="Times New Roman" w:cs="Times New Roman"/>
        </w:rPr>
        <w:t>was</w:t>
      </w:r>
      <w:r w:rsidRPr="001A488F">
        <w:rPr>
          <w:rFonts w:ascii="Times New Roman" w:hAnsi="Times New Roman" w:cs="Times New Roman"/>
        </w:rPr>
        <w:t xml:space="preserve"> </w:t>
      </w:r>
      <w:r>
        <w:rPr>
          <w:rFonts w:ascii="Times New Roman" w:hAnsi="Times New Roman" w:cs="Times New Roman"/>
        </w:rPr>
        <w:t>that</w:t>
      </w:r>
      <w:r w:rsidRPr="001A488F">
        <w:rPr>
          <w:rFonts w:ascii="Times New Roman" w:hAnsi="Times New Roman" w:cs="Times New Roman"/>
        </w:rPr>
        <w:t xml:space="preserve"> </w:t>
      </w:r>
      <w:r>
        <w:rPr>
          <w:rFonts w:ascii="Times New Roman" w:hAnsi="Times New Roman" w:cs="Times New Roman"/>
        </w:rPr>
        <w:t>Continental Can had</w:t>
      </w:r>
      <w:r w:rsidRPr="001A488F">
        <w:rPr>
          <w:rFonts w:ascii="Times New Roman" w:hAnsi="Times New Roman" w:cs="Times New Roman"/>
        </w:rPr>
        <w:t xml:space="preserve"> by</w:t>
      </w:r>
      <w:r>
        <w:rPr>
          <w:rFonts w:ascii="Times New Roman" w:hAnsi="Times New Roman" w:cs="Times New Roman"/>
        </w:rPr>
        <w:t xml:space="preserve"> way of</w:t>
      </w:r>
      <w:r w:rsidRPr="001A488F">
        <w:rPr>
          <w:rFonts w:ascii="Times New Roman" w:hAnsi="Times New Roman" w:cs="Times New Roman"/>
        </w:rPr>
        <w:t xml:space="preserve"> th</w:t>
      </w:r>
      <w:r>
        <w:rPr>
          <w:rFonts w:ascii="Times New Roman" w:hAnsi="Times New Roman" w:cs="Times New Roman"/>
        </w:rPr>
        <w:t>e</w:t>
      </w:r>
      <w:r w:rsidRPr="001A488F">
        <w:rPr>
          <w:rFonts w:ascii="Times New Roman" w:hAnsi="Times New Roman" w:cs="Times New Roman"/>
        </w:rPr>
        <w:t xml:space="preserve"> acquisition practically </w:t>
      </w:r>
      <w:r w:rsidRPr="008E6BF5">
        <w:rPr>
          <w:rFonts w:ascii="Times New Roman" w:hAnsi="Times New Roman" w:cs="Times New Roman"/>
        </w:rPr>
        <w:t>eliminated competition which existed</w:t>
      </w:r>
      <w:r>
        <w:rPr>
          <w:rFonts w:ascii="Times New Roman" w:hAnsi="Times New Roman" w:cs="Times New Roman"/>
        </w:rPr>
        <w:t>, or at least was possible, o</w:t>
      </w:r>
      <w:r w:rsidRPr="008E6BF5">
        <w:rPr>
          <w:rFonts w:ascii="Times New Roman" w:hAnsi="Times New Roman" w:cs="Times New Roman"/>
        </w:rPr>
        <w:t>n th</w:t>
      </w:r>
      <w:r>
        <w:rPr>
          <w:rFonts w:ascii="Times New Roman" w:hAnsi="Times New Roman" w:cs="Times New Roman"/>
        </w:rPr>
        <w:t>e concerned</w:t>
      </w:r>
      <w:r w:rsidRPr="008E6BF5">
        <w:rPr>
          <w:rFonts w:ascii="Times New Roman" w:hAnsi="Times New Roman" w:cs="Times New Roman"/>
        </w:rPr>
        <w:t xml:space="preserve"> products. </w:t>
      </w:r>
      <w:r>
        <w:rPr>
          <w:rFonts w:ascii="Times New Roman" w:hAnsi="Times New Roman" w:cs="Times New Roman"/>
        </w:rPr>
        <w:t xml:space="preserve">Hence, the take-away from that ruling was that there is no need to prove an intention to harm competition, </w:t>
      </w:r>
      <w:r w:rsidRPr="00D85F8F">
        <w:rPr>
          <w:rFonts w:ascii="Times New Roman" w:hAnsi="Times New Roman" w:cs="Times New Roman"/>
          <w:i/>
        </w:rPr>
        <w:t xml:space="preserve">if </w:t>
      </w:r>
      <w:r>
        <w:rPr>
          <w:rFonts w:ascii="Times New Roman" w:hAnsi="Times New Roman" w:cs="Times New Roman"/>
        </w:rPr>
        <w:t xml:space="preserve">that harm is indeed the practical result of the conduct. </w:t>
      </w:r>
    </w:p>
    <w:p w14:paraId="50711459" w14:textId="77777777" w:rsidR="002120E3" w:rsidRDefault="002120E3" w:rsidP="002120E3">
      <w:pPr>
        <w:jc w:val="both"/>
        <w:rPr>
          <w:rFonts w:ascii="Times New Roman" w:hAnsi="Times New Roman" w:cs="Times New Roman"/>
        </w:rPr>
      </w:pPr>
    </w:p>
    <w:p w14:paraId="1D267D2A" w14:textId="77777777" w:rsidR="002120E3" w:rsidRDefault="002120E3" w:rsidP="002120E3">
      <w:pPr>
        <w:jc w:val="both"/>
        <w:rPr>
          <w:rFonts w:ascii="Times New Roman" w:hAnsi="Times New Roman" w:cs="Times New Roman"/>
        </w:rPr>
      </w:pPr>
      <w:r>
        <w:rPr>
          <w:rFonts w:ascii="Times New Roman" w:hAnsi="Times New Roman" w:cs="Times New Roman"/>
        </w:rPr>
        <w:t xml:space="preserve">One should not take this concept too far, however. A broad interpretation of the holding in </w:t>
      </w:r>
      <w:r w:rsidRPr="00A4415F">
        <w:rPr>
          <w:rFonts w:ascii="Times New Roman" w:hAnsi="Times New Roman" w:cs="Times New Roman"/>
          <w:i/>
        </w:rPr>
        <w:t>Continental Can</w:t>
      </w:r>
      <w:r>
        <w:rPr>
          <w:rFonts w:ascii="Times New Roman" w:hAnsi="Times New Roman" w:cs="Times New Roman"/>
        </w:rPr>
        <w:t xml:space="preserve"> that “</w:t>
      </w:r>
      <w:r w:rsidRPr="009968A9">
        <w:rPr>
          <w:rFonts w:ascii="Times New Roman" w:hAnsi="Times New Roman" w:cs="Times New Roman"/>
          <w:i/>
        </w:rPr>
        <w:t>intent</w:t>
      </w:r>
      <w:r>
        <w:rPr>
          <w:rFonts w:ascii="Times New Roman" w:hAnsi="Times New Roman" w:cs="Times New Roman"/>
        </w:rPr>
        <w:t xml:space="preserve"> to harm competition” is unnecessary for the establishment of a violation under article 102 would raise due process concerns, if applied in connection with the imposition of a fine. To be sure, article 23 (2) of Regulation 1/2003 clearly indicates the need to establish intention or negligence in order to impose a fine on an undertaking. </w:t>
      </w:r>
      <w:r w:rsidRPr="002004A4">
        <w:rPr>
          <w:rFonts w:ascii="Times New Roman" w:hAnsi="Times New Roman" w:cs="Times New Roman"/>
        </w:rPr>
        <w:t>This point is particularly important considering the recognition by the European Court of Human Rights that competition fines are criminal in nature (despite their qualification as “administrative” under EU law), and therefore trigger the application of the guarantees set out by article 6 ECHR in relation to the right to be heard, including the presumption of innocence (</w:t>
      </w:r>
      <w:r>
        <w:rPr>
          <w:rFonts w:ascii="Times New Roman" w:hAnsi="Times New Roman" w:cs="Times New Roman"/>
        </w:rPr>
        <w:t>enshrined also in</w:t>
      </w:r>
      <w:r w:rsidRPr="002004A4">
        <w:rPr>
          <w:rFonts w:ascii="Times New Roman" w:hAnsi="Times New Roman" w:cs="Times New Roman"/>
        </w:rPr>
        <w:t xml:space="preserve"> article 48 of the EU Charter of Fundamental Rights)</w:t>
      </w:r>
      <w:r w:rsidRPr="002004A4">
        <w:rPr>
          <w:rStyle w:val="FootnoteReference"/>
          <w:rFonts w:ascii="Times New Roman" w:hAnsi="Times New Roman" w:cs="Times New Roman"/>
        </w:rPr>
        <w:footnoteReference w:id="21"/>
      </w:r>
      <w:r>
        <w:rPr>
          <w:rFonts w:ascii="Times New Roman" w:hAnsi="Times New Roman" w:cs="Times New Roman"/>
        </w:rPr>
        <w:t>. The Court has also explicitly recognized the application of the principle of legality reflected in article 7 ECHR (also known as “</w:t>
      </w:r>
      <w:r w:rsidRPr="00AA3D39">
        <w:rPr>
          <w:rFonts w:ascii="Times New Roman" w:hAnsi="Times New Roman" w:cs="Times New Roman"/>
          <w:i/>
        </w:rPr>
        <w:t>nullum crimen, nulla poena sin lege</w:t>
      </w:r>
      <w:r>
        <w:rPr>
          <w:rFonts w:ascii="Times New Roman" w:hAnsi="Times New Roman" w:cs="Times New Roman"/>
          <w:i/>
        </w:rPr>
        <w:t>”</w:t>
      </w:r>
      <w:r>
        <w:rPr>
          <w:rFonts w:ascii="Times New Roman" w:hAnsi="Times New Roman" w:cs="Times New Roman"/>
        </w:rPr>
        <w:t xml:space="preserve">) in competition cases, affirming that </w:t>
      </w:r>
      <w:r w:rsidRPr="00C96105">
        <w:rPr>
          <w:rFonts w:ascii="Times New Roman" w:hAnsi="Times New Roman" w:cs="Times New Roman"/>
        </w:rPr>
        <w:t>where</w:t>
      </w:r>
      <w:r>
        <w:rPr>
          <w:rFonts w:ascii="Times New Roman" w:hAnsi="Times New Roman" w:cs="Times New Roman"/>
        </w:rPr>
        <w:t xml:space="preserve"> EU legislation</w:t>
      </w:r>
      <w:r w:rsidRPr="00C96105">
        <w:rPr>
          <w:rFonts w:ascii="Times New Roman" w:hAnsi="Times New Roman" w:cs="Times New Roman"/>
        </w:rPr>
        <w:t xml:space="preserve"> imposes or permits the imposition of penalties, </w:t>
      </w:r>
      <w:r>
        <w:rPr>
          <w:rFonts w:ascii="Times New Roman" w:hAnsi="Times New Roman" w:cs="Times New Roman"/>
        </w:rPr>
        <w:t xml:space="preserve">it </w:t>
      </w:r>
      <w:r w:rsidRPr="00C96105">
        <w:rPr>
          <w:rFonts w:ascii="Times New Roman" w:hAnsi="Times New Roman" w:cs="Times New Roman"/>
        </w:rPr>
        <w:t>must be clear and precise so that the persons concerned may know without ambiguity what rights and obligations flow from it and may take steps accordingly</w:t>
      </w:r>
      <w:r>
        <w:rPr>
          <w:rStyle w:val="FootnoteReference"/>
          <w:rFonts w:ascii="Times New Roman" w:hAnsi="Times New Roman" w:cs="Times New Roman"/>
        </w:rPr>
        <w:footnoteReference w:id="22"/>
      </w:r>
      <w:r>
        <w:rPr>
          <w:rFonts w:ascii="Times New Roman" w:hAnsi="Times New Roman" w:cs="Times New Roman"/>
        </w:rPr>
        <w:t xml:space="preserve">. This implies that both knowledge (actual or constructive) and control over one’s anticompetitive conduct must be established, before a fine can be imposed. </w:t>
      </w:r>
    </w:p>
    <w:p w14:paraId="689C7E23" w14:textId="77777777" w:rsidR="002120E3" w:rsidRDefault="002120E3" w:rsidP="002120E3">
      <w:pPr>
        <w:jc w:val="both"/>
        <w:rPr>
          <w:rFonts w:ascii="Times New Roman" w:hAnsi="Times New Roman" w:cs="Times New Roman"/>
        </w:rPr>
      </w:pPr>
    </w:p>
    <w:p w14:paraId="569FE24D" w14:textId="71EEEBF2" w:rsidR="002120E3" w:rsidRDefault="002120E3" w:rsidP="002120E3">
      <w:pPr>
        <w:jc w:val="both"/>
        <w:rPr>
          <w:rFonts w:ascii="Times New Roman" w:hAnsi="Times New Roman" w:cs="Times New Roman"/>
        </w:rPr>
      </w:pPr>
      <w:r>
        <w:rPr>
          <w:rFonts w:ascii="Times New Roman" w:hAnsi="Times New Roman" w:cs="Times New Roman"/>
        </w:rPr>
        <w:t>Yet it is arguable</w:t>
      </w:r>
      <w:r w:rsidRPr="00EB5133">
        <w:rPr>
          <w:rFonts w:ascii="Times New Roman" w:hAnsi="Times New Roman" w:cs="Times New Roman"/>
        </w:rPr>
        <w:t xml:space="preserve"> that the role of intent in article 102 cases goes beyond the (admittedly broad) set of cases</w:t>
      </w:r>
      <w:r>
        <w:rPr>
          <w:rFonts w:ascii="Times New Roman" w:hAnsi="Times New Roman" w:cs="Times New Roman"/>
        </w:rPr>
        <w:t xml:space="preserve"> in which a penalty is imposed: the mere</w:t>
      </w:r>
      <w:r w:rsidRPr="00EB5133">
        <w:rPr>
          <w:rFonts w:ascii="Times New Roman" w:hAnsi="Times New Roman" w:cs="Times New Roman"/>
        </w:rPr>
        <w:t xml:space="preserve"> establishment of a violation</w:t>
      </w:r>
      <w:r>
        <w:rPr>
          <w:rFonts w:ascii="Times New Roman" w:hAnsi="Times New Roman" w:cs="Times New Roman"/>
        </w:rPr>
        <w:t xml:space="preserve"> presupposes some form of intent- </w:t>
      </w:r>
      <w:r w:rsidRPr="00EB5133">
        <w:rPr>
          <w:rFonts w:ascii="Times New Roman" w:hAnsi="Times New Roman" w:cs="Times New Roman"/>
        </w:rPr>
        <w:t xml:space="preserve">if not </w:t>
      </w:r>
      <w:r>
        <w:rPr>
          <w:rFonts w:ascii="Times New Roman" w:hAnsi="Times New Roman" w:cs="Times New Roman"/>
        </w:rPr>
        <w:t>subjective, an objective notion</w:t>
      </w:r>
      <w:r w:rsidRPr="00EB5133">
        <w:rPr>
          <w:rFonts w:ascii="Times New Roman" w:hAnsi="Times New Roman" w:cs="Times New Roman"/>
        </w:rPr>
        <w:t>.</w:t>
      </w:r>
      <w:r>
        <w:rPr>
          <w:rFonts w:ascii="Times New Roman" w:hAnsi="Times New Roman" w:cs="Times New Roman"/>
        </w:rPr>
        <w:t xml:space="preserve"> Despite the absence of any</w:t>
      </w:r>
      <w:r w:rsidRPr="008E6BF5">
        <w:rPr>
          <w:rFonts w:ascii="Times New Roman" w:hAnsi="Times New Roman" w:cs="Times New Roman"/>
        </w:rPr>
        <w:t xml:space="preserve"> </w:t>
      </w:r>
      <w:r>
        <w:rPr>
          <w:rFonts w:ascii="Times New Roman" w:hAnsi="Times New Roman" w:cs="Times New Roman"/>
        </w:rPr>
        <w:t>explicit reference to it in the treaty and in the cases mentioned so far,  a</w:t>
      </w:r>
      <w:r w:rsidRPr="008E6BF5">
        <w:rPr>
          <w:rFonts w:ascii="Times New Roman" w:hAnsi="Times New Roman" w:cs="Times New Roman"/>
        </w:rPr>
        <w:t xml:space="preserve"> general intent to commit an act</w:t>
      </w:r>
      <w:r>
        <w:rPr>
          <w:rFonts w:ascii="Times New Roman" w:hAnsi="Times New Roman" w:cs="Times New Roman"/>
        </w:rPr>
        <w:t xml:space="preserve"> can be evinced from the </w:t>
      </w:r>
      <w:r w:rsidRPr="008E6BF5">
        <w:rPr>
          <w:rFonts w:ascii="Times New Roman" w:hAnsi="Times New Roman" w:cs="Times New Roman"/>
        </w:rPr>
        <w:t xml:space="preserve">definition of abuse given in </w:t>
      </w:r>
      <w:r w:rsidRPr="008E6BF5">
        <w:rPr>
          <w:rFonts w:ascii="Times New Roman" w:hAnsi="Times New Roman" w:cs="Times New Roman"/>
          <w:i/>
        </w:rPr>
        <w:t>Hoffman La Roche</w:t>
      </w:r>
      <w:r w:rsidRPr="008E6BF5">
        <w:rPr>
          <w:rFonts w:ascii="Times New Roman" w:hAnsi="Times New Roman" w:cs="Times New Roman"/>
        </w:rPr>
        <w:t xml:space="preserve">, </w:t>
      </w:r>
      <w:r>
        <w:rPr>
          <w:rFonts w:ascii="Times New Roman" w:hAnsi="Times New Roman" w:cs="Times New Roman"/>
        </w:rPr>
        <w:t>referring</w:t>
      </w:r>
      <w:r w:rsidRPr="008E6BF5">
        <w:rPr>
          <w:rFonts w:ascii="Times New Roman" w:hAnsi="Times New Roman" w:cs="Times New Roman"/>
        </w:rPr>
        <w:t xml:space="preserve"> to “</w:t>
      </w:r>
      <w:r w:rsidRPr="008E6BF5">
        <w:rPr>
          <w:rFonts w:ascii="Times New Roman" w:hAnsi="Times New Roman" w:cs="Times New Roman"/>
          <w:i/>
        </w:rPr>
        <w:t>recourse</w:t>
      </w:r>
      <w:r w:rsidRPr="008E6BF5">
        <w:rPr>
          <w:rFonts w:ascii="Times New Roman" w:hAnsi="Times New Roman" w:cs="Times New Roman"/>
        </w:rPr>
        <w:t xml:space="preserve"> to methods different from those which condition normal competition</w:t>
      </w:r>
      <w:r>
        <w:rPr>
          <w:rFonts w:ascii="Times New Roman" w:hAnsi="Times New Roman" w:cs="Times New Roman"/>
        </w:rPr>
        <w:t>”</w:t>
      </w:r>
      <w:r w:rsidRPr="008E6BF5">
        <w:rPr>
          <w:rStyle w:val="FootnoteReference"/>
          <w:rFonts w:ascii="Times New Roman" w:hAnsi="Times New Roman" w:cs="Times New Roman"/>
        </w:rPr>
        <w:footnoteReference w:id="23"/>
      </w:r>
      <w:r w:rsidRPr="008E6BF5">
        <w:rPr>
          <w:rFonts w:ascii="Times New Roman" w:hAnsi="Times New Roman" w:cs="Times New Roman"/>
        </w:rPr>
        <w:t xml:space="preserve">. </w:t>
      </w:r>
      <w:r>
        <w:rPr>
          <w:rFonts w:ascii="Times New Roman" w:hAnsi="Times New Roman" w:cs="Times New Roman"/>
        </w:rPr>
        <w:t>A literal interpretation</w:t>
      </w:r>
      <w:r w:rsidRPr="008E6BF5">
        <w:rPr>
          <w:rFonts w:ascii="Times New Roman" w:hAnsi="Times New Roman" w:cs="Times New Roman"/>
        </w:rPr>
        <w:t xml:space="preserve"> </w:t>
      </w:r>
      <w:r>
        <w:rPr>
          <w:rFonts w:ascii="Times New Roman" w:hAnsi="Times New Roman" w:cs="Times New Roman"/>
        </w:rPr>
        <w:t>of this term suggests that it would be</w:t>
      </w:r>
      <w:r w:rsidRPr="008E6BF5">
        <w:rPr>
          <w:rFonts w:ascii="Times New Roman" w:hAnsi="Times New Roman" w:cs="Times New Roman"/>
        </w:rPr>
        <w:t xml:space="preserve"> incorrect to conclude that a dominant undertaking is liable for conduct </w:t>
      </w:r>
      <w:r w:rsidRPr="003B64CE">
        <w:rPr>
          <w:rFonts w:ascii="Times New Roman" w:hAnsi="Times New Roman" w:cs="Times New Roman"/>
        </w:rPr>
        <w:t xml:space="preserve">which is merely accidental and does not result from </w:t>
      </w:r>
      <w:r>
        <w:rPr>
          <w:rFonts w:ascii="Times New Roman" w:hAnsi="Times New Roman" w:cs="Times New Roman"/>
        </w:rPr>
        <w:t>a</w:t>
      </w:r>
      <w:r w:rsidRPr="003B64CE">
        <w:rPr>
          <w:rFonts w:ascii="Times New Roman" w:hAnsi="Times New Roman" w:cs="Times New Roman"/>
        </w:rPr>
        <w:t xml:space="preserve"> breach of </w:t>
      </w:r>
      <w:r>
        <w:rPr>
          <w:rFonts w:ascii="Times New Roman" w:hAnsi="Times New Roman" w:cs="Times New Roman"/>
        </w:rPr>
        <w:t>the</w:t>
      </w:r>
      <w:r w:rsidRPr="003B64CE">
        <w:rPr>
          <w:rFonts w:ascii="Times New Roman" w:hAnsi="Times New Roman" w:cs="Times New Roman"/>
        </w:rPr>
        <w:t xml:space="preserve"> undertaking’s duty of care. For instance, an undertaking should not be liable for the anticompetitive act of one of</w:t>
      </w:r>
      <w:r>
        <w:rPr>
          <w:rFonts w:ascii="Times New Roman" w:hAnsi="Times New Roman" w:cs="Times New Roman"/>
        </w:rPr>
        <w:t xml:space="preserve"> its e</w:t>
      </w:r>
      <w:r w:rsidR="00BC5B04">
        <w:rPr>
          <w:rFonts w:ascii="Times New Roman" w:hAnsi="Times New Roman" w:cs="Times New Roman"/>
        </w:rPr>
        <w:t>mployees if it can prove that the event</w:t>
      </w:r>
      <w:r>
        <w:rPr>
          <w:rFonts w:ascii="Times New Roman" w:hAnsi="Times New Roman" w:cs="Times New Roman"/>
        </w:rPr>
        <w:t xml:space="preserve"> was a result of a clerical mistake, </w:t>
      </w:r>
      <w:r w:rsidRPr="008E6BF5">
        <w:rPr>
          <w:rFonts w:ascii="Times New Roman" w:hAnsi="Times New Roman" w:cs="Times New Roman"/>
        </w:rPr>
        <w:t>or the malfunctioning of a computer</w:t>
      </w:r>
      <w:r w:rsidR="00BC5B04">
        <w:rPr>
          <w:rFonts w:ascii="Times New Roman" w:hAnsi="Times New Roman" w:cs="Times New Roman"/>
        </w:rPr>
        <w:t xml:space="preserve"> system</w:t>
      </w:r>
      <w:r>
        <w:rPr>
          <w:rFonts w:ascii="Times New Roman" w:hAnsi="Times New Roman" w:cs="Times New Roman"/>
        </w:rPr>
        <w:t xml:space="preserve">, that it could not have reasonably prevented or remedied. Put it another way, intent cannot be imputed for an event </w:t>
      </w:r>
      <w:r w:rsidR="00BC5B04">
        <w:rPr>
          <w:rFonts w:ascii="Times New Roman" w:hAnsi="Times New Roman" w:cs="Times New Roman"/>
        </w:rPr>
        <w:t>that</w:t>
      </w:r>
      <w:r>
        <w:rPr>
          <w:rFonts w:ascii="Times New Roman" w:hAnsi="Times New Roman" w:cs="Times New Roman"/>
        </w:rPr>
        <w:t xml:space="preserve"> is an unlikely consequence o</w:t>
      </w:r>
      <w:r w:rsidR="00BC5B04">
        <w:rPr>
          <w:rFonts w:ascii="Times New Roman" w:hAnsi="Times New Roman" w:cs="Times New Roman"/>
        </w:rPr>
        <w:t>f an act, and w</w:t>
      </w:r>
      <w:r>
        <w:rPr>
          <w:rFonts w:ascii="Times New Roman" w:hAnsi="Times New Roman" w:cs="Times New Roman"/>
        </w:rPr>
        <w:t xml:space="preserve">hich would have been unreasonable for an undertaking to consider; in such cases, neither subjective nor objective intent could be established. It is in this sense that the Court’s reference in </w:t>
      </w:r>
      <w:r w:rsidRPr="00BB4F62">
        <w:rPr>
          <w:rFonts w:ascii="Times New Roman" w:hAnsi="Times New Roman" w:cs="Times New Roman"/>
          <w:i/>
        </w:rPr>
        <w:t>Continental Can</w:t>
      </w:r>
      <w:r>
        <w:rPr>
          <w:rFonts w:ascii="Times New Roman" w:hAnsi="Times New Roman" w:cs="Times New Roman"/>
        </w:rPr>
        <w:t xml:space="preserve"> to “practical result” to harm competition should be interpreted: no proof of intention to harm competition is needed when that result is a </w:t>
      </w:r>
      <w:r w:rsidRPr="008C0DDA">
        <w:rPr>
          <w:rFonts w:ascii="Times New Roman" w:hAnsi="Times New Roman" w:cs="Times New Roman"/>
          <w:i/>
        </w:rPr>
        <w:t>likely and foreseeable</w:t>
      </w:r>
      <w:r>
        <w:rPr>
          <w:rFonts w:ascii="Times New Roman" w:hAnsi="Times New Roman" w:cs="Times New Roman"/>
        </w:rPr>
        <w:t xml:space="preserve"> consequence, which could have practically been addressed by the undertaking. </w:t>
      </w:r>
    </w:p>
    <w:p w14:paraId="4EB978CA" w14:textId="77777777" w:rsidR="002120E3" w:rsidRDefault="002120E3" w:rsidP="002120E3">
      <w:pPr>
        <w:jc w:val="both"/>
        <w:rPr>
          <w:rFonts w:ascii="Times New Roman" w:hAnsi="Times New Roman" w:cs="Times New Roman"/>
        </w:rPr>
      </w:pPr>
    </w:p>
    <w:p w14:paraId="3C5BCEE6" w14:textId="77777777" w:rsidR="002120E3" w:rsidRDefault="002120E3" w:rsidP="002120E3">
      <w:pPr>
        <w:jc w:val="both"/>
        <w:rPr>
          <w:rFonts w:ascii="Times New Roman" w:hAnsi="Times New Roman" w:cs="Times New Roman"/>
        </w:rPr>
      </w:pPr>
      <w:r w:rsidRPr="008F1C39">
        <w:rPr>
          <w:rFonts w:ascii="Times New Roman" w:hAnsi="Times New Roman" w:cs="Times New Roman"/>
        </w:rPr>
        <w:t xml:space="preserve">This </w:t>
      </w:r>
      <w:r>
        <w:rPr>
          <w:rFonts w:ascii="Times New Roman" w:hAnsi="Times New Roman" w:cs="Times New Roman"/>
        </w:rPr>
        <w:t xml:space="preserve">reading </w:t>
      </w:r>
      <w:r w:rsidRPr="008F1C39">
        <w:rPr>
          <w:rFonts w:ascii="Times New Roman" w:hAnsi="Times New Roman" w:cs="Times New Roman"/>
        </w:rPr>
        <w:t>is</w:t>
      </w:r>
      <w:r>
        <w:rPr>
          <w:rFonts w:ascii="Times New Roman" w:hAnsi="Times New Roman" w:cs="Times New Roman"/>
        </w:rPr>
        <w:t xml:space="preserve"> consistent with the evolution of corporate criminal liability, which has in recent years overcome the enforcement gaps intrinsic in the theories of “identification” (holding that a firm’s intent corresponds to that of its managers) and “collective knowledge” (holding that a firm’s knowledge is the sum of the knowledge of its employees) by embracing an organizational model of culpability, i.e. establishing fault for failure to adopt adequate organizational measures to prevent the effects giving rise to the illegality</w:t>
      </w:r>
      <w:r>
        <w:rPr>
          <w:rStyle w:val="FootnoteReference"/>
          <w:rFonts w:ascii="Times New Roman" w:hAnsi="Times New Roman" w:cs="Times New Roman"/>
        </w:rPr>
        <w:footnoteReference w:id="24"/>
      </w:r>
      <w:r>
        <w:rPr>
          <w:rFonts w:ascii="Times New Roman" w:hAnsi="Times New Roman" w:cs="Times New Roman"/>
        </w:rPr>
        <w:t xml:space="preserve">. The Court has explicitly moved in that direction in EU competition law when it comes to the liability of an undertaking for the conduct of an independent contractor: first, it has long recognized that, where anticompetitive conduct is attributable to a person authorized to act on behalf of the undertaking, it is not necessary </w:t>
      </w:r>
      <w:r w:rsidRPr="003F4FC8">
        <w:rPr>
          <w:rFonts w:ascii="Times New Roman" w:hAnsi="Times New Roman" w:cs="Times New Roman"/>
        </w:rPr>
        <w:t>for there to have been action by, or even knowledge on the part of, the partners or principal managers of the undertaking concerned</w:t>
      </w:r>
      <w:r>
        <w:rPr>
          <w:rStyle w:val="FootnoteReference"/>
          <w:rFonts w:ascii="Times New Roman" w:hAnsi="Times New Roman" w:cs="Times New Roman"/>
        </w:rPr>
        <w:footnoteReference w:id="25"/>
      </w:r>
      <w:r>
        <w:rPr>
          <w:rFonts w:ascii="Times New Roman" w:hAnsi="Times New Roman" w:cs="Times New Roman"/>
        </w:rPr>
        <w:t xml:space="preserve">. Secondly, in the specific context of actions by independent contractors infringing article 101, the Court has ruled that liability may attach not only when </w:t>
      </w:r>
      <w:r w:rsidRPr="002138FB">
        <w:rPr>
          <w:rFonts w:ascii="Times New Roman" w:hAnsi="Times New Roman" w:cs="Times New Roman"/>
        </w:rPr>
        <w:t>the service provider was in fact acting under the direction or control of the undertaking concerned</w:t>
      </w:r>
      <w:r>
        <w:rPr>
          <w:rFonts w:ascii="Times New Roman" w:hAnsi="Times New Roman" w:cs="Times New Roman"/>
        </w:rPr>
        <w:t>, but also when the</w:t>
      </w:r>
      <w:r w:rsidRPr="002138FB">
        <w:rPr>
          <w:rFonts w:ascii="Times New Roman" w:hAnsi="Times New Roman" w:cs="Times New Roman"/>
        </w:rPr>
        <w:t xml:space="preserve"> undertaking was aware of the anti-competitive objectives pursued by its competitors and the service provider and intended to contribute to them by its own conduct, </w:t>
      </w:r>
      <w:r>
        <w:rPr>
          <w:rFonts w:ascii="Times New Roman" w:hAnsi="Times New Roman" w:cs="Times New Roman"/>
        </w:rPr>
        <w:t xml:space="preserve">or even when the undertaking </w:t>
      </w:r>
      <w:r w:rsidRPr="00455EF6">
        <w:rPr>
          <w:rFonts w:ascii="Times New Roman" w:hAnsi="Times New Roman" w:cs="Times New Roman"/>
        </w:rPr>
        <w:t>could reasonably have foreseen the anti-competitive acts of its competitors and the service provider and was prepared to accept the risk which they entailed</w:t>
      </w:r>
      <w:r>
        <w:rPr>
          <w:rStyle w:val="FootnoteReference"/>
          <w:rFonts w:ascii="Times New Roman" w:hAnsi="Times New Roman" w:cs="Times New Roman"/>
        </w:rPr>
        <w:footnoteReference w:id="26"/>
      </w:r>
      <w:r>
        <w:rPr>
          <w:rFonts w:ascii="Times New Roman" w:hAnsi="Times New Roman" w:cs="Times New Roman"/>
        </w:rPr>
        <w:t>. While the Court has not had the opportunity to rule on the applicability of this organizational model in the context of article 102, it has more generally held that the condition of existence of intention or negligence is satisfied if the undertaking concerned “cannot be unaware of the anti-competitive nature of its conduct, whether or not it is aware that it is infringing the competition rules”</w:t>
      </w:r>
      <w:r>
        <w:rPr>
          <w:rStyle w:val="FootnoteReference"/>
          <w:rFonts w:ascii="Times New Roman" w:hAnsi="Times New Roman" w:cs="Times New Roman"/>
        </w:rPr>
        <w:footnoteReference w:id="27"/>
      </w:r>
      <w:r>
        <w:rPr>
          <w:rFonts w:ascii="Times New Roman" w:hAnsi="Times New Roman" w:cs="Times New Roman"/>
        </w:rPr>
        <w:t xml:space="preserve">. From that, it is reasonable to assume that organizational measures will be even more important in such context: since there is no need to predict competitors’ actions in order to determine one’s own conduct, a solid set of organizational measures (including for example a compliance programme) should be sufficient for a dominant undertaking to escape liability. </w:t>
      </w:r>
    </w:p>
    <w:p w14:paraId="291D2E83" w14:textId="77777777" w:rsidR="002120E3" w:rsidRDefault="002120E3" w:rsidP="002120E3">
      <w:pPr>
        <w:jc w:val="both"/>
        <w:rPr>
          <w:rFonts w:ascii="Times New Roman" w:hAnsi="Times New Roman" w:cs="Times New Roman"/>
        </w:rPr>
      </w:pPr>
    </w:p>
    <w:p w14:paraId="5F8E3313" w14:textId="77777777" w:rsidR="002120E3" w:rsidRDefault="002120E3" w:rsidP="002120E3">
      <w:pPr>
        <w:jc w:val="both"/>
        <w:rPr>
          <w:rFonts w:ascii="Times New Roman" w:hAnsi="Times New Roman" w:cs="Times New Roman"/>
        </w:rPr>
      </w:pPr>
      <w:r>
        <w:rPr>
          <w:rFonts w:ascii="Times New Roman" w:hAnsi="Times New Roman" w:cs="Times New Roman"/>
        </w:rPr>
        <w:t>Another corollary of the dependence of an abuse on an intent-based notion of “recourse to methods different from those which condition normal competition” is that it should not be an abuse for a dominant company to engage in conduct that is in line with methods applied in conditions of “normal competition”: that is, normal competition is a defense even where such company carries out the conduct with the (professed or implicit) intention to drive its competitors out of the market.  This is because</w:t>
      </w:r>
      <w:r w:rsidRPr="008E6BF5">
        <w:rPr>
          <w:rFonts w:ascii="Times New Roman" w:hAnsi="Times New Roman" w:cs="Times New Roman"/>
        </w:rPr>
        <w:t xml:space="preserve"> </w:t>
      </w:r>
      <w:r>
        <w:rPr>
          <w:rFonts w:ascii="Times New Roman" w:hAnsi="Times New Roman" w:cs="Times New Roman"/>
        </w:rPr>
        <w:t xml:space="preserve">in order to be successful a </w:t>
      </w:r>
      <w:r w:rsidRPr="008E6BF5">
        <w:rPr>
          <w:rFonts w:ascii="Times New Roman" w:hAnsi="Times New Roman" w:cs="Times New Roman"/>
        </w:rPr>
        <w:t xml:space="preserve">plaintiff would need to show a clear causal link between an act or omission </w:t>
      </w:r>
      <w:r>
        <w:rPr>
          <w:rFonts w:ascii="Times New Roman" w:hAnsi="Times New Roman" w:cs="Times New Roman"/>
        </w:rPr>
        <w:t>by</w:t>
      </w:r>
      <w:r w:rsidRPr="008E6BF5">
        <w:rPr>
          <w:rFonts w:ascii="Times New Roman" w:hAnsi="Times New Roman" w:cs="Times New Roman"/>
        </w:rPr>
        <w:t xml:space="preserve"> the undertaking and </w:t>
      </w:r>
      <w:r>
        <w:rPr>
          <w:rFonts w:ascii="Times New Roman" w:hAnsi="Times New Roman" w:cs="Times New Roman"/>
        </w:rPr>
        <w:t>a (possible) anticompetitive effect</w:t>
      </w:r>
      <w:r w:rsidRPr="008E6BF5">
        <w:rPr>
          <w:rFonts w:ascii="Times New Roman" w:hAnsi="Times New Roman" w:cs="Times New Roman"/>
        </w:rPr>
        <w:t xml:space="preserve">, </w:t>
      </w:r>
      <w:r>
        <w:rPr>
          <w:rFonts w:ascii="Times New Roman" w:hAnsi="Times New Roman" w:cs="Times New Roman"/>
        </w:rPr>
        <w:t>which is presumed to be lacking in case of methods of operation conforming to that abstract notion of “normal competition”</w:t>
      </w:r>
      <w:r>
        <w:rPr>
          <w:rStyle w:val="FootnoteReference"/>
          <w:rFonts w:ascii="Times New Roman" w:hAnsi="Times New Roman" w:cs="Times New Roman"/>
        </w:rPr>
        <w:footnoteReference w:id="28"/>
      </w:r>
      <w:r w:rsidRPr="008E6BF5">
        <w:rPr>
          <w:rFonts w:ascii="Times New Roman" w:hAnsi="Times New Roman" w:cs="Times New Roman"/>
        </w:rPr>
        <w:t xml:space="preserve">. </w:t>
      </w:r>
      <w:r>
        <w:rPr>
          <w:rFonts w:ascii="Times New Roman" w:hAnsi="Times New Roman" w:cs="Times New Roman"/>
        </w:rPr>
        <w:t>It goes without saying that such defense does not offer real prospects of success until the EU adjudicature provides an affirmative indication of the boundaries to “normal competition” or “competition on the merits”, but that discussion goes beyond the scope of this contribution</w:t>
      </w:r>
      <w:r>
        <w:rPr>
          <w:rStyle w:val="FootnoteReference"/>
          <w:rFonts w:ascii="Times New Roman" w:hAnsi="Times New Roman" w:cs="Times New Roman"/>
        </w:rPr>
        <w:footnoteReference w:id="29"/>
      </w:r>
      <w:r>
        <w:rPr>
          <w:rFonts w:ascii="Times New Roman" w:hAnsi="Times New Roman" w:cs="Times New Roman"/>
        </w:rPr>
        <w:t>.</w:t>
      </w:r>
    </w:p>
    <w:p w14:paraId="6D4A57C9" w14:textId="77777777" w:rsidR="002120E3" w:rsidRPr="0064271C" w:rsidRDefault="002120E3" w:rsidP="000E0F53">
      <w:pPr>
        <w:pStyle w:val="Heading2"/>
      </w:pPr>
      <w:bookmarkStart w:id="8" w:name="_Toc390300604"/>
      <w:r w:rsidRPr="0064271C">
        <w:t xml:space="preserve">2.2. </w:t>
      </w:r>
      <w:r>
        <w:t>A typology of intent usage: d</w:t>
      </w:r>
      <w:r w:rsidRPr="0064271C">
        <w:t>isambiguation</w:t>
      </w:r>
      <w:r>
        <w:t xml:space="preserve"> v. corroboration</w:t>
      </w:r>
      <w:bookmarkEnd w:id="8"/>
      <w:r>
        <w:t xml:space="preserve"> </w:t>
      </w:r>
    </w:p>
    <w:p w14:paraId="5816ABD6" w14:textId="77777777" w:rsidR="002120E3" w:rsidRPr="008E6BF5" w:rsidRDefault="002120E3" w:rsidP="002120E3">
      <w:pPr>
        <w:jc w:val="both"/>
        <w:rPr>
          <w:rFonts w:ascii="Times New Roman" w:hAnsi="Times New Roman" w:cs="Times New Roman"/>
        </w:rPr>
      </w:pPr>
    </w:p>
    <w:p w14:paraId="78CB0748" w14:textId="75DEAA75" w:rsidR="002120E3" w:rsidRPr="008E6BF5" w:rsidRDefault="002120E3" w:rsidP="002120E3">
      <w:pPr>
        <w:jc w:val="both"/>
        <w:rPr>
          <w:rFonts w:ascii="Times New Roman" w:hAnsi="Times New Roman" w:cs="Times New Roman"/>
        </w:rPr>
      </w:pPr>
      <w:r>
        <w:rPr>
          <w:rFonts w:ascii="Times New Roman" w:hAnsi="Times New Roman" w:cs="Times New Roman"/>
        </w:rPr>
        <w:t xml:space="preserve">So far we have only seen early judgments addressing intent negatively, i.e. to (explicitly or implicitly) negate the relevance of intent; however, more recent cases identify two possible roles of intent as relevant consideration for the establishment of a violation of article 102 TFEU: </w:t>
      </w:r>
      <w:r w:rsidRPr="008E6BF5">
        <w:rPr>
          <w:rFonts w:ascii="Times New Roman" w:hAnsi="Times New Roman" w:cs="Times New Roman"/>
          <w:i/>
        </w:rPr>
        <w:t>AKZO</w:t>
      </w:r>
      <w:r w:rsidRPr="008E6BF5">
        <w:rPr>
          <w:rStyle w:val="FootnoteReference"/>
          <w:rFonts w:ascii="Times New Roman" w:hAnsi="Times New Roman" w:cs="Times New Roman"/>
        </w:rPr>
        <w:footnoteReference w:id="30"/>
      </w:r>
      <w:r>
        <w:rPr>
          <w:rFonts w:ascii="Times New Roman" w:hAnsi="Times New Roman" w:cs="Times New Roman"/>
        </w:rPr>
        <w:t xml:space="preserve"> laid out the distinction rather clearly.</w:t>
      </w:r>
      <w:r w:rsidR="00BC5B04">
        <w:rPr>
          <w:rFonts w:ascii="Times New Roman" w:hAnsi="Times New Roman" w:cs="Times New Roman"/>
        </w:rPr>
        <w:t xml:space="preserve"> </w:t>
      </w:r>
      <w:r w:rsidRPr="008E6BF5">
        <w:rPr>
          <w:rFonts w:ascii="Times New Roman" w:hAnsi="Times New Roman" w:cs="Times New Roman"/>
        </w:rPr>
        <w:t>Confronted with the need to distinguish between legitimate and anticompetitive below-cost pricing of the products (vitamins) sold by AKZO to the customers of a competitor (ECS), the Court accepted the Commission’s distinction between two different scenarios: one in which the exclusionary consequences of a price-cutting campaign by a dominant producer are so self-evident that no evidence of intention to eliminate a competitor is necessary; and another where the low pricing could be susceptible of several explanations, which may render it necessary to prove the existence of an intention to eliminate a competitor or restrict competition.</w:t>
      </w:r>
      <w:r>
        <w:rPr>
          <w:rFonts w:ascii="Times New Roman" w:hAnsi="Times New Roman" w:cs="Times New Roman"/>
        </w:rPr>
        <w:t xml:space="preserve"> In the latter cases, intent (be it subjective or objective) serves to separate the wheat from the chaff, i.e. to clarify the purpose of a conduct that displays ambiguous welfare effects. In the former hypothesis, proving intent is not </w:t>
      </w:r>
      <w:r w:rsidRPr="000352F5">
        <w:rPr>
          <w:rFonts w:ascii="Times New Roman" w:hAnsi="Times New Roman" w:cs="Times New Roman"/>
          <w:i/>
        </w:rPr>
        <w:t>necessary</w:t>
      </w:r>
      <w:r>
        <w:rPr>
          <w:rFonts w:ascii="Times New Roman" w:hAnsi="Times New Roman" w:cs="Times New Roman"/>
        </w:rPr>
        <w:t>, although it may be useful additional evidence to support the establishment of a violation.</w:t>
      </w:r>
    </w:p>
    <w:p w14:paraId="1FE34D7E" w14:textId="77777777" w:rsidR="002120E3" w:rsidRPr="008E6BF5" w:rsidRDefault="002120E3" w:rsidP="002120E3">
      <w:pPr>
        <w:jc w:val="both"/>
        <w:rPr>
          <w:rFonts w:ascii="Times New Roman" w:hAnsi="Times New Roman" w:cs="Times New Roman"/>
        </w:rPr>
      </w:pPr>
    </w:p>
    <w:p w14:paraId="6E20A9D2" w14:textId="77777777" w:rsidR="002120E3" w:rsidRPr="008E6BF5" w:rsidRDefault="002120E3" w:rsidP="002120E3">
      <w:pPr>
        <w:jc w:val="both"/>
        <w:rPr>
          <w:rFonts w:ascii="Times New Roman" w:hAnsi="Times New Roman" w:cs="Times New Roman"/>
        </w:rPr>
      </w:pPr>
      <w:r>
        <w:rPr>
          <w:rFonts w:ascii="Times New Roman" w:hAnsi="Times New Roman" w:cs="Times New Roman"/>
        </w:rPr>
        <w:t xml:space="preserve">The Court then famously operationalized those principles by setting up a presumption of predation for prices below average total costs, though requiring proof of a plan to eliminate a competitor for cases where prices are between </w:t>
      </w:r>
      <w:r w:rsidRPr="008E6BF5">
        <w:rPr>
          <w:rFonts w:ascii="Times New Roman" w:hAnsi="Times New Roman" w:cs="Times New Roman"/>
        </w:rPr>
        <w:t xml:space="preserve">average </w:t>
      </w:r>
      <w:r>
        <w:rPr>
          <w:rFonts w:ascii="Times New Roman" w:hAnsi="Times New Roman" w:cs="Times New Roman"/>
        </w:rPr>
        <w:t>variable</w:t>
      </w:r>
      <w:r w:rsidRPr="008E6BF5">
        <w:rPr>
          <w:rFonts w:ascii="Times New Roman" w:hAnsi="Times New Roman" w:cs="Times New Roman"/>
        </w:rPr>
        <w:t xml:space="preserve"> costs </w:t>
      </w:r>
      <w:r>
        <w:rPr>
          <w:rFonts w:ascii="Times New Roman" w:hAnsi="Times New Roman" w:cs="Times New Roman"/>
        </w:rPr>
        <w:t>and</w:t>
      </w:r>
      <w:r w:rsidRPr="008E6BF5">
        <w:rPr>
          <w:rFonts w:ascii="Times New Roman" w:hAnsi="Times New Roman" w:cs="Times New Roman"/>
        </w:rPr>
        <w:t xml:space="preserve"> average </w:t>
      </w:r>
      <w:r>
        <w:rPr>
          <w:rFonts w:ascii="Times New Roman" w:hAnsi="Times New Roman" w:cs="Times New Roman"/>
        </w:rPr>
        <w:t>total costs. It then sought to</w:t>
      </w:r>
      <w:r w:rsidRPr="008E6BF5">
        <w:rPr>
          <w:rFonts w:ascii="Times New Roman" w:hAnsi="Times New Roman" w:cs="Times New Roman"/>
        </w:rPr>
        <w:t xml:space="preserve"> prove the existence of </w:t>
      </w:r>
      <w:r>
        <w:rPr>
          <w:rFonts w:ascii="Times New Roman" w:hAnsi="Times New Roman" w:cs="Times New Roman"/>
        </w:rPr>
        <w:t xml:space="preserve">an </w:t>
      </w:r>
      <w:r w:rsidRPr="008E6BF5">
        <w:rPr>
          <w:rFonts w:ascii="Times New Roman" w:hAnsi="Times New Roman" w:cs="Times New Roman"/>
        </w:rPr>
        <w:t>intent</w:t>
      </w:r>
      <w:r>
        <w:rPr>
          <w:rFonts w:ascii="Times New Roman" w:hAnsi="Times New Roman" w:cs="Times New Roman"/>
        </w:rPr>
        <w:t>ion</w:t>
      </w:r>
      <w:r w:rsidRPr="008E6BF5">
        <w:rPr>
          <w:rFonts w:ascii="Times New Roman" w:hAnsi="Times New Roman" w:cs="Times New Roman"/>
        </w:rPr>
        <w:t xml:space="preserve"> to eliminate ECS by pointing to an internal document prepared by one of AKZO’s representatives showing that prices offered to one specific customer (Allied Mills) in January 1981 were established by calculating that they were </w:t>
      </w:r>
      <w:r>
        <w:rPr>
          <w:rFonts w:ascii="Times New Roman" w:hAnsi="Times New Roman" w:cs="Times New Roman"/>
        </w:rPr>
        <w:t>“</w:t>
      </w:r>
      <w:r w:rsidRPr="008E6BF5">
        <w:rPr>
          <w:rFonts w:ascii="Times New Roman" w:hAnsi="Times New Roman" w:cs="Times New Roman"/>
        </w:rPr>
        <w:t>well below</w:t>
      </w:r>
      <w:r>
        <w:rPr>
          <w:rFonts w:ascii="Times New Roman" w:hAnsi="Times New Roman" w:cs="Times New Roman"/>
        </w:rPr>
        <w:t>”</w:t>
      </w:r>
      <w:r w:rsidRPr="008E6BF5">
        <w:rPr>
          <w:rFonts w:ascii="Times New Roman" w:hAnsi="Times New Roman" w:cs="Times New Roman"/>
        </w:rPr>
        <w:t xml:space="preserve"> those charged to it by ECS. </w:t>
      </w:r>
      <w:r>
        <w:rPr>
          <w:rFonts w:ascii="Times New Roman" w:hAnsi="Times New Roman" w:cs="Times New Roman"/>
        </w:rPr>
        <w:t>To</w:t>
      </w:r>
      <w:r w:rsidRPr="008E6BF5">
        <w:rPr>
          <w:rFonts w:ascii="Times New Roman" w:hAnsi="Times New Roman" w:cs="Times New Roman"/>
        </w:rPr>
        <w:t xml:space="preserve"> the eyes of the Court, this showed that AKZO's intention was not solely to win the order, as otherwise it would have simply reduced its prices to the (lesser) extent necessary for that purpose, and not by such greater margin. Furthermore, that was to be seen in the context of prior meetings between AKZO and ECS where AKZO threatened to sell flour additives below its production costs if ECS continued to sell benzoyl peroxide, which led to ECS applying for an injunction before the London High Court to prohibit AKZO from implementing the threats. In that light, the Court considered that by quoting to Allied Mills prices that </w:t>
      </w:r>
      <w:r>
        <w:rPr>
          <w:rFonts w:ascii="Times New Roman" w:hAnsi="Times New Roman" w:cs="Times New Roman"/>
        </w:rPr>
        <w:t>were calculated on the basis of</w:t>
      </w:r>
      <w:r w:rsidRPr="008E6BF5">
        <w:rPr>
          <w:rFonts w:ascii="Times New Roman" w:hAnsi="Times New Roman" w:cs="Times New Roman"/>
        </w:rPr>
        <w:t xml:space="preserve"> those offered by ECS to a similar customer, AKZO revealed an </w:t>
      </w:r>
      <w:r w:rsidRPr="0030024A">
        <w:rPr>
          <w:rFonts w:ascii="Times New Roman" w:hAnsi="Times New Roman" w:cs="Times New Roman"/>
          <w:i/>
        </w:rPr>
        <w:t>aim</w:t>
      </w:r>
      <w:r w:rsidRPr="008E6BF5">
        <w:rPr>
          <w:rFonts w:ascii="Times New Roman" w:hAnsi="Times New Roman" w:cs="Times New Roman"/>
        </w:rPr>
        <w:t xml:space="preserve"> to set its prices at the lowest level possible without infringing the commitment made to the London High Court (that is, well below ECS’s costs but above AKZO’s average total costs)</w:t>
      </w:r>
      <w:r w:rsidRPr="008E6BF5">
        <w:rPr>
          <w:rStyle w:val="FootnoteReference"/>
          <w:rFonts w:ascii="Times New Roman" w:hAnsi="Times New Roman" w:cs="Times New Roman"/>
        </w:rPr>
        <w:footnoteReference w:id="31"/>
      </w:r>
      <w:r w:rsidRPr="008E6BF5">
        <w:rPr>
          <w:rFonts w:ascii="Times New Roman" w:hAnsi="Times New Roman" w:cs="Times New Roman"/>
        </w:rPr>
        <w:t xml:space="preserve">. </w:t>
      </w:r>
      <w:r>
        <w:rPr>
          <w:rFonts w:ascii="Times New Roman" w:hAnsi="Times New Roman" w:cs="Times New Roman"/>
        </w:rPr>
        <w:t xml:space="preserve">In other words, documentary evidence was indicative of </w:t>
      </w:r>
      <w:r w:rsidRPr="00041115">
        <w:rPr>
          <w:rFonts w:ascii="Times New Roman" w:hAnsi="Times New Roman" w:cs="Times New Roman"/>
        </w:rPr>
        <w:t>a subjective intent</w:t>
      </w:r>
      <w:r>
        <w:rPr>
          <w:rFonts w:ascii="Times New Roman" w:hAnsi="Times New Roman" w:cs="Times New Roman"/>
        </w:rPr>
        <w:t xml:space="preserve"> not simply to maximize profits, but (given AKZO’s likely awareness of the consequences of their price-cutting</w:t>
      </w:r>
      <w:r>
        <w:rPr>
          <w:rStyle w:val="FootnoteReference"/>
          <w:rFonts w:ascii="Times New Roman" w:hAnsi="Times New Roman" w:cs="Times New Roman"/>
        </w:rPr>
        <w:footnoteReference w:id="32"/>
      </w:r>
      <w:r>
        <w:rPr>
          <w:rFonts w:ascii="Times New Roman" w:hAnsi="Times New Roman" w:cs="Times New Roman"/>
        </w:rPr>
        <w:t>) to eliminate competitor ECS from the market.</w:t>
      </w:r>
    </w:p>
    <w:p w14:paraId="761FCF54" w14:textId="77777777" w:rsidR="002120E3" w:rsidRPr="008E6BF5" w:rsidRDefault="002120E3" w:rsidP="002120E3">
      <w:pPr>
        <w:jc w:val="both"/>
        <w:rPr>
          <w:rFonts w:ascii="Times New Roman" w:hAnsi="Times New Roman" w:cs="Times New Roman"/>
        </w:rPr>
      </w:pPr>
    </w:p>
    <w:p w14:paraId="3D61B50A" w14:textId="1E2FD8E5" w:rsidR="002120E3" w:rsidRPr="00D804F1" w:rsidRDefault="002120E3" w:rsidP="002120E3">
      <w:pPr>
        <w:jc w:val="both"/>
        <w:rPr>
          <w:rFonts w:ascii="Times New Roman" w:eastAsia="Times New Roman" w:hAnsi="Times New Roman" w:cs="Times New Roman"/>
        </w:rPr>
      </w:pPr>
      <w:r w:rsidRPr="008E6BF5">
        <w:rPr>
          <w:rFonts w:ascii="Times New Roman" w:hAnsi="Times New Roman" w:cs="Times New Roman"/>
        </w:rPr>
        <w:t xml:space="preserve">A similar situation presented itself in </w:t>
      </w:r>
      <w:r w:rsidRPr="008E6BF5">
        <w:rPr>
          <w:rFonts w:ascii="Times New Roman" w:hAnsi="Times New Roman" w:cs="Times New Roman"/>
          <w:i/>
        </w:rPr>
        <w:t>Tetra Pak II</w:t>
      </w:r>
      <w:r w:rsidRPr="008E6BF5">
        <w:rPr>
          <w:rStyle w:val="FootnoteReference"/>
          <w:rFonts w:ascii="Times New Roman" w:hAnsi="Times New Roman" w:cs="Times New Roman"/>
          <w:i/>
        </w:rPr>
        <w:footnoteReference w:id="33"/>
      </w:r>
      <w:r>
        <w:rPr>
          <w:rFonts w:ascii="Times New Roman" w:hAnsi="Times New Roman" w:cs="Times New Roman"/>
        </w:rPr>
        <w:t>, another case concerning</w:t>
      </w:r>
      <w:r w:rsidRPr="008E6BF5">
        <w:rPr>
          <w:rFonts w:ascii="Times New Roman" w:hAnsi="Times New Roman" w:cs="Times New Roman"/>
        </w:rPr>
        <w:t xml:space="preserve"> predation where the Commission </w:t>
      </w:r>
      <w:r>
        <w:rPr>
          <w:rFonts w:ascii="Times New Roman" w:hAnsi="Times New Roman" w:cs="Times New Roman"/>
        </w:rPr>
        <w:t>sought to prove what it called</w:t>
      </w:r>
      <w:r w:rsidRPr="008E6BF5">
        <w:rPr>
          <w:rFonts w:ascii="Times New Roman" w:hAnsi="Times New Roman" w:cs="Times New Roman"/>
        </w:rPr>
        <w:t xml:space="preserve"> “eliminatory intent” </w:t>
      </w:r>
      <w:r>
        <w:rPr>
          <w:rFonts w:ascii="Times New Roman" w:hAnsi="Times New Roman" w:cs="Times New Roman"/>
        </w:rPr>
        <w:t>to corroborate</w:t>
      </w:r>
      <w:r w:rsidRPr="008E6BF5">
        <w:rPr>
          <w:rFonts w:ascii="Times New Roman" w:hAnsi="Times New Roman" w:cs="Times New Roman"/>
        </w:rPr>
        <w:t xml:space="preserve"> the finding that prices </w:t>
      </w:r>
      <w:r>
        <w:rPr>
          <w:rFonts w:ascii="Times New Roman" w:hAnsi="Times New Roman" w:cs="Times New Roman"/>
        </w:rPr>
        <w:t>below average total</w:t>
      </w:r>
      <w:r w:rsidRPr="008E6BF5">
        <w:rPr>
          <w:rFonts w:ascii="Times New Roman" w:hAnsi="Times New Roman" w:cs="Times New Roman"/>
        </w:rPr>
        <w:t xml:space="preserve"> costs amounted to predation.  Here, the </w:t>
      </w:r>
      <w:r>
        <w:rPr>
          <w:rFonts w:ascii="Times New Roman" w:hAnsi="Times New Roman" w:cs="Times New Roman"/>
        </w:rPr>
        <w:t>Court of First Instance (CFI)</w:t>
      </w:r>
      <w:r w:rsidRPr="008E6BF5">
        <w:rPr>
          <w:rFonts w:ascii="Times New Roman" w:hAnsi="Times New Roman" w:cs="Times New Roman"/>
        </w:rPr>
        <w:t xml:space="preserve"> placed importance on the magnitude of the differences of prices of Tetra Rex cartons in Italy compared to other Member States (20 to 50%</w:t>
      </w:r>
      <w:r>
        <w:rPr>
          <w:rFonts w:ascii="Times New Roman" w:hAnsi="Times New Roman" w:cs="Times New Roman"/>
        </w:rPr>
        <w:t>), which gave rise to a presumption of the existence of a predatory plan.  Furthermore</w:t>
      </w:r>
      <w:r w:rsidRPr="008E6BF5">
        <w:rPr>
          <w:rFonts w:ascii="Times New Roman" w:hAnsi="Times New Roman" w:cs="Times New Roman"/>
        </w:rPr>
        <w:t xml:space="preserve">, </w:t>
      </w:r>
      <w:r>
        <w:rPr>
          <w:rFonts w:ascii="Times New Roman" w:hAnsi="Times New Roman" w:cs="Times New Roman"/>
        </w:rPr>
        <w:t>the Court found that presumption consistent</w:t>
      </w:r>
      <w:r w:rsidRPr="008E6BF5">
        <w:rPr>
          <w:rFonts w:ascii="Times New Roman" w:hAnsi="Times New Roman" w:cs="Times New Roman"/>
        </w:rPr>
        <w:t xml:space="preserve"> with the </w:t>
      </w:r>
      <w:r>
        <w:rPr>
          <w:rFonts w:ascii="Times New Roman" w:hAnsi="Times New Roman" w:cs="Times New Roman"/>
        </w:rPr>
        <w:t xml:space="preserve">content of the </w:t>
      </w:r>
      <w:r w:rsidRPr="008E6BF5">
        <w:rPr>
          <w:rFonts w:ascii="Times New Roman" w:hAnsi="Times New Roman" w:cs="Times New Roman"/>
        </w:rPr>
        <w:t xml:space="preserve">reports </w:t>
      </w:r>
      <w:r w:rsidRPr="008E6BF5">
        <w:rPr>
          <w:rFonts w:ascii="Times New Roman" w:eastAsia="Times New Roman" w:hAnsi="Times New Roman" w:cs="Times New Roman"/>
        </w:rPr>
        <w:t>of Tetra Pak Italiana's board of directors of 1979 and 1980, which referred to the need to make major financial sacrifices in the area of prices and supply terms in order to fight competition (in particular, from the target of the predation in question –Pure Pak)</w:t>
      </w:r>
      <w:r w:rsidRPr="008E6BF5">
        <w:rPr>
          <w:rStyle w:val="FootnoteReference"/>
          <w:rFonts w:ascii="Times New Roman" w:eastAsia="Times New Roman" w:hAnsi="Times New Roman" w:cs="Times New Roman"/>
        </w:rPr>
        <w:footnoteReference w:id="34"/>
      </w:r>
      <w:r w:rsidRPr="008E6BF5">
        <w:rPr>
          <w:rFonts w:ascii="Times New Roman" w:eastAsia="Times New Roman" w:hAnsi="Times New Roman" w:cs="Times New Roman"/>
        </w:rPr>
        <w:t xml:space="preserve">. </w:t>
      </w:r>
      <w:r>
        <w:rPr>
          <w:rFonts w:ascii="Times New Roman" w:eastAsia="Times New Roman" w:hAnsi="Times New Roman" w:cs="Times New Roman"/>
        </w:rPr>
        <w:t xml:space="preserve">This case thus stands as </w:t>
      </w:r>
      <w:r w:rsidR="00BC5B04">
        <w:rPr>
          <w:rFonts w:ascii="Times New Roman" w:eastAsia="Times New Roman" w:hAnsi="Times New Roman" w:cs="Times New Roman"/>
        </w:rPr>
        <w:t>an</w:t>
      </w:r>
      <w:r>
        <w:rPr>
          <w:rFonts w:ascii="Times New Roman" w:eastAsia="Times New Roman" w:hAnsi="Times New Roman" w:cs="Times New Roman"/>
        </w:rPr>
        <w:t xml:space="preserve"> illustration of the fact that subjective and objective intent are often applied in parallel, reinforcing each other’s value. Obviously, the theoretical danger with parallel application is that of improper conflation: it would be problematic if antitrust analysis extrapolated from an utterance by a company’s manager or even a non-qualified employee an</w:t>
      </w:r>
      <w:r w:rsidRPr="00DA2470">
        <w:rPr>
          <w:rFonts w:ascii="Times New Roman" w:eastAsia="Times New Roman" w:hAnsi="Times New Roman" w:cs="Times New Roman"/>
        </w:rPr>
        <w:t xml:space="preserve"> intent to eliminate competition </w:t>
      </w:r>
      <w:r>
        <w:rPr>
          <w:rFonts w:ascii="Times New Roman" w:eastAsia="Times New Roman" w:hAnsi="Times New Roman" w:cs="Times New Roman"/>
        </w:rPr>
        <w:t>when the evidence clearly suggests that the company’s conduct is justified or even pro-competitive</w:t>
      </w:r>
      <w:r w:rsidRPr="00DA2470">
        <w:rPr>
          <w:rStyle w:val="FootnoteReference"/>
          <w:rFonts w:ascii="Times New Roman" w:eastAsia="Times New Roman" w:hAnsi="Times New Roman" w:cs="Times New Roman"/>
        </w:rPr>
        <w:footnoteReference w:id="35"/>
      </w:r>
      <w:r w:rsidRPr="00DA2470">
        <w:rPr>
          <w:rFonts w:ascii="Times New Roman" w:eastAsia="Times New Roman" w:hAnsi="Times New Roman" w:cs="Times New Roman"/>
        </w:rPr>
        <w:t xml:space="preserve">. </w:t>
      </w:r>
      <w:r>
        <w:rPr>
          <w:rFonts w:ascii="Times New Roman" w:eastAsia="Times New Roman" w:hAnsi="Times New Roman" w:cs="Times New Roman"/>
        </w:rPr>
        <w:t xml:space="preserve">This risk of confusion </w:t>
      </w:r>
      <w:r w:rsidRPr="00D804F1">
        <w:rPr>
          <w:rFonts w:ascii="Times New Roman" w:eastAsia="Times New Roman" w:hAnsi="Times New Roman" w:cs="Times New Roman"/>
        </w:rPr>
        <w:t>should in principle be minimized by the duty of the EU institutions to look at the evidence as a whole</w:t>
      </w:r>
      <w:r>
        <w:rPr>
          <w:rStyle w:val="FootnoteReference"/>
          <w:rFonts w:ascii="Times New Roman" w:eastAsia="Times New Roman" w:hAnsi="Times New Roman" w:cs="Times New Roman"/>
        </w:rPr>
        <w:footnoteReference w:id="36"/>
      </w:r>
      <w:r w:rsidRPr="00D804F1">
        <w:rPr>
          <w:rFonts w:ascii="Times New Roman" w:eastAsia="Times New Roman" w:hAnsi="Times New Roman" w:cs="Times New Roman"/>
        </w:rPr>
        <w:t xml:space="preserve"> </w:t>
      </w:r>
      <w:r>
        <w:rPr>
          <w:rFonts w:ascii="Times New Roman" w:eastAsia="Times New Roman" w:hAnsi="Times New Roman" w:cs="Times New Roman"/>
        </w:rPr>
        <w:t>and sustain only a finding of illegality based on a</w:t>
      </w:r>
      <w:r w:rsidRPr="00D804F1">
        <w:rPr>
          <w:rFonts w:ascii="Times New Roman" w:eastAsia="Times New Roman" w:hAnsi="Times New Roman" w:cs="Times New Roman"/>
        </w:rPr>
        <w:t xml:space="preserve"> firm, precise and consistent body of evidence</w:t>
      </w:r>
      <w:r w:rsidRPr="00D804F1">
        <w:rPr>
          <w:rStyle w:val="FootnoteReference"/>
          <w:rFonts w:ascii="Times New Roman" w:eastAsia="Times New Roman" w:hAnsi="Times New Roman" w:cs="Times New Roman"/>
        </w:rPr>
        <w:footnoteReference w:id="37"/>
      </w:r>
      <w:r>
        <w:rPr>
          <w:rFonts w:ascii="Times New Roman" w:eastAsia="Times New Roman" w:hAnsi="Times New Roman" w:cs="Times New Roman"/>
        </w:rPr>
        <w:t xml:space="preserve">; nevertheless, the existence of this danger highlights the opportunity of rationalization of key principles from cases in which the role of intent is specifically recognized by the applicable legal standard.  </w:t>
      </w:r>
    </w:p>
    <w:p w14:paraId="686B0D48" w14:textId="77777777" w:rsidR="002120E3" w:rsidRPr="008E6BF5" w:rsidRDefault="002120E3" w:rsidP="002120E3">
      <w:pPr>
        <w:jc w:val="both"/>
        <w:rPr>
          <w:rFonts w:ascii="Times New Roman" w:eastAsia="Times New Roman" w:hAnsi="Times New Roman" w:cs="Times New Roman"/>
        </w:rPr>
      </w:pPr>
    </w:p>
    <w:p w14:paraId="6DE97C63" w14:textId="0C1D63CB" w:rsidR="002120E3" w:rsidRPr="00E46F20" w:rsidRDefault="002120E3" w:rsidP="002120E3">
      <w:pPr>
        <w:jc w:val="both"/>
        <w:rPr>
          <w:rFonts w:ascii="Times New Roman" w:eastAsia="Times New Roman" w:hAnsi="Times New Roman" w:cs="Times New Roman"/>
          <w:sz w:val="20"/>
          <w:szCs w:val="20"/>
        </w:rPr>
      </w:pPr>
      <w:r>
        <w:rPr>
          <w:rFonts w:ascii="Times New Roman" w:hAnsi="Times New Roman" w:cs="Times New Roman"/>
        </w:rPr>
        <w:t>Another</w:t>
      </w:r>
      <w:r w:rsidRPr="008E6BF5">
        <w:rPr>
          <w:rFonts w:ascii="Times New Roman" w:hAnsi="Times New Roman" w:cs="Times New Roman"/>
        </w:rPr>
        <w:t xml:space="preserve"> judgment that discussed intent</w:t>
      </w:r>
      <w:r>
        <w:rPr>
          <w:rFonts w:ascii="Times New Roman" w:hAnsi="Times New Roman" w:cs="Times New Roman"/>
        </w:rPr>
        <w:t xml:space="preserve"> as a criterion of disambiguation with precompetitive conduct </w:t>
      </w:r>
      <w:r w:rsidRPr="008E6BF5">
        <w:rPr>
          <w:rFonts w:ascii="Times New Roman" w:hAnsi="Times New Roman" w:cs="Times New Roman"/>
        </w:rPr>
        <w:t>was</w:t>
      </w:r>
      <w:r>
        <w:rPr>
          <w:rFonts w:ascii="Times New Roman" w:hAnsi="Times New Roman" w:cs="Times New Roman"/>
        </w:rPr>
        <w:t xml:space="preserve"> </w:t>
      </w:r>
      <w:r w:rsidR="00BC5B04">
        <w:rPr>
          <w:rFonts w:ascii="Times New Roman" w:hAnsi="Times New Roman" w:cs="Times New Roman"/>
        </w:rPr>
        <w:t xml:space="preserve">the </w:t>
      </w:r>
      <w:r>
        <w:rPr>
          <w:rFonts w:ascii="Times New Roman" w:hAnsi="Times New Roman" w:cs="Times New Roman"/>
        </w:rPr>
        <w:t>CFI’s</w:t>
      </w:r>
      <w:r w:rsidRPr="008E6BF5">
        <w:rPr>
          <w:rFonts w:ascii="Times New Roman" w:hAnsi="Times New Roman" w:cs="Times New Roman"/>
        </w:rPr>
        <w:t xml:space="preserve"> </w:t>
      </w:r>
      <w:r>
        <w:rPr>
          <w:rFonts w:ascii="Times New Roman" w:hAnsi="Times New Roman" w:cs="Times New Roman"/>
          <w:i/>
        </w:rPr>
        <w:t>Compagnie Maritime Belge</w:t>
      </w:r>
      <w:bookmarkStart w:id="9" w:name="_Ref390111674"/>
      <w:r w:rsidRPr="008E6BF5">
        <w:rPr>
          <w:rStyle w:val="FootnoteReference"/>
          <w:rFonts w:ascii="Times New Roman" w:hAnsi="Times New Roman" w:cs="Times New Roman"/>
        </w:rPr>
        <w:footnoteReference w:id="38"/>
      </w:r>
      <w:bookmarkEnd w:id="9"/>
      <w:r>
        <w:rPr>
          <w:rFonts w:ascii="Times New Roman" w:hAnsi="Times New Roman" w:cs="Times New Roman"/>
        </w:rPr>
        <w:t>. This case concerned</w:t>
      </w:r>
      <w:r w:rsidRPr="008E6BF5">
        <w:rPr>
          <w:rFonts w:ascii="Times New Roman" w:hAnsi="Times New Roman" w:cs="Times New Roman"/>
        </w:rPr>
        <w:t xml:space="preserve"> a joint dominant position by Compagnie Maritime Belge and other members </w:t>
      </w:r>
      <w:r w:rsidRPr="00066A6F">
        <w:rPr>
          <w:rFonts w:ascii="Times New Roman" w:hAnsi="Times New Roman" w:cs="Times New Roman"/>
        </w:rPr>
        <w:t>of a liner conference</w:t>
      </w:r>
      <w:r>
        <w:rPr>
          <w:rFonts w:ascii="Times New Roman" w:hAnsi="Times New Roman" w:cs="Times New Roman"/>
        </w:rPr>
        <w:t xml:space="preserve"> who had put in place a series of practices of selective price-cutting (known as “fighting ships”) then deemed by the Commission to be indicative of a plan to eliminate a particular competitor (G&amp;C)</w:t>
      </w:r>
      <w:r w:rsidRPr="00066A6F">
        <w:rPr>
          <w:rFonts w:ascii="Times New Roman" w:hAnsi="Times New Roman" w:cs="Times New Roman"/>
        </w:rPr>
        <w:t xml:space="preserve">. </w:t>
      </w:r>
      <w:r>
        <w:rPr>
          <w:rFonts w:ascii="Times New Roman" w:hAnsi="Times New Roman" w:cs="Times New Roman"/>
        </w:rPr>
        <w:t xml:space="preserve">In the words of the CJEU, this is because </w:t>
      </w:r>
      <w:r w:rsidRPr="00EE3935">
        <w:rPr>
          <w:rFonts w:ascii="Times New Roman" w:hAnsi="Times New Roman" w:cs="Times New Roman"/>
        </w:rPr>
        <w:t>where a liner conference in a dominant position selectively cuts its prices in order deliberately</w:t>
      </w:r>
      <w:r>
        <w:rPr>
          <w:rFonts w:ascii="Times New Roman" w:hAnsi="Times New Roman" w:cs="Times New Roman"/>
        </w:rPr>
        <w:t xml:space="preserve"> to match those of a competitor</w:t>
      </w:r>
      <w:r w:rsidRPr="00EE3935">
        <w:rPr>
          <w:rFonts w:ascii="Times New Roman" w:hAnsi="Times New Roman" w:cs="Times New Roman"/>
        </w:rPr>
        <w:t xml:space="preserve"> it </w:t>
      </w:r>
      <w:r>
        <w:rPr>
          <w:rFonts w:ascii="Times New Roman" w:hAnsi="Times New Roman" w:cs="Times New Roman"/>
        </w:rPr>
        <w:t xml:space="preserve">derives the </w:t>
      </w:r>
      <w:r w:rsidRPr="00EE3935">
        <w:rPr>
          <w:rFonts w:ascii="Times New Roman" w:hAnsi="Times New Roman" w:cs="Times New Roman"/>
        </w:rPr>
        <w:t>dual benefit</w:t>
      </w:r>
      <w:r>
        <w:rPr>
          <w:rFonts w:ascii="Times New Roman" w:hAnsi="Times New Roman" w:cs="Times New Roman"/>
        </w:rPr>
        <w:t xml:space="preserve"> of eliminating a competitor in the liner shipping market, and continue to charge high prices for the services not threatened by competition</w:t>
      </w:r>
      <w:r>
        <w:rPr>
          <w:rStyle w:val="FootnoteReference"/>
          <w:rFonts w:ascii="Times New Roman" w:hAnsi="Times New Roman" w:cs="Times New Roman"/>
        </w:rPr>
        <w:footnoteReference w:id="39"/>
      </w:r>
      <w:r w:rsidRPr="00EE3935">
        <w:rPr>
          <w:rFonts w:ascii="Times New Roman" w:hAnsi="Times New Roman" w:cs="Times New Roman"/>
        </w:rPr>
        <w:t xml:space="preserve">. </w:t>
      </w:r>
      <w:r w:rsidRPr="00066A6F">
        <w:rPr>
          <w:rFonts w:ascii="Times New Roman" w:hAnsi="Times New Roman" w:cs="Times New Roman"/>
        </w:rPr>
        <w:t>What is peculiar of this judgment is that</w:t>
      </w:r>
      <w:r>
        <w:rPr>
          <w:rFonts w:ascii="Times New Roman" w:hAnsi="Times New Roman" w:cs="Times New Roman"/>
        </w:rPr>
        <w:t xml:space="preserve"> despite the absence of specific legal recognition (it was not a predatory pricing case), intent was crucial to establish a violation. The Commission did not simply rely on objective intent established from evidence of a price-matching pattern, but also found in internal documents references to “getting rid” of the independent shipping operation and the use of the term “fighting ships” which was allegedly understood in the industry as indicating that particular kind of practice. On appeal to the Commission’s decision, the CFI approved the evidence on </w:t>
      </w:r>
      <w:r w:rsidRPr="00E46F20">
        <w:rPr>
          <w:rFonts w:ascii="Times New Roman" w:hAnsi="Times New Roman" w:cs="Times New Roman"/>
        </w:rPr>
        <w:t>all counts, and rejected the relevance of the data presented by the defendant that G&amp;C’s market share had actually increased during the period of the alleged practice. It argued that “where one or more undertakings in a dominant position actually implement a practice whose aim is to remove a competitor, the fact that the result sought is not achieved is not enough to avoid the practice bei</w:t>
      </w:r>
      <w:r>
        <w:rPr>
          <w:rFonts w:ascii="Times New Roman" w:hAnsi="Times New Roman" w:cs="Times New Roman"/>
        </w:rPr>
        <w:t>ng characterized as an abuse”</w:t>
      </w:r>
      <w:r>
        <w:rPr>
          <w:rStyle w:val="FootnoteReference"/>
          <w:rFonts w:ascii="Times New Roman" w:hAnsi="Times New Roman" w:cs="Times New Roman"/>
        </w:rPr>
        <w:footnoteReference w:id="40"/>
      </w:r>
      <w:r>
        <w:rPr>
          <w:rFonts w:ascii="Times New Roman" w:hAnsi="Times New Roman" w:cs="Times New Roman"/>
        </w:rPr>
        <w:t xml:space="preserve">. </w:t>
      </w:r>
      <w:r w:rsidRPr="00E46F20">
        <w:rPr>
          <w:rFonts w:ascii="Times New Roman" w:eastAsia="Times New Roman" w:hAnsi="Times New Roman" w:cs="Times New Roman"/>
        </w:rPr>
        <w:t xml:space="preserve">The Court did not provide any circumstantiation to that statement, which is unfortunate given the risk of it </w:t>
      </w:r>
      <w:r w:rsidR="00BC5B04">
        <w:rPr>
          <w:rFonts w:ascii="Times New Roman" w:eastAsia="Times New Roman" w:hAnsi="Times New Roman" w:cs="Times New Roman"/>
        </w:rPr>
        <w:t>being</w:t>
      </w:r>
      <w:r w:rsidRPr="00E46F20">
        <w:rPr>
          <w:rFonts w:ascii="Times New Roman" w:eastAsia="Times New Roman" w:hAnsi="Times New Roman" w:cs="Times New Roman"/>
        </w:rPr>
        <w:t xml:space="preserve"> a slippery slope for the use of intent. Even if one were to accept the concept of an abuse “by object”, it </w:t>
      </w:r>
      <w:r>
        <w:rPr>
          <w:rFonts w:ascii="Times New Roman" w:eastAsia="Times New Roman" w:hAnsi="Times New Roman" w:cs="Times New Roman"/>
        </w:rPr>
        <w:t>appears crucial</w:t>
      </w:r>
      <w:r w:rsidRPr="00E46F20">
        <w:rPr>
          <w:rFonts w:ascii="Times New Roman" w:eastAsia="Times New Roman" w:hAnsi="Times New Roman" w:cs="Times New Roman"/>
        </w:rPr>
        <w:t xml:space="preserve"> to ensure that, much like in</w:t>
      </w:r>
      <w:r>
        <w:rPr>
          <w:rFonts w:ascii="Times New Roman" w:eastAsia="Times New Roman" w:hAnsi="Times New Roman" w:cs="Times New Roman"/>
        </w:rPr>
        <w:t xml:space="preserve"> the case of article 101, such category </w:t>
      </w:r>
      <w:r w:rsidRPr="00E46F20">
        <w:rPr>
          <w:rFonts w:ascii="Times New Roman" w:eastAsia="Times New Roman" w:hAnsi="Times New Roman" w:cs="Times New Roman"/>
        </w:rPr>
        <w:t xml:space="preserve">identifies a specific set of practices </w:t>
      </w:r>
      <w:r w:rsidRPr="00E46F20">
        <w:rPr>
          <w:rFonts w:ascii="Times New Roman" w:eastAsia="Times New Roman" w:hAnsi="Times New Roman" w:cs="Times New Roman"/>
          <w:shd w:val="clear" w:color="auto" w:fill="FFFFFF"/>
        </w:rPr>
        <w:t>whose harmful nature is proven and easily identifiable, in the light of experience and economics</w:t>
      </w:r>
      <w:r w:rsidRPr="00E46F20">
        <w:rPr>
          <w:rStyle w:val="FootnoteReference"/>
          <w:rFonts w:ascii="Times New Roman" w:eastAsia="Times New Roman" w:hAnsi="Times New Roman" w:cs="Times New Roman"/>
          <w:sz w:val="27"/>
          <w:szCs w:val="27"/>
          <w:shd w:val="clear" w:color="auto" w:fill="FFFFFF"/>
        </w:rPr>
        <w:footnoteReference w:id="41"/>
      </w:r>
      <w:r w:rsidRPr="00E46F20">
        <w:rPr>
          <w:rFonts w:ascii="Times New Roman" w:eastAsia="Times New Roman" w:hAnsi="Times New Roman" w:cs="Times New Roman"/>
          <w:sz w:val="27"/>
          <w:szCs w:val="27"/>
          <w:shd w:val="clear" w:color="auto" w:fill="FFFFFF"/>
        </w:rPr>
        <w:t xml:space="preserve">. </w:t>
      </w:r>
      <w:r w:rsidRPr="00E46F20">
        <w:rPr>
          <w:rFonts w:ascii="Times New Roman" w:eastAsia="Times New Roman" w:hAnsi="Times New Roman" w:cs="Times New Roman"/>
          <w:sz w:val="20"/>
          <w:szCs w:val="20"/>
        </w:rPr>
        <w:t xml:space="preserve"> </w:t>
      </w:r>
      <w:r w:rsidRPr="00E46F20">
        <w:rPr>
          <w:rFonts w:ascii="Times New Roman" w:eastAsia="Times New Roman" w:hAnsi="Times New Roman" w:cs="Times New Roman"/>
        </w:rPr>
        <w:t>Regrettably, this sweeping characterization of “by object” abuse was not rectified as the CJEU upheld the judgment in its substantive part</w:t>
      </w:r>
      <w:r w:rsidRPr="00E46F20">
        <w:rPr>
          <w:rStyle w:val="FootnoteReference"/>
          <w:rFonts w:ascii="Times New Roman" w:eastAsia="Times New Roman" w:hAnsi="Times New Roman" w:cs="Times New Roman"/>
        </w:rPr>
        <w:footnoteReference w:id="42"/>
      </w:r>
      <w:r w:rsidRPr="00E46F20">
        <w:rPr>
          <w:rFonts w:ascii="Times New Roman" w:eastAsia="Times New Roman" w:hAnsi="Times New Roman" w:cs="Times New Roman"/>
        </w:rPr>
        <w:t>.</w:t>
      </w:r>
    </w:p>
    <w:p w14:paraId="3155DE1F" w14:textId="77777777" w:rsidR="002120E3" w:rsidRPr="008E6BF5" w:rsidRDefault="002120E3" w:rsidP="002120E3">
      <w:pPr>
        <w:jc w:val="both"/>
        <w:rPr>
          <w:rFonts w:ascii="Times New Roman" w:hAnsi="Times New Roman" w:cs="Times New Roman"/>
        </w:rPr>
      </w:pPr>
    </w:p>
    <w:p w14:paraId="4637245A" w14:textId="66AEFFC3" w:rsidR="002120E3" w:rsidRPr="00365553" w:rsidRDefault="002120E3" w:rsidP="002120E3">
      <w:pPr>
        <w:jc w:val="both"/>
        <w:rPr>
          <w:rFonts w:ascii="Times New Roman" w:eastAsia="Times New Roman" w:hAnsi="Times New Roman" w:cs="Times New Roman"/>
          <w:bCs/>
          <w:shd w:val="clear" w:color="auto" w:fill="FFFFFF"/>
        </w:rPr>
      </w:pPr>
      <w:r w:rsidRPr="008E6BF5">
        <w:rPr>
          <w:rFonts w:ascii="Times New Roman" w:hAnsi="Times New Roman" w:cs="Times New Roman"/>
          <w:i/>
        </w:rPr>
        <w:t>France Telecom</w:t>
      </w:r>
      <w:bookmarkStart w:id="10" w:name="_Ref389949740"/>
      <w:r>
        <w:rPr>
          <w:rStyle w:val="FootnoteReference"/>
          <w:rFonts w:ascii="Times New Roman" w:hAnsi="Times New Roman" w:cs="Times New Roman"/>
          <w:i/>
        </w:rPr>
        <w:footnoteReference w:id="43"/>
      </w:r>
      <w:bookmarkEnd w:id="10"/>
      <w:r>
        <w:rPr>
          <w:rFonts w:ascii="Times New Roman" w:hAnsi="Times New Roman" w:cs="Times New Roman"/>
        </w:rPr>
        <w:t xml:space="preserve"> is perhaps the most controversial judgment in this area, which</w:t>
      </w:r>
      <w:r w:rsidRPr="008E6BF5">
        <w:rPr>
          <w:rFonts w:ascii="Times New Roman" w:hAnsi="Times New Roman" w:cs="Times New Roman"/>
        </w:rPr>
        <w:t xml:space="preserve"> can </w:t>
      </w:r>
      <w:r>
        <w:rPr>
          <w:rFonts w:ascii="Times New Roman" w:hAnsi="Times New Roman" w:cs="Times New Roman"/>
        </w:rPr>
        <w:t xml:space="preserve">be singled out for a confusing </w:t>
      </w:r>
      <w:r w:rsidRPr="008E6BF5">
        <w:rPr>
          <w:rFonts w:ascii="Times New Roman" w:hAnsi="Times New Roman" w:cs="Times New Roman"/>
        </w:rPr>
        <w:t xml:space="preserve">use of the word “intent”. </w:t>
      </w:r>
      <w:r w:rsidR="00BC5B04">
        <w:rPr>
          <w:rFonts w:ascii="Times New Roman" w:hAnsi="Times New Roman" w:cs="Times New Roman"/>
        </w:rPr>
        <w:t>O</w:t>
      </w:r>
      <w:r w:rsidRPr="008E6BF5">
        <w:rPr>
          <w:rFonts w:ascii="Times New Roman" w:hAnsi="Times New Roman" w:cs="Times New Roman"/>
        </w:rPr>
        <w:t>nce again</w:t>
      </w:r>
      <w:r w:rsidR="00BC5B04">
        <w:rPr>
          <w:rFonts w:ascii="Times New Roman" w:hAnsi="Times New Roman" w:cs="Times New Roman"/>
        </w:rPr>
        <w:t>, it was</w:t>
      </w:r>
      <w:r w:rsidRPr="008E6BF5">
        <w:rPr>
          <w:rFonts w:ascii="Times New Roman" w:hAnsi="Times New Roman" w:cs="Times New Roman"/>
        </w:rPr>
        <w:t xml:space="preserve"> a case of predation,</w:t>
      </w:r>
      <w:r w:rsidR="00EA4457">
        <w:rPr>
          <w:rFonts w:ascii="Times New Roman" w:hAnsi="Times New Roman" w:cs="Times New Roman"/>
        </w:rPr>
        <w:t xml:space="preserve"> and</w:t>
      </w:r>
      <w:r w:rsidRPr="008E6BF5">
        <w:rPr>
          <w:rFonts w:ascii="Times New Roman" w:hAnsi="Times New Roman" w:cs="Times New Roman"/>
        </w:rPr>
        <w:t xml:space="preserve"> in circumstances in which the </w:t>
      </w:r>
      <w:r>
        <w:rPr>
          <w:rFonts w:ascii="Times New Roman" w:hAnsi="Times New Roman" w:cs="Times New Roman"/>
        </w:rPr>
        <w:t>it wa</w:t>
      </w:r>
      <w:r w:rsidRPr="008E6BF5">
        <w:rPr>
          <w:rFonts w:ascii="Times New Roman" w:hAnsi="Times New Roman" w:cs="Times New Roman"/>
        </w:rPr>
        <w:t xml:space="preserve">s necessary to prove an </w:t>
      </w:r>
      <w:r w:rsidRPr="00E514A2">
        <w:rPr>
          <w:rFonts w:ascii="Times New Roman" w:hAnsi="Times New Roman" w:cs="Times New Roman"/>
        </w:rPr>
        <w:t>overall plan to eliminate the competitor</w:t>
      </w:r>
      <w:r>
        <w:rPr>
          <w:rFonts w:ascii="Times New Roman" w:hAnsi="Times New Roman" w:cs="Times New Roman"/>
        </w:rPr>
        <w:t xml:space="preserve"> (objective intent)</w:t>
      </w:r>
      <w:r w:rsidR="00EA4457">
        <w:rPr>
          <w:rFonts w:ascii="Times New Roman" w:hAnsi="Times New Roman" w:cs="Times New Roman"/>
        </w:rPr>
        <w:t xml:space="preserve"> in light with the test set out by the Court in </w:t>
      </w:r>
      <w:r w:rsidR="00EA4457" w:rsidRPr="00EA4457">
        <w:rPr>
          <w:rFonts w:ascii="Times New Roman" w:hAnsi="Times New Roman" w:cs="Times New Roman"/>
          <w:i/>
        </w:rPr>
        <w:t>AKZO</w:t>
      </w:r>
      <w:r w:rsidRPr="00E514A2">
        <w:rPr>
          <w:rFonts w:ascii="Times New Roman" w:hAnsi="Times New Roman" w:cs="Times New Roman"/>
        </w:rPr>
        <w:t xml:space="preserve">. </w:t>
      </w:r>
      <w:r>
        <w:rPr>
          <w:rFonts w:ascii="Times New Roman" w:hAnsi="Times New Roman" w:cs="Times New Roman"/>
        </w:rPr>
        <w:t>T</w:t>
      </w:r>
      <w:r w:rsidRPr="00E514A2">
        <w:rPr>
          <w:rFonts w:ascii="Times New Roman" w:hAnsi="Times New Roman" w:cs="Times New Roman"/>
        </w:rPr>
        <w:t xml:space="preserve">he claim by France Telecom on appeal before the ECJ was that the </w:t>
      </w:r>
      <w:r w:rsidR="00EA4457">
        <w:rPr>
          <w:rFonts w:ascii="Times New Roman" w:hAnsi="Times New Roman" w:cs="Times New Roman"/>
        </w:rPr>
        <w:t>CFI</w:t>
      </w:r>
      <w:r w:rsidRPr="00E514A2">
        <w:rPr>
          <w:rFonts w:ascii="Times New Roman" w:hAnsi="Times New Roman" w:cs="Times New Roman"/>
        </w:rPr>
        <w:t xml:space="preserve"> had relied merely on </w:t>
      </w:r>
      <w:r w:rsidRPr="00EA4457">
        <w:rPr>
          <w:rFonts w:ascii="Times New Roman" w:hAnsi="Times New Roman" w:cs="Times New Roman"/>
          <w:i/>
        </w:rPr>
        <w:t xml:space="preserve">subjective </w:t>
      </w:r>
      <w:r w:rsidRPr="00E514A2">
        <w:rPr>
          <w:rFonts w:ascii="Times New Roman" w:hAnsi="Times New Roman" w:cs="Times New Roman"/>
        </w:rPr>
        <w:t xml:space="preserve">factors to </w:t>
      </w:r>
      <w:r>
        <w:rPr>
          <w:rFonts w:ascii="Times New Roman" w:hAnsi="Times New Roman" w:cs="Times New Roman"/>
        </w:rPr>
        <w:t>deem that</w:t>
      </w:r>
      <w:r w:rsidRPr="00E514A2">
        <w:rPr>
          <w:rFonts w:ascii="Times New Roman" w:hAnsi="Times New Roman" w:cs="Times New Roman"/>
        </w:rPr>
        <w:t xml:space="preserve"> plan</w:t>
      </w:r>
      <w:r>
        <w:rPr>
          <w:rFonts w:ascii="Times New Roman" w:hAnsi="Times New Roman" w:cs="Times New Roman"/>
        </w:rPr>
        <w:t xml:space="preserve"> proven by the Commission</w:t>
      </w:r>
      <w:r w:rsidRPr="00E514A2">
        <w:rPr>
          <w:rFonts w:ascii="Times New Roman" w:hAnsi="Times New Roman" w:cs="Times New Roman"/>
        </w:rPr>
        <w:t>, contrary to th</w:t>
      </w:r>
      <w:r w:rsidRPr="00DA6C03">
        <w:rPr>
          <w:rFonts w:ascii="Times New Roman" w:hAnsi="Times New Roman" w:cs="Times New Roman"/>
        </w:rPr>
        <w:t>e requirements of the case</w:t>
      </w:r>
      <w:r>
        <w:rPr>
          <w:rFonts w:ascii="Times New Roman" w:hAnsi="Times New Roman" w:cs="Times New Roman"/>
        </w:rPr>
        <w:t>-</w:t>
      </w:r>
      <w:r w:rsidRPr="00DA6C03">
        <w:rPr>
          <w:rFonts w:ascii="Times New Roman" w:hAnsi="Times New Roman" w:cs="Times New Roman"/>
        </w:rPr>
        <w:t xml:space="preserve">law to use </w:t>
      </w:r>
      <w:r w:rsidRPr="00EA4457">
        <w:rPr>
          <w:rFonts w:ascii="Times New Roman" w:hAnsi="Times New Roman" w:cs="Times New Roman"/>
          <w:i/>
        </w:rPr>
        <w:t>objective</w:t>
      </w:r>
      <w:r w:rsidRPr="00873064">
        <w:rPr>
          <w:rFonts w:ascii="Times New Roman" w:hAnsi="Times New Roman" w:cs="Times New Roman"/>
        </w:rPr>
        <w:t xml:space="preserve"> indications such as threats to competitors or selective price cuts in respect of competitors’ customers. In other words, France Telecom evoked the factors used in </w:t>
      </w:r>
      <w:r w:rsidRPr="00873064">
        <w:rPr>
          <w:rFonts w:ascii="Times New Roman" w:hAnsi="Times New Roman" w:cs="Times New Roman"/>
          <w:i/>
        </w:rPr>
        <w:t>AKZO</w:t>
      </w:r>
      <w:r w:rsidRPr="00873064">
        <w:rPr>
          <w:rFonts w:ascii="Times New Roman" w:hAnsi="Times New Roman" w:cs="Times New Roman"/>
        </w:rPr>
        <w:t xml:space="preserve"> and </w:t>
      </w:r>
      <w:r w:rsidRPr="00873064">
        <w:rPr>
          <w:rFonts w:ascii="Times New Roman" w:hAnsi="Times New Roman" w:cs="Times New Roman"/>
          <w:i/>
        </w:rPr>
        <w:t>Tetra Pak</w:t>
      </w:r>
      <w:r w:rsidRPr="00873064">
        <w:rPr>
          <w:rFonts w:ascii="Times New Roman" w:hAnsi="Times New Roman" w:cs="Times New Roman"/>
        </w:rPr>
        <w:t xml:space="preserve"> as </w:t>
      </w:r>
      <w:r w:rsidR="00EA4457">
        <w:rPr>
          <w:rFonts w:ascii="Times New Roman" w:hAnsi="Times New Roman" w:cs="Times New Roman"/>
        </w:rPr>
        <w:t>a specification of the requirement to prove intent through objective means</w:t>
      </w:r>
      <w:r w:rsidRPr="00873064">
        <w:rPr>
          <w:rFonts w:ascii="Times New Roman" w:hAnsi="Times New Roman" w:cs="Times New Roman"/>
        </w:rPr>
        <w:t xml:space="preserve">, which the Commission disputed. The Court </w:t>
      </w:r>
      <w:r>
        <w:rPr>
          <w:rFonts w:ascii="Times New Roman" w:hAnsi="Times New Roman" w:cs="Times New Roman"/>
        </w:rPr>
        <w:t xml:space="preserve">quickly </w:t>
      </w:r>
      <w:r w:rsidRPr="00873064">
        <w:rPr>
          <w:rFonts w:ascii="Times New Roman" w:hAnsi="Times New Roman" w:cs="Times New Roman"/>
        </w:rPr>
        <w:t>dismiss</w:t>
      </w:r>
      <w:r>
        <w:rPr>
          <w:rFonts w:ascii="Times New Roman" w:hAnsi="Times New Roman" w:cs="Times New Roman"/>
        </w:rPr>
        <w:t>ed</w:t>
      </w:r>
      <w:r w:rsidR="00EA4457">
        <w:rPr>
          <w:rFonts w:ascii="Times New Roman" w:hAnsi="Times New Roman" w:cs="Times New Roman"/>
        </w:rPr>
        <w:t xml:space="preserve"> that</w:t>
      </w:r>
      <w:r w:rsidRPr="00873064">
        <w:rPr>
          <w:rFonts w:ascii="Times New Roman" w:hAnsi="Times New Roman" w:cs="Times New Roman"/>
        </w:rPr>
        <w:t xml:space="preserve"> claim, </w:t>
      </w:r>
      <w:r>
        <w:rPr>
          <w:rFonts w:ascii="Times New Roman" w:hAnsi="Times New Roman" w:cs="Times New Roman"/>
        </w:rPr>
        <w:t>but accepted France Telecom’s reading of the case-law to the effect that the plan must be proven on the basis of “objective factors”</w:t>
      </w:r>
      <w:r>
        <w:rPr>
          <w:rStyle w:val="FootnoteReference"/>
          <w:rFonts w:ascii="Times New Roman" w:hAnsi="Times New Roman" w:cs="Times New Roman"/>
        </w:rPr>
        <w:footnoteReference w:id="44"/>
      </w:r>
      <w:r>
        <w:rPr>
          <w:rFonts w:ascii="Times New Roman" w:hAnsi="Times New Roman" w:cs="Times New Roman"/>
        </w:rPr>
        <w:t xml:space="preserve">. </w:t>
      </w:r>
      <w:r w:rsidR="002660E9">
        <w:rPr>
          <w:rFonts w:ascii="Times New Roman" w:hAnsi="Times New Roman" w:cs="Times New Roman"/>
        </w:rPr>
        <w:t>In principle, o</w:t>
      </w:r>
      <w:r w:rsidR="00EA4457">
        <w:rPr>
          <w:rFonts w:ascii="Times New Roman" w:hAnsi="Times New Roman" w:cs="Times New Roman"/>
        </w:rPr>
        <w:t>ne could take this</w:t>
      </w:r>
      <w:r>
        <w:rPr>
          <w:rFonts w:ascii="Times New Roman" w:hAnsi="Times New Roman" w:cs="Times New Roman"/>
        </w:rPr>
        <w:t xml:space="preserve"> to confirm the necessity of combining a subjective and an objective component in proving intent. However, the Court referred to the undertaking’s internal documents as an example of objective factor from which the </w:t>
      </w:r>
      <w:r w:rsidRPr="00873064">
        <w:rPr>
          <w:rFonts w:ascii="Times New Roman" w:hAnsi="Times New Roman" w:cs="Times New Roman"/>
        </w:rPr>
        <w:t>Court of First Instance</w:t>
      </w:r>
      <w:r>
        <w:rPr>
          <w:rFonts w:ascii="Times New Roman" w:hAnsi="Times New Roman" w:cs="Times New Roman"/>
        </w:rPr>
        <w:t xml:space="preserve"> (CFI)</w:t>
      </w:r>
      <w:r w:rsidRPr="00873064">
        <w:rPr>
          <w:rFonts w:ascii="Times New Roman" w:hAnsi="Times New Roman" w:cs="Times New Roman"/>
        </w:rPr>
        <w:t xml:space="preserve"> had deduced eliminatory</w:t>
      </w:r>
      <w:r>
        <w:rPr>
          <w:rFonts w:ascii="Times New Roman" w:hAnsi="Times New Roman" w:cs="Times New Roman"/>
        </w:rPr>
        <w:t xml:space="preserve"> intent, despite the fact that it was disputed whether the words contained therein indicated an intent to eliminate</w:t>
      </w:r>
      <w:r>
        <w:rPr>
          <w:rStyle w:val="FootnoteReference"/>
          <w:rFonts w:ascii="Times New Roman" w:hAnsi="Times New Roman" w:cs="Times New Roman"/>
        </w:rPr>
        <w:footnoteReference w:id="45"/>
      </w:r>
      <w:r w:rsidRPr="00873064">
        <w:rPr>
          <w:rFonts w:ascii="Times New Roman" w:hAnsi="Times New Roman" w:cs="Times New Roman"/>
        </w:rPr>
        <w:t>.</w:t>
      </w:r>
      <w:r>
        <w:rPr>
          <w:rFonts w:ascii="Times New Roman" w:hAnsi="Times New Roman" w:cs="Times New Roman"/>
        </w:rPr>
        <w:t xml:space="preserve"> This suggest</w:t>
      </w:r>
      <w:r w:rsidR="002660E9">
        <w:rPr>
          <w:rFonts w:ascii="Times New Roman" w:hAnsi="Times New Roman" w:cs="Times New Roman"/>
        </w:rPr>
        <w:t>s</w:t>
      </w:r>
      <w:r>
        <w:rPr>
          <w:rFonts w:ascii="Times New Roman" w:hAnsi="Times New Roman" w:cs="Times New Roman"/>
        </w:rPr>
        <w:t xml:space="preserve"> that there might be a difference between </w:t>
      </w:r>
      <w:r w:rsidRPr="003576F0">
        <w:rPr>
          <w:rFonts w:ascii="Times New Roman" w:hAnsi="Times New Roman" w:cs="Times New Roman"/>
          <w:i/>
        </w:rPr>
        <w:t>direct</w:t>
      </w:r>
      <w:r>
        <w:rPr>
          <w:rFonts w:ascii="Times New Roman" w:hAnsi="Times New Roman" w:cs="Times New Roman"/>
        </w:rPr>
        <w:t xml:space="preserve"> evidence</w:t>
      </w:r>
      <w:r>
        <w:rPr>
          <w:rStyle w:val="FootnoteReference"/>
          <w:rFonts w:ascii="Times New Roman" w:hAnsi="Times New Roman" w:cs="Times New Roman"/>
        </w:rPr>
        <w:footnoteReference w:id="46"/>
      </w:r>
      <w:r>
        <w:rPr>
          <w:rFonts w:ascii="Times New Roman" w:hAnsi="Times New Roman" w:cs="Times New Roman"/>
        </w:rPr>
        <w:t xml:space="preserve">, which proves the incriminated conduct without need for further evidence or inferences, and evidence that is </w:t>
      </w:r>
      <w:r w:rsidRPr="003576F0">
        <w:rPr>
          <w:rFonts w:ascii="Times New Roman" w:hAnsi="Times New Roman" w:cs="Times New Roman"/>
          <w:i/>
        </w:rPr>
        <w:t>objective</w:t>
      </w:r>
      <w:r>
        <w:rPr>
          <w:rFonts w:ascii="Times New Roman" w:hAnsi="Times New Roman" w:cs="Times New Roman"/>
        </w:rPr>
        <w:t xml:space="preserve"> (or based on objective factors) – which admits the use of </w:t>
      </w:r>
      <w:r w:rsidRPr="003576F0">
        <w:rPr>
          <w:rFonts w:ascii="Times New Roman" w:hAnsi="Times New Roman" w:cs="Times New Roman"/>
        </w:rPr>
        <w:t xml:space="preserve">reasonable </w:t>
      </w:r>
      <w:r>
        <w:rPr>
          <w:rFonts w:ascii="Times New Roman" w:hAnsi="Times New Roman" w:cs="Times New Roman"/>
        </w:rPr>
        <w:t>inferences on the basis of rules of general experience</w:t>
      </w:r>
      <w:r>
        <w:rPr>
          <w:rStyle w:val="FootnoteReference"/>
          <w:rFonts w:ascii="Times New Roman" w:hAnsi="Times New Roman" w:cs="Times New Roman"/>
        </w:rPr>
        <w:footnoteReference w:id="47"/>
      </w:r>
      <w:r>
        <w:rPr>
          <w:rFonts w:ascii="Times New Roman" w:hAnsi="Times New Roman" w:cs="Times New Roman"/>
        </w:rPr>
        <w:t xml:space="preserve">. It should also be noted that </w:t>
      </w:r>
      <w:r w:rsidRPr="00BE7348">
        <w:rPr>
          <w:rFonts w:ascii="Times New Roman" w:hAnsi="Times New Roman" w:cs="Times New Roman"/>
        </w:rPr>
        <w:t>in approving</w:t>
      </w:r>
      <w:r>
        <w:rPr>
          <w:rFonts w:ascii="Times New Roman" w:hAnsi="Times New Roman" w:cs="Times New Roman"/>
        </w:rPr>
        <w:t xml:space="preserve"> the requirement to use</w:t>
      </w:r>
      <w:r w:rsidRPr="00BE7348">
        <w:rPr>
          <w:rFonts w:ascii="Times New Roman" w:hAnsi="Times New Roman" w:cs="Times New Roman"/>
        </w:rPr>
        <w:t xml:space="preserve"> </w:t>
      </w:r>
      <w:r>
        <w:rPr>
          <w:rFonts w:ascii="Times New Roman" w:hAnsi="Times New Roman" w:cs="Times New Roman"/>
        </w:rPr>
        <w:t xml:space="preserve">“objective factors” and failing to address the Commission’s argument that </w:t>
      </w:r>
      <w:r w:rsidRPr="00AA0575">
        <w:rPr>
          <w:rFonts w:ascii="Times New Roman" w:hAnsi="Times New Roman" w:cs="Times New Roman"/>
        </w:rPr>
        <w:t xml:space="preserve">the element of </w:t>
      </w:r>
      <w:r w:rsidRPr="00C82822">
        <w:rPr>
          <w:rFonts w:ascii="Times New Roman" w:hAnsi="Times New Roman" w:cs="Times New Roman"/>
          <w:i/>
        </w:rPr>
        <w:t>intention</w:t>
      </w:r>
      <w:r w:rsidRPr="00AA0575">
        <w:rPr>
          <w:rFonts w:ascii="Times New Roman" w:hAnsi="Times New Roman" w:cs="Times New Roman"/>
        </w:rPr>
        <w:t xml:space="preserve"> in abuse of dominant position is </w:t>
      </w:r>
      <w:r>
        <w:rPr>
          <w:rFonts w:ascii="Times New Roman" w:hAnsi="Times New Roman" w:cs="Times New Roman"/>
        </w:rPr>
        <w:t>“</w:t>
      </w:r>
      <w:r w:rsidRPr="00AA0575">
        <w:rPr>
          <w:rFonts w:ascii="Times New Roman" w:hAnsi="Times New Roman" w:cs="Times New Roman"/>
        </w:rPr>
        <w:t>necessarily subjective</w:t>
      </w:r>
      <w:r>
        <w:rPr>
          <w:rFonts w:ascii="Times New Roman" w:hAnsi="Times New Roman" w:cs="Times New Roman"/>
        </w:rPr>
        <w:t>”</w:t>
      </w:r>
      <w:r>
        <w:rPr>
          <w:rStyle w:val="FootnoteReference"/>
          <w:rFonts w:ascii="Times New Roman" w:hAnsi="Times New Roman" w:cs="Times New Roman"/>
        </w:rPr>
        <w:footnoteReference w:id="48"/>
      </w:r>
      <w:r>
        <w:rPr>
          <w:rFonts w:ascii="Times New Roman" w:hAnsi="Times New Roman" w:cs="Times New Roman"/>
        </w:rPr>
        <w:t xml:space="preserve">, the judgment left some </w:t>
      </w:r>
      <w:r w:rsidRPr="00BE7348">
        <w:rPr>
          <w:rFonts w:ascii="Times New Roman" w:hAnsi="Times New Roman" w:cs="Times New Roman"/>
        </w:rPr>
        <w:t xml:space="preserve">confusion as to </w:t>
      </w:r>
      <w:r>
        <w:rPr>
          <w:rFonts w:ascii="Times New Roman" w:hAnsi="Times New Roman" w:cs="Times New Roman"/>
        </w:rPr>
        <w:t xml:space="preserve">the relationship between </w:t>
      </w:r>
      <w:r w:rsidRPr="00365553">
        <w:rPr>
          <w:rFonts w:ascii="Times New Roman" w:hAnsi="Times New Roman" w:cs="Times New Roman"/>
        </w:rPr>
        <w:t xml:space="preserve">subjective factors and subjective intent. </w:t>
      </w:r>
    </w:p>
    <w:p w14:paraId="4C7A6969" w14:textId="77777777" w:rsidR="002120E3" w:rsidRPr="00365553" w:rsidRDefault="002120E3" w:rsidP="002120E3">
      <w:pPr>
        <w:jc w:val="both"/>
        <w:rPr>
          <w:rFonts w:ascii="Times New Roman" w:hAnsi="Times New Roman" w:cs="Times New Roman"/>
        </w:rPr>
      </w:pPr>
    </w:p>
    <w:p w14:paraId="0F2ABD62" w14:textId="77777777" w:rsidR="002120E3" w:rsidRPr="00365553" w:rsidRDefault="002120E3" w:rsidP="002120E3">
      <w:pPr>
        <w:jc w:val="both"/>
        <w:rPr>
          <w:rFonts w:ascii="Times New Roman" w:hAnsi="Times New Roman" w:cs="Times New Roman"/>
        </w:rPr>
      </w:pPr>
      <w:r w:rsidRPr="00365553">
        <w:rPr>
          <w:rFonts w:ascii="Times New Roman" w:hAnsi="Times New Roman" w:cs="Times New Roman"/>
        </w:rPr>
        <w:t>An examination of the CFI judgment reveals that the root of confusion was the interpretation of the word “pre-emption” of the ADSL market found in France Telecom’s internal document. The Court treated that word as indicative of a plan to predate when considering it in combination with additional evidence such as France Telecom’s internal documents indicating knowledge that (1) its non-profitable pricing strategy combined with high sales volumes was not economically sustainable for its competitors</w:t>
      </w:r>
      <w:r w:rsidRPr="00365553">
        <w:rPr>
          <w:rStyle w:val="FootnoteReference"/>
          <w:rFonts w:ascii="Times New Roman" w:hAnsi="Times New Roman" w:cs="Times New Roman"/>
        </w:rPr>
        <w:footnoteReference w:id="49"/>
      </w:r>
      <w:r w:rsidRPr="00365553">
        <w:rPr>
          <w:rFonts w:ascii="Times New Roman" w:hAnsi="Times New Roman" w:cs="Times New Roman"/>
        </w:rPr>
        <w:t>; (2) the impossibility to match retail prices without incurring losses prevented AOL’s entry on the high-speed market</w:t>
      </w:r>
      <w:r w:rsidRPr="00365553">
        <w:rPr>
          <w:rStyle w:val="FootnoteReference"/>
          <w:rFonts w:ascii="Times New Roman" w:hAnsi="Times New Roman" w:cs="Times New Roman"/>
        </w:rPr>
        <w:footnoteReference w:id="50"/>
      </w:r>
      <w:r w:rsidRPr="00365553">
        <w:rPr>
          <w:rFonts w:ascii="Times New Roman" w:hAnsi="Times New Roman" w:cs="Times New Roman"/>
        </w:rPr>
        <w:t>; and (3) it enjoyed specific advantages as market leader”</w:t>
      </w:r>
      <w:r w:rsidRPr="00365553">
        <w:rPr>
          <w:rStyle w:val="FootnoteReference"/>
          <w:rFonts w:ascii="Times New Roman" w:hAnsi="Times New Roman" w:cs="Times New Roman"/>
        </w:rPr>
        <w:footnoteReference w:id="51"/>
      </w:r>
      <w:r w:rsidRPr="00365553">
        <w:rPr>
          <w:rFonts w:ascii="Times New Roman" w:hAnsi="Times New Roman" w:cs="Times New Roman"/>
        </w:rPr>
        <w:t xml:space="preserve">. </w:t>
      </w:r>
    </w:p>
    <w:p w14:paraId="75B02314" w14:textId="3941ED1C" w:rsidR="002120E3" w:rsidRPr="00365553" w:rsidRDefault="002120E3" w:rsidP="002120E3">
      <w:pPr>
        <w:jc w:val="both"/>
        <w:rPr>
          <w:rFonts w:ascii="Times New Roman" w:hAnsi="Times New Roman" w:cs="Times New Roman"/>
          <w:color w:val="000000"/>
        </w:rPr>
      </w:pPr>
      <w:r w:rsidRPr="00365553">
        <w:rPr>
          <w:rFonts w:ascii="Times New Roman" w:hAnsi="Times New Roman" w:cs="Times New Roman"/>
          <w:color w:val="000000"/>
        </w:rPr>
        <w:t>In doing so, the judgment gave short drift to defendant’s allegation that the documents concerned contained “spontaneous, informal, even unconsidered words” that merely reflected the dialectic of the decision-making process</w:t>
      </w:r>
      <w:r w:rsidRPr="00365553">
        <w:rPr>
          <w:rStyle w:val="FootnoteReference"/>
          <w:rFonts w:ascii="Times New Roman" w:hAnsi="Times New Roman" w:cs="Times New Roman"/>
          <w:color w:val="000000"/>
        </w:rPr>
        <w:footnoteReference w:id="52"/>
      </w:r>
      <w:r w:rsidRPr="00365553">
        <w:rPr>
          <w:rFonts w:ascii="Times New Roman" w:hAnsi="Times New Roman" w:cs="Times New Roman"/>
          <w:color w:val="000000"/>
        </w:rPr>
        <w:t>. One remains wondering whether those types of allegations would be sufficient, if accepted, to question the objectivity of the evidence produced. Unfortunately, those nuances were not picked up in the final judgment by the CJEU, which simply defined the undertaking’s internal documents as “objective factors”. More generally, it is regrettable that the Court failed to explain the dividing line between subjective and objective evidence. On the combination of a subjective an</w:t>
      </w:r>
      <w:r w:rsidR="002660E9">
        <w:rPr>
          <w:rFonts w:ascii="Times New Roman" w:hAnsi="Times New Roman" w:cs="Times New Roman"/>
          <w:color w:val="000000"/>
        </w:rPr>
        <w:t>d</w:t>
      </w:r>
      <w:r w:rsidRPr="00365553">
        <w:rPr>
          <w:rFonts w:ascii="Times New Roman" w:hAnsi="Times New Roman" w:cs="Times New Roman"/>
          <w:color w:val="000000"/>
        </w:rPr>
        <w:t xml:space="preserve"> </w:t>
      </w:r>
      <w:r w:rsidR="002660E9">
        <w:rPr>
          <w:rFonts w:ascii="Times New Roman" w:hAnsi="Times New Roman" w:cs="Times New Roman"/>
          <w:color w:val="000000"/>
        </w:rPr>
        <w:t xml:space="preserve">an </w:t>
      </w:r>
      <w:r w:rsidRPr="00365553">
        <w:rPr>
          <w:rFonts w:ascii="Times New Roman" w:hAnsi="Times New Roman" w:cs="Times New Roman"/>
          <w:color w:val="000000"/>
        </w:rPr>
        <w:t xml:space="preserve">objective component, however, the extensive discussion on evidence of subjective intent should not make us forget that the whole enquiry into documentary evidence only took place after it was established that the defendant’s pricing was below average </w:t>
      </w:r>
      <w:r>
        <w:rPr>
          <w:rFonts w:ascii="Times New Roman" w:hAnsi="Times New Roman" w:cs="Times New Roman"/>
          <w:color w:val="000000"/>
        </w:rPr>
        <w:t>total</w:t>
      </w:r>
      <w:r w:rsidRPr="00365553">
        <w:rPr>
          <w:rFonts w:ascii="Times New Roman" w:hAnsi="Times New Roman" w:cs="Times New Roman"/>
          <w:color w:val="000000"/>
        </w:rPr>
        <w:t xml:space="preserve"> costs. This</w:t>
      </w:r>
      <w:r w:rsidR="002660E9">
        <w:rPr>
          <w:rFonts w:ascii="Times New Roman" w:hAnsi="Times New Roman" w:cs="Times New Roman"/>
          <w:color w:val="000000"/>
        </w:rPr>
        <w:t xml:space="preserve"> </w:t>
      </w:r>
      <w:r w:rsidR="00735D77">
        <w:rPr>
          <w:rFonts w:ascii="Times New Roman" w:hAnsi="Times New Roman" w:cs="Times New Roman"/>
          <w:color w:val="000000"/>
        </w:rPr>
        <w:t xml:space="preserve">is a particular situation that </w:t>
      </w:r>
      <w:r w:rsidR="003F251D">
        <w:rPr>
          <w:rFonts w:ascii="Times New Roman" w:hAnsi="Times New Roman" w:cs="Times New Roman"/>
          <w:color w:val="000000"/>
        </w:rPr>
        <w:t xml:space="preserve">under EU competition law </w:t>
      </w:r>
      <w:r w:rsidRPr="00365553">
        <w:rPr>
          <w:rFonts w:ascii="Times New Roman" w:hAnsi="Times New Roman" w:cs="Times New Roman"/>
          <w:color w:val="000000"/>
        </w:rPr>
        <w:t>triggers a purpose (a</w:t>
      </w:r>
      <w:r w:rsidR="00735D77">
        <w:rPr>
          <w:rFonts w:ascii="Times New Roman" w:hAnsi="Times New Roman" w:cs="Times New Roman"/>
          <w:color w:val="000000"/>
        </w:rPr>
        <w:t>s opposed to an effect) inquiry</w:t>
      </w:r>
      <w:r w:rsidRPr="00365553">
        <w:rPr>
          <w:rStyle w:val="FootnoteReference"/>
          <w:rFonts w:ascii="Times New Roman" w:hAnsi="Times New Roman" w:cs="Times New Roman"/>
          <w:color w:val="000000"/>
        </w:rPr>
        <w:footnoteReference w:id="53"/>
      </w:r>
      <w:r w:rsidRPr="00365553">
        <w:rPr>
          <w:rFonts w:ascii="Times New Roman" w:hAnsi="Times New Roman" w:cs="Times New Roman"/>
          <w:color w:val="000000"/>
        </w:rPr>
        <w:t xml:space="preserve">. </w:t>
      </w:r>
      <w:r w:rsidR="0049131A">
        <w:rPr>
          <w:rFonts w:ascii="Times New Roman" w:hAnsi="Times New Roman" w:cs="Times New Roman"/>
          <w:color w:val="000000"/>
        </w:rPr>
        <w:t>It</w:t>
      </w:r>
      <w:r w:rsidRPr="00365553">
        <w:rPr>
          <w:rFonts w:ascii="Times New Roman" w:hAnsi="Times New Roman" w:cs="Times New Roman"/>
          <w:color w:val="000000"/>
        </w:rPr>
        <w:t xml:space="preserve"> is a narrowly defined purpose-based a</w:t>
      </w:r>
      <w:r w:rsidR="002660E9">
        <w:rPr>
          <w:rFonts w:ascii="Times New Roman" w:hAnsi="Times New Roman" w:cs="Times New Roman"/>
          <w:color w:val="000000"/>
        </w:rPr>
        <w:t xml:space="preserve">buse </w:t>
      </w:r>
      <w:r w:rsidRPr="00365553">
        <w:rPr>
          <w:rFonts w:ascii="Times New Roman" w:hAnsi="Times New Roman" w:cs="Times New Roman"/>
          <w:color w:val="000000"/>
        </w:rPr>
        <w:t xml:space="preserve">which, unlike the one identified in </w:t>
      </w:r>
      <w:r w:rsidRPr="00365553">
        <w:rPr>
          <w:rFonts w:ascii="Times New Roman" w:hAnsi="Times New Roman" w:cs="Times New Roman"/>
          <w:i/>
          <w:color w:val="000000"/>
        </w:rPr>
        <w:t>Compagnie Maritime Belge</w:t>
      </w:r>
      <w:r w:rsidRPr="00365553">
        <w:rPr>
          <w:rFonts w:ascii="Times New Roman" w:hAnsi="Times New Roman" w:cs="Times New Roman"/>
          <w:color w:val="000000"/>
        </w:rPr>
        <w:t>, is based on a clearly defined set of circumstances rendering harm to competition sufficiently likely.</w:t>
      </w:r>
    </w:p>
    <w:p w14:paraId="013EA53D" w14:textId="77777777" w:rsidR="002120E3" w:rsidRPr="00365553" w:rsidRDefault="002120E3" w:rsidP="000E0F53">
      <w:pPr>
        <w:pStyle w:val="Heading2"/>
      </w:pPr>
      <w:bookmarkStart w:id="11" w:name="_Toc390300605"/>
      <w:r w:rsidRPr="00365553">
        <w:t xml:space="preserve">2.3. </w:t>
      </w:r>
      <w:r>
        <w:t>L</w:t>
      </w:r>
      <w:r w:rsidRPr="00365553">
        <w:t>ink to special responsibility</w:t>
      </w:r>
      <w:bookmarkEnd w:id="11"/>
    </w:p>
    <w:p w14:paraId="5B55C916" w14:textId="77777777" w:rsidR="002120E3" w:rsidRPr="00365553" w:rsidRDefault="002120E3" w:rsidP="002120E3">
      <w:pPr>
        <w:jc w:val="both"/>
        <w:rPr>
          <w:rFonts w:ascii="Times New Roman" w:hAnsi="Times New Roman" w:cs="Times New Roman"/>
        </w:rPr>
      </w:pPr>
    </w:p>
    <w:p w14:paraId="0510261E" w14:textId="288C1ACC" w:rsidR="002120E3" w:rsidRPr="00365553" w:rsidRDefault="002120E3" w:rsidP="002120E3">
      <w:pPr>
        <w:jc w:val="both"/>
        <w:rPr>
          <w:rFonts w:ascii="Times New Roman" w:hAnsi="Times New Roman" w:cs="Times New Roman"/>
        </w:rPr>
      </w:pPr>
      <w:r w:rsidRPr="00365553">
        <w:rPr>
          <w:rFonts w:ascii="Times New Roman" w:hAnsi="Times New Roman" w:cs="Times New Roman"/>
        </w:rPr>
        <w:t xml:space="preserve">The final piece of the puzzle with regard to the role of intent in the case-law on article 102 TFEU is the General Court’s judgment in </w:t>
      </w:r>
      <w:r w:rsidRPr="00365553">
        <w:rPr>
          <w:rFonts w:ascii="Times New Roman" w:hAnsi="Times New Roman" w:cs="Times New Roman"/>
          <w:i/>
        </w:rPr>
        <w:t>Astra Zeneca</w:t>
      </w:r>
      <w:r w:rsidRPr="00365553">
        <w:rPr>
          <w:rStyle w:val="FootnoteReference"/>
          <w:rFonts w:ascii="Times New Roman" w:hAnsi="Times New Roman" w:cs="Times New Roman"/>
          <w:i/>
        </w:rPr>
        <w:footnoteReference w:id="54"/>
      </w:r>
      <w:r w:rsidRPr="00365553">
        <w:rPr>
          <w:rFonts w:ascii="Times New Roman" w:hAnsi="Times New Roman" w:cs="Times New Roman"/>
        </w:rPr>
        <w:t xml:space="preserve">. This judgment markedly differs from previous case for the type of reasoning followed to establish anticompetitive intent, which was linked to the defendant’s failure to meet the expectations of fairness and transparency placed on a dominant firm (in particular, in dealing with regulatory authorities). </w:t>
      </w:r>
      <w:r w:rsidR="003F251D">
        <w:rPr>
          <w:rFonts w:ascii="Times New Roman" w:hAnsi="Times New Roman" w:cs="Times New Roman"/>
        </w:rPr>
        <w:t>The conduct at issue was</w:t>
      </w:r>
      <w:r w:rsidRPr="00365553">
        <w:rPr>
          <w:rFonts w:ascii="Times New Roman" w:hAnsi="Times New Roman" w:cs="Times New Roman"/>
        </w:rPr>
        <w:t xml:space="preserve"> the provision of misleading information by Astra Zeneca to regulatory </w:t>
      </w:r>
      <w:r w:rsidR="003F251D">
        <w:rPr>
          <w:rFonts w:ascii="Times New Roman" w:hAnsi="Times New Roman" w:cs="Times New Roman"/>
        </w:rPr>
        <w:t>authorities for the issuing of S</w:t>
      </w:r>
      <w:r w:rsidRPr="00365553">
        <w:rPr>
          <w:rFonts w:ascii="Times New Roman" w:hAnsi="Times New Roman" w:cs="Times New Roman"/>
        </w:rPr>
        <w:t xml:space="preserve">upplementary </w:t>
      </w:r>
      <w:r w:rsidR="003F251D">
        <w:rPr>
          <w:rFonts w:ascii="Times New Roman" w:hAnsi="Times New Roman" w:cs="Times New Roman"/>
        </w:rPr>
        <w:t>Protection C</w:t>
      </w:r>
      <w:r w:rsidRPr="00365553">
        <w:rPr>
          <w:rFonts w:ascii="Times New Roman" w:hAnsi="Times New Roman" w:cs="Times New Roman"/>
        </w:rPr>
        <w:t xml:space="preserve">ertificates to which it was in fact not entitled, or was only entitled for a limited period. The Commission found that Astra Zeneca had abused its dominant position in various national markets for prescribed proton pump inhibitors by making deliberate misrepresentations to patent attorneys, national courts and patent offices in order to obtain the supplementary protection certificates for its medicine (omeprazole). Astra Zeneca on its part contended that there was no bad faith in those misrepresentations, which concerned the date of authorization of its medicine, as it legitimately relied on the theory of “effective marketing authorization” date (relating to the regulatory approval of the prices for sale on the market) instead of referring to the date of the technical authorization of the medicine. Yet the main legal argument was that the Commission must rely on objective factors in the definition of intent, arguing that the Court’s case-law indicates that abuse is an objective </w:t>
      </w:r>
      <w:r w:rsidRPr="003F251D">
        <w:rPr>
          <w:rFonts w:ascii="Times New Roman" w:hAnsi="Times New Roman" w:cs="Times New Roman"/>
        </w:rPr>
        <w:t>concept</w:t>
      </w:r>
      <w:r w:rsidRPr="00365553">
        <w:rPr>
          <w:rFonts w:ascii="Times New Roman" w:hAnsi="Times New Roman" w:cs="Times New Roman"/>
        </w:rPr>
        <w:t xml:space="preserve"> which does not depend upon subjective intention to cause harm to competition or evidence of conduct preparatory to an abuse, but upon an objective ascertainment of conduct which is in fact capable of restricting competition within the meaning of Article 102</w:t>
      </w:r>
      <w:r w:rsidRPr="00365553">
        <w:rPr>
          <w:rStyle w:val="FootnoteReference"/>
          <w:rFonts w:ascii="Times New Roman" w:hAnsi="Times New Roman" w:cs="Times New Roman"/>
        </w:rPr>
        <w:footnoteReference w:id="55"/>
      </w:r>
      <w:r w:rsidRPr="00365553">
        <w:rPr>
          <w:rFonts w:ascii="Times New Roman" w:hAnsi="Times New Roman" w:cs="Times New Roman"/>
        </w:rPr>
        <w:t xml:space="preserve">. In contrast, it alleged that the Commission’s case rested upon </w:t>
      </w:r>
      <w:r w:rsidRPr="00365553">
        <w:rPr>
          <w:rFonts w:ascii="Times New Roman" w:eastAsia="Times New Roman" w:hAnsi="Times New Roman" w:cs="Times New Roman"/>
        </w:rPr>
        <w:t>a series of insufficiently founded allegations, selective references to documentary evidence, tenuous inferences and insinuations which do not amount, even taken together, to clear and convincing proof</w:t>
      </w:r>
      <w:r w:rsidRPr="00365553">
        <w:rPr>
          <w:rStyle w:val="FootnoteReference"/>
          <w:rFonts w:ascii="Times New Roman" w:eastAsia="Times New Roman" w:hAnsi="Times New Roman" w:cs="Times New Roman"/>
        </w:rPr>
        <w:footnoteReference w:id="56"/>
      </w:r>
      <w:r w:rsidRPr="00365553">
        <w:rPr>
          <w:rFonts w:ascii="Times New Roman" w:eastAsia="Times New Roman" w:hAnsi="Times New Roman" w:cs="Times New Roman"/>
        </w:rPr>
        <w:t xml:space="preserve"> (for instance, the use of different date for </w:t>
      </w:r>
      <w:r w:rsidR="00D35CFC">
        <w:rPr>
          <w:rFonts w:ascii="Times New Roman" w:eastAsia="Times New Roman" w:hAnsi="Times New Roman" w:cs="Times New Roman"/>
        </w:rPr>
        <w:t>its</w:t>
      </w:r>
      <w:r w:rsidRPr="00365553">
        <w:rPr>
          <w:rFonts w:ascii="Times New Roman" w:eastAsia="Times New Roman" w:hAnsi="Times New Roman" w:cs="Times New Roman"/>
        </w:rPr>
        <w:t xml:space="preserve"> </w:t>
      </w:r>
      <w:r w:rsidR="00D35CFC">
        <w:rPr>
          <w:rFonts w:ascii="Times New Roman" w:eastAsia="Times New Roman" w:hAnsi="Times New Roman" w:cs="Times New Roman"/>
        </w:rPr>
        <w:t>applications for a Supplementary Protection Certificate in different Member States</w:t>
      </w:r>
      <w:r w:rsidRPr="00365553">
        <w:rPr>
          <w:rStyle w:val="FootnoteReference"/>
          <w:rFonts w:ascii="Times New Roman" w:eastAsia="Times New Roman" w:hAnsi="Times New Roman" w:cs="Times New Roman"/>
        </w:rPr>
        <w:footnoteReference w:id="57"/>
      </w:r>
      <w:r w:rsidRPr="00365553">
        <w:rPr>
          <w:rFonts w:ascii="Times New Roman" w:eastAsia="Times New Roman" w:hAnsi="Times New Roman" w:cs="Times New Roman"/>
        </w:rPr>
        <w:t>). </w:t>
      </w:r>
    </w:p>
    <w:p w14:paraId="5792F2A9" w14:textId="77777777" w:rsidR="002120E3" w:rsidRPr="00365553" w:rsidRDefault="002120E3" w:rsidP="002120E3">
      <w:pPr>
        <w:jc w:val="both"/>
        <w:rPr>
          <w:rFonts w:ascii="Times New Roman" w:hAnsi="Times New Roman" w:cs="Times New Roman"/>
        </w:rPr>
      </w:pPr>
    </w:p>
    <w:p w14:paraId="3B742C37" w14:textId="63C9E95C" w:rsidR="002120E3" w:rsidRPr="00365553" w:rsidRDefault="002120E3" w:rsidP="002120E3">
      <w:pPr>
        <w:jc w:val="both"/>
        <w:rPr>
          <w:rFonts w:ascii="Times New Roman" w:eastAsia="Times New Roman" w:hAnsi="Times New Roman" w:cs="Times New Roman"/>
        </w:rPr>
      </w:pPr>
      <w:r w:rsidRPr="00365553">
        <w:rPr>
          <w:rFonts w:ascii="Times New Roman" w:hAnsi="Times New Roman" w:cs="Times New Roman"/>
          <w:color w:val="333333"/>
        </w:rPr>
        <w:t xml:space="preserve">The Court did not reject Astra Zeneca’s interpretation of objectivity, confirming </w:t>
      </w:r>
      <w:r w:rsidRPr="00365553">
        <w:rPr>
          <w:rFonts w:ascii="Times New Roman" w:hAnsi="Times New Roman" w:cs="Times New Roman"/>
        </w:rPr>
        <w:t>that proof of the deliberate nature of the conduct and of the bad faith of the undertaking in a dominant position is not required for the purposes of identifying an abuse of a dominant position</w:t>
      </w:r>
      <w:r w:rsidRPr="00365553">
        <w:rPr>
          <w:rStyle w:val="FootnoteReference"/>
          <w:rFonts w:ascii="Times New Roman" w:hAnsi="Times New Roman" w:cs="Times New Roman"/>
        </w:rPr>
        <w:footnoteReference w:id="58"/>
      </w:r>
      <w:r w:rsidRPr="00365553">
        <w:rPr>
          <w:rFonts w:ascii="Times New Roman" w:hAnsi="Times New Roman" w:cs="Times New Roman"/>
        </w:rPr>
        <w:t>. However, it also pointed out that this does not lead to the conclusion that intention to resort to practices falling outside the scope of competition on the merits is in all events irrelevant</w:t>
      </w:r>
      <w:r w:rsidRPr="00365553">
        <w:rPr>
          <w:rStyle w:val="FootnoteReference"/>
          <w:rFonts w:ascii="Times New Roman" w:hAnsi="Times New Roman" w:cs="Times New Roman"/>
        </w:rPr>
        <w:footnoteReference w:id="59"/>
      </w:r>
      <w:r w:rsidRPr="00365553">
        <w:rPr>
          <w:rFonts w:ascii="Times New Roman" w:hAnsi="Times New Roman" w:cs="Times New Roman"/>
        </w:rPr>
        <w:t>. While accepting that the qualification of a given conduct as abusive (in this case the misleading nature of representations made to public authorities) must be assessed on the basis of objective factors</w:t>
      </w:r>
      <w:r w:rsidRPr="00365553">
        <w:rPr>
          <w:rStyle w:val="FootnoteReference"/>
          <w:rFonts w:ascii="Times New Roman" w:hAnsi="Times New Roman" w:cs="Times New Roman"/>
        </w:rPr>
        <w:footnoteReference w:id="60"/>
      </w:r>
      <w:r w:rsidRPr="00365553">
        <w:rPr>
          <w:rFonts w:ascii="Times New Roman" w:hAnsi="Times New Roman" w:cs="Times New Roman"/>
        </w:rPr>
        <w:t>, it stressed that legality of the defendant’s conduct depended on whether</w:t>
      </w:r>
      <w:r w:rsidRPr="00365553">
        <w:rPr>
          <w:rFonts w:ascii="Times New Roman" w:eastAsia="Times New Roman" w:hAnsi="Times New Roman" w:cs="Times New Roman"/>
        </w:rPr>
        <w:t>, in the light of the context in which the practice in question has been implemented, that practice was such as to lead the public authorities wrongly to create regulatory obstacles to competition</w:t>
      </w:r>
      <w:r w:rsidRPr="00365553">
        <w:rPr>
          <w:rStyle w:val="FootnoteReference"/>
          <w:rFonts w:ascii="Times New Roman" w:eastAsia="Times New Roman" w:hAnsi="Times New Roman" w:cs="Times New Roman"/>
        </w:rPr>
        <w:footnoteReference w:id="61"/>
      </w:r>
      <w:r w:rsidRPr="00365553">
        <w:rPr>
          <w:rFonts w:ascii="Times New Roman" w:eastAsia="Times New Roman" w:hAnsi="Times New Roman" w:cs="Times New Roman"/>
        </w:rPr>
        <w:t>. Note that this confirms the interpretation that has been advanced so far, that subjective intent (here, intention to mislead) is onl</w:t>
      </w:r>
      <w:r w:rsidR="003F251D">
        <w:rPr>
          <w:rFonts w:ascii="Times New Roman" w:eastAsia="Times New Roman" w:hAnsi="Times New Roman" w:cs="Times New Roman"/>
        </w:rPr>
        <w:t>y relevant to the extent that the agent</w:t>
      </w:r>
      <w:r w:rsidRPr="00365553">
        <w:rPr>
          <w:rFonts w:ascii="Times New Roman" w:eastAsia="Times New Roman" w:hAnsi="Times New Roman" w:cs="Times New Roman"/>
        </w:rPr>
        <w:t xml:space="preserve"> is likely to achieve the desired outcome. </w:t>
      </w:r>
    </w:p>
    <w:p w14:paraId="72D10641" w14:textId="77777777" w:rsidR="002120E3" w:rsidRPr="00365553" w:rsidRDefault="002120E3" w:rsidP="002120E3">
      <w:pPr>
        <w:jc w:val="both"/>
        <w:rPr>
          <w:rFonts w:ascii="Times New Roman" w:eastAsia="Times New Roman" w:hAnsi="Times New Roman" w:cs="Times New Roman"/>
        </w:rPr>
      </w:pPr>
    </w:p>
    <w:p w14:paraId="57E9E85E" w14:textId="21ECD8EE" w:rsidR="002120E3" w:rsidRPr="00365553" w:rsidRDefault="002120E3" w:rsidP="002120E3">
      <w:pPr>
        <w:jc w:val="both"/>
        <w:rPr>
          <w:rFonts w:ascii="Times New Roman" w:eastAsia="Times New Roman" w:hAnsi="Times New Roman" w:cs="Times New Roman"/>
        </w:rPr>
      </w:pPr>
      <w:r w:rsidRPr="00365553">
        <w:rPr>
          <w:rFonts w:ascii="Times New Roman" w:eastAsia="Times New Roman" w:hAnsi="Times New Roman" w:cs="Times New Roman"/>
        </w:rPr>
        <w:t>The Court then solved the dispute by reaching for the concept of special responsibility not to impair genuine undistorted competition: manifest lack of transparency over factors that were material for the regulatory assessment constituted a breach of that responsibility, in particular with regard to Astra Zeneca’s failure to disclose all the relevant dates for the purposes of issuing the certificates, as well as its interpretation justifying reference to the “effective marketing” authorization instead of the technical authorization</w:t>
      </w:r>
      <w:r w:rsidRPr="00365553">
        <w:rPr>
          <w:rStyle w:val="FootnoteReference"/>
          <w:rFonts w:ascii="Times New Roman" w:eastAsia="Times New Roman" w:hAnsi="Times New Roman" w:cs="Times New Roman"/>
        </w:rPr>
        <w:footnoteReference w:id="62"/>
      </w:r>
      <w:r w:rsidRPr="00365553">
        <w:rPr>
          <w:rFonts w:ascii="Times New Roman" w:eastAsia="Times New Roman" w:hAnsi="Times New Roman" w:cs="Times New Roman"/>
        </w:rPr>
        <w:t>. Despite a lively discussion between parties as to whether such conduct can be punished under a negligence standard or requires a specific intention to commit fraud, the Court did not address that question squarely. However, it clearly evoked the concept of negligence based on duty of care when it referred to the dominant undertaking’s duty to “at the very least inform the public authorities of any error in its communications with them” as a consequence of the undertaking’s</w:t>
      </w:r>
      <w:r w:rsidRPr="00365553">
        <w:rPr>
          <w:rFonts w:ascii="Times New Roman" w:eastAsia="Times New Roman" w:hAnsi="Times New Roman" w:cs="Times New Roman"/>
        </w:rPr>
        <w:br/>
        <w:t>“special responsibility not to impair, by methods falling outside the scope of competition on the merits, genuine undistorted competition in the common market”</w:t>
      </w:r>
      <w:r w:rsidRPr="00365553">
        <w:rPr>
          <w:rStyle w:val="FootnoteReference"/>
          <w:rFonts w:ascii="Times New Roman" w:eastAsia="Times New Roman" w:hAnsi="Times New Roman" w:cs="Times New Roman"/>
        </w:rPr>
        <w:footnoteReference w:id="63"/>
      </w:r>
      <w:r w:rsidRPr="00365553">
        <w:rPr>
          <w:rFonts w:ascii="Times New Roman" w:eastAsia="Times New Roman" w:hAnsi="Times New Roman" w:cs="Times New Roman"/>
        </w:rPr>
        <w:t>.</w:t>
      </w:r>
    </w:p>
    <w:p w14:paraId="4384489F" w14:textId="77777777" w:rsidR="002120E3" w:rsidRPr="00365553" w:rsidRDefault="002120E3" w:rsidP="002120E3">
      <w:pPr>
        <w:jc w:val="both"/>
        <w:rPr>
          <w:rFonts w:ascii="Times New Roman" w:eastAsia="Times New Roman" w:hAnsi="Times New Roman" w:cs="Times New Roman"/>
        </w:rPr>
      </w:pPr>
    </w:p>
    <w:p w14:paraId="44E2D9DF" w14:textId="540A603D" w:rsidR="002120E3" w:rsidRPr="00365553" w:rsidRDefault="002120E3" w:rsidP="002120E3">
      <w:pPr>
        <w:jc w:val="both"/>
        <w:rPr>
          <w:rFonts w:ascii="Times New Roman" w:eastAsia="Times New Roman" w:hAnsi="Times New Roman" w:cs="Times New Roman"/>
          <w:bCs/>
          <w:shd w:val="clear" w:color="auto" w:fill="FFFFFF"/>
        </w:rPr>
      </w:pPr>
      <w:r w:rsidRPr="00365553">
        <w:rPr>
          <w:rFonts w:ascii="Times New Roman" w:eastAsia="Times New Roman" w:hAnsi="Times New Roman" w:cs="Times New Roman"/>
          <w:bCs/>
          <w:shd w:val="clear" w:color="auto" w:fill="FFFFFF"/>
        </w:rPr>
        <w:t xml:space="preserve">This ruling constitutes an important brick in the edifice of intent in article 102 cases for illustrating that the concept of special responsibility triggers a general duty of care, upon which objective intent can be inferred.  In taking this approach, the judgment dispenses with the need to determine whether the evidence adduced by the Commission to prove subjective intent was based on sufficiently “objective factors”, and leaves once again to posterity (after </w:t>
      </w:r>
      <w:r w:rsidRPr="00365553">
        <w:rPr>
          <w:rFonts w:ascii="Times New Roman" w:eastAsia="Times New Roman" w:hAnsi="Times New Roman" w:cs="Times New Roman"/>
          <w:bCs/>
          <w:i/>
          <w:shd w:val="clear" w:color="auto" w:fill="FFFFFF"/>
        </w:rPr>
        <w:t>France Telecom</w:t>
      </w:r>
      <w:r w:rsidRPr="00365553">
        <w:rPr>
          <w:rFonts w:ascii="Times New Roman" w:eastAsia="Times New Roman" w:hAnsi="Times New Roman" w:cs="Times New Roman"/>
          <w:bCs/>
          <w:shd w:val="clear" w:color="auto" w:fill="FFFFFF"/>
        </w:rPr>
        <w:t xml:space="preserve">) the question as to how “subjective” and “objective” ought to be distinguished. While the defendant seemingly provided good examples of “subjective” factors when pointing to the use of “selective and out of context references, tenuous inferences and insinuations”, it remains to be seen whether the CJEU would second that view (as on </w:t>
      </w:r>
      <w:r w:rsidR="003F251D">
        <w:rPr>
          <w:rFonts w:ascii="Times New Roman" w:eastAsia="Times New Roman" w:hAnsi="Times New Roman" w:cs="Times New Roman"/>
          <w:bCs/>
          <w:shd w:val="clear" w:color="auto" w:fill="FFFFFF"/>
        </w:rPr>
        <w:t xml:space="preserve">the </w:t>
      </w:r>
      <w:r w:rsidRPr="00365553">
        <w:rPr>
          <w:rFonts w:ascii="Times New Roman" w:eastAsia="Times New Roman" w:hAnsi="Times New Roman" w:cs="Times New Roman"/>
          <w:bCs/>
          <w:shd w:val="clear" w:color="auto" w:fill="FFFFFF"/>
        </w:rPr>
        <w:t xml:space="preserve">appeal it did not rule on this particular point). </w:t>
      </w:r>
    </w:p>
    <w:p w14:paraId="4DCD1F3F" w14:textId="77777777" w:rsidR="002120E3" w:rsidRPr="00365553" w:rsidRDefault="002120E3" w:rsidP="000E0F53">
      <w:pPr>
        <w:pStyle w:val="Heading2"/>
      </w:pPr>
      <w:bookmarkStart w:id="12" w:name="_Toc390300606"/>
      <w:r w:rsidRPr="00365553">
        <w:t>2.4 Intent in the Guidance Paper</w:t>
      </w:r>
      <w:bookmarkEnd w:id="12"/>
      <w:r w:rsidRPr="00365553">
        <w:t xml:space="preserve"> </w:t>
      </w:r>
    </w:p>
    <w:p w14:paraId="5134888E" w14:textId="77777777" w:rsidR="002120E3" w:rsidRPr="00365553" w:rsidRDefault="002120E3" w:rsidP="002120E3">
      <w:pPr>
        <w:jc w:val="both"/>
        <w:rPr>
          <w:rFonts w:ascii="Times New Roman" w:hAnsi="Times New Roman" w:cs="Times New Roman"/>
          <w:b/>
        </w:rPr>
      </w:pPr>
    </w:p>
    <w:p w14:paraId="6767932A" w14:textId="2D1ADAA1" w:rsidR="002120E3" w:rsidRPr="00365553" w:rsidRDefault="002120E3" w:rsidP="002120E3">
      <w:pPr>
        <w:jc w:val="both"/>
        <w:rPr>
          <w:rFonts w:ascii="Times New Roman" w:hAnsi="Times New Roman" w:cs="Times New Roman"/>
        </w:rPr>
      </w:pPr>
      <w:r w:rsidRPr="00365553">
        <w:rPr>
          <w:rFonts w:ascii="Times New Roman" w:hAnsi="Times New Roman" w:cs="Times New Roman"/>
        </w:rPr>
        <w:t>Having illustrated so far that the case-law of the CJEU requires the existence of an objective element as constitutive part of subjective intent, it is worth noting that the European Commission’s Guidance Paper</w:t>
      </w:r>
      <w:r w:rsidRPr="00365553">
        <w:rPr>
          <w:rStyle w:val="FootnoteReference"/>
          <w:rFonts w:ascii="Times New Roman" w:hAnsi="Times New Roman" w:cs="Times New Roman"/>
        </w:rPr>
        <w:footnoteReference w:id="64"/>
      </w:r>
      <w:r w:rsidRPr="00365553">
        <w:rPr>
          <w:rFonts w:ascii="Times New Roman" w:hAnsi="Times New Roman" w:cs="Times New Roman"/>
        </w:rPr>
        <w:t xml:space="preserve"> contains no acknowledgment in this sense. This has notable consequences on future enforcement, in that the Commission as well as any court or competition authority relying on the Paper should handle its guidelines with caution. Those guidelines specifically say that “intent can be proven by </w:t>
      </w:r>
      <w:r w:rsidRPr="00365553">
        <w:rPr>
          <w:rFonts w:ascii="Times New Roman" w:hAnsi="Times New Roman" w:cs="Times New Roman"/>
          <w:i/>
        </w:rPr>
        <w:t>direct</w:t>
      </w:r>
      <w:r w:rsidRPr="00365553">
        <w:rPr>
          <w:rFonts w:ascii="Times New Roman" w:hAnsi="Times New Roman" w:cs="Times New Roman"/>
        </w:rPr>
        <w:t xml:space="preserve"> evidence of a strategy to exclude competitors, such as a detailed plan to engage in certain conduct in order to exclude a competitor, to prevent entry or to pre-empt the emergence of a market, or other evidence of concrete threats of exclusionary action”</w:t>
      </w:r>
      <w:r w:rsidRPr="00365553">
        <w:rPr>
          <w:rStyle w:val="FootnoteReference"/>
          <w:rFonts w:ascii="Times New Roman" w:hAnsi="Times New Roman" w:cs="Times New Roman"/>
        </w:rPr>
        <w:footnoteReference w:id="65"/>
      </w:r>
      <w:r w:rsidRPr="00365553">
        <w:rPr>
          <w:rFonts w:ascii="Times New Roman" w:hAnsi="Times New Roman" w:cs="Times New Roman"/>
        </w:rPr>
        <w:t xml:space="preserve">. Note that this formulation incorporates the wording that had been subject to controversy in </w:t>
      </w:r>
      <w:r w:rsidRPr="00365553">
        <w:rPr>
          <w:rFonts w:ascii="Times New Roman" w:hAnsi="Times New Roman" w:cs="Times New Roman"/>
          <w:i/>
        </w:rPr>
        <w:t>France Telecom</w:t>
      </w:r>
      <w:r w:rsidRPr="00365553">
        <w:rPr>
          <w:rFonts w:ascii="Times New Roman" w:hAnsi="Times New Roman" w:cs="Times New Roman"/>
        </w:rPr>
        <w:t xml:space="preserve">, so that there will be no questions for the Commission that “pre-empting” belongs to the category of acts </w:t>
      </w:r>
      <w:r>
        <w:rPr>
          <w:rFonts w:ascii="Times New Roman" w:hAnsi="Times New Roman" w:cs="Times New Roman"/>
        </w:rPr>
        <w:t xml:space="preserve">directly </w:t>
      </w:r>
      <w:r w:rsidRPr="00365553">
        <w:rPr>
          <w:rFonts w:ascii="Times New Roman" w:hAnsi="Times New Roman" w:cs="Times New Roman"/>
        </w:rPr>
        <w:t>prohibited by article 102</w:t>
      </w:r>
      <w:r>
        <w:rPr>
          <w:rFonts w:ascii="Times New Roman" w:hAnsi="Times New Roman" w:cs="Times New Roman"/>
        </w:rPr>
        <w:t xml:space="preserve"> (and thus no inference is needed once it is proven to be the conduct to which a subjective intent can be attributed)</w:t>
      </w:r>
      <w:r w:rsidRPr="00365553">
        <w:rPr>
          <w:rFonts w:ascii="Times New Roman" w:hAnsi="Times New Roman" w:cs="Times New Roman"/>
        </w:rPr>
        <w:t>.</w:t>
      </w:r>
    </w:p>
    <w:p w14:paraId="0B859B76" w14:textId="77777777" w:rsidR="002120E3" w:rsidRPr="00365553" w:rsidRDefault="002120E3" w:rsidP="002120E3">
      <w:pPr>
        <w:jc w:val="both"/>
        <w:rPr>
          <w:rFonts w:ascii="Times New Roman" w:hAnsi="Times New Roman" w:cs="Times New Roman"/>
        </w:rPr>
      </w:pPr>
    </w:p>
    <w:p w14:paraId="1FA9B23F" w14:textId="7A421D7D" w:rsidR="002120E3" w:rsidRPr="00365553" w:rsidRDefault="002120E3" w:rsidP="002120E3">
      <w:pPr>
        <w:jc w:val="both"/>
        <w:rPr>
          <w:rFonts w:ascii="Times New Roman" w:hAnsi="Times New Roman" w:cs="Times New Roman"/>
        </w:rPr>
      </w:pPr>
      <w:r w:rsidRPr="00365553">
        <w:rPr>
          <w:rFonts w:ascii="Times New Roman" w:hAnsi="Times New Roman" w:cs="Times New Roman"/>
        </w:rPr>
        <w:t>Two additional points can be made in that regard: on the one hand, the Commission’s focus on direct evidence appears to limit its ability to make inferences about intent</w:t>
      </w:r>
      <w:r w:rsidR="003F251D">
        <w:rPr>
          <w:rFonts w:ascii="Times New Roman" w:hAnsi="Times New Roman" w:cs="Times New Roman"/>
        </w:rPr>
        <w:t>ion</w:t>
      </w:r>
      <w:r w:rsidRPr="00365553">
        <w:rPr>
          <w:rFonts w:ascii="Times New Roman" w:hAnsi="Times New Roman" w:cs="Times New Roman"/>
        </w:rPr>
        <w:t>, which reduces the risk of stretching this notion too far</w:t>
      </w:r>
      <w:r w:rsidRPr="00365553">
        <w:rPr>
          <w:rStyle w:val="FootnoteReference"/>
          <w:rFonts w:ascii="Times New Roman" w:hAnsi="Times New Roman" w:cs="Times New Roman"/>
        </w:rPr>
        <w:footnoteReference w:id="66"/>
      </w:r>
      <w:r w:rsidRPr="00365553">
        <w:rPr>
          <w:rFonts w:ascii="Times New Roman" w:hAnsi="Times New Roman" w:cs="Times New Roman"/>
        </w:rPr>
        <w:t xml:space="preserve">. The importance of this change remains limited, however, in the absence of a clarification on the distinction between direct and indirect evidence. The </w:t>
      </w:r>
      <w:r w:rsidRPr="00365553">
        <w:rPr>
          <w:rFonts w:ascii="Times New Roman" w:hAnsi="Times New Roman" w:cs="Times New Roman"/>
          <w:i/>
        </w:rPr>
        <w:t>France Telecom</w:t>
      </w:r>
      <w:r w:rsidRPr="00365553">
        <w:rPr>
          <w:rFonts w:ascii="Times New Roman" w:hAnsi="Times New Roman" w:cs="Times New Roman"/>
        </w:rPr>
        <w:t xml:space="preserve"> example shows that the distinction between these types of evidences is far from clear, which suggests that a national court following its own rules of evidence might construe “direct” narrowly</w:t>
      </w:r>
      <w:r>
        <w:rPr>
          <w:rFonts w:ascii="Times New Roman" w:hAnsi="Times New Roman" w:cs="Times New Roman"/>
        </w:rPr>
        <w:t xml:space="preserve"> and potentially lead to divergence and a significant amount of type II errors (false negatives)</w:t>
      </w:r>
      <w:r w:rsidRPr="00365553">
        <w:rPr>
          <w:rFonts w:ascii="Times New Roman" w:hAnsi="Times New Roman" w:cs="Times New Roman"/>
        </w:rPr>
        <w:t xml:space="preserve">. </w:t>
      </w:r>
    </w:p>
    <w:p w14:paraId="4C27CD17" w14:textId="77777777" w:rsidR="002120E3" w:rsidRPr="00365553" w:rsidRDefault="002120E3" w:rsidP="002120E3">
      <w:pPr>
        <w:jc w:val="both"/>
        <w:rPr>
          <w:rFonts w:ascii="Times New Roman" w:hAnsi="Times New Roman" w:cs="Times New Roman"/>
        </w:rPr>
      </w:pPr>
    </w:p>
    <w:p w14:paraId="2DF3B9A8" w14:textId="77777777" w:rsidR="002120E3" w:rsidRPr="00365553" w:rsidRDefault="002120E3" w:rsidP="002120E3">
      <w:pPr>
        <w:jc w:val="both"/>
        <w:rPr>
          <w:rFonts w:ascii="Times New Roman" w:eastAsia="Times New Roman" w:hAnsi="Times New Roman" w:cs="Times New Roman"/>
          <w:bCs/>
          <w:shd w:val="clear" w:color="auto" w:fill="FFFFFF"/>
        </w:rPr>
      </w:pPr>
      <w:r w:rsidRPr="00365553">
        <w:rPr>
          <w:rFonts w:ascii="Times New Roman" w:hAnsi="Times New Roman" w:cs="Times New Roman"/>
        </w:rPr>
        <w:t xml:space="preserve">On the other hand, the following sentence in paragraph 20 of the Paper refers to evidence of a strategy to exclude competitors as evidence which may be helpful to interpret the dominant undertaking’s conduct. The Paper’s reference to “strategy” should probably be understood to mean </w:t>
      </w:r>
      <w:r w:rsidRPr="00365553">
        <w:rPr>
          <w:rFonts w:ascii="Times New Roman" w:hAnsi="Times New Roman" w:cs="Times New Roman"/>
          <w:i/>
        </w:rPr>
        <w:t>subjective</w:t>
      </w:r>
      <w:r w:rsidRPr="00365553">
        <w:rPr>
          <w:rFonts w:ascii="Times New Roman" w:hAnsi="Times New Roman" w:cs="Times New Roman"/>
        </w:rPr>
        <w:t xml:space="preserve"> intent to disambiguate a particular conduct. However, the notion of “interpreting” is broader than disambiguating, potentially supporting a primary or exclusive reliance on subjective intent for a finding of illegality: for example, where there is apparent justification for a certain refusal to deal, but damning evidence is found that captures the CEO explaining a real anticompetitive strategy behind the refusal. Given this possibility, the need to address the uncertainties left by the case-law becomes even more important,</w:t>
      </w:r>
      <w:r w:rsidRPr="00365553">
        <w:rPr>
          <w:rFonts w:ascii="Times New Roman" w:eastAsia="Times New Roman" w:hAnsi="Times New Roman" w:cs="Times New Roman"/>
          <w:bCs/>
          <w:shd w:val="clear" w:color="auto" w:fill="FFFFFF"/>
        </w:rPr>
        <w:t xml:space="preserve"> to prevent less reliable evidence from directing the outcome in future cases. </w:t>
      </w:r>
    </w:p>
    <w:p w14:paraId="7A2634C0" w14:textId="77777777" w:rsidR="002120E3" w:rsidRPr="00365553" w:rsidRDefault="002120E3" w:rsidP="000E0F53">
      <w:pPr>
        <w:pStyle w:val="Heading2"/>
        <w:rPr>
          <w:shd w:val="clear" w:color="auto" w:fill="FFFFFF"/>
        </w:rPr>
      </w:pPr>
      <w:bookmarkStart w:id="13" w:name="_Toc390300607"/>
      <w:r w:rsidRPr="00365553">
        <w:rPr>
          <w:shd w:val="clear" w:color="auto" w:fill="FFFFFF"/>
        </w:rPr>
        <w:t>2.5 Conclusion</w:t>
      </w:r>
      <w:bookmarkEnd w:id="13"/>
    </w:p>
    <w:p w14:paraId="26C297F9" w14:textId="77777777" w:rsidR="002120E3" w:rsidRDefault="002120E3" w:rsidP="002120E3">
      <w:pPr>
        <w:jc w:val="both"/>
        <w:rPr>
          <w:rFonts w:ascii="Times New Roman" w:hAnsi="Times New Roman" w:cs="Times New Roman"/>
        </w:rPr>
      </w:pPr>
    </w:p>
    <w:p w14:paraId="124CE66E" w14:textId="77777777" w:rsidR="002120E3" w:rsidRPr="006624B3" w:rsidRDefault="002120E3" w:rsidP="002120E3">
      <w:pPr>
        <w:jc w:val="both"/>
        <w:rPr>
          <w:rFonts w:ascii="Times New Roman" w:hAnsi="Times New Roman" w:cs="Times New Roman"/>
        </w:rPr>
      </w:pPr>
      <w:r w:rsidRPr="006624B3">
        <w:rPr>
          <w:rFonts w:ascii="Times New Roman" w:hAnsi="Times New Roman" w:cs="Times New Roman"/>
        </w:rPr>
        <w:t xml:space="preserve">In conclusion, a rundown of the cases where subjective intent </w:t>
      </w:r>
      <w:r>
        <w:rPr>
          <w:rFonts w:ascii="Times New Roman" w:hAnsi="Times New Roman" w:cs="Times New Roman"/>
        </w:rPr>
        <w:t>was integral to</w:t>
      </w:r>
      <w:r w:rsidRPr="006624B3">
        <w:rPr>
          <w:rFonts w:ascii="Times New Roman" w:hAnsi="Times New Roman" w:cs="Times New Roman"/>
        </w:rPr>
        <w:t xml:space="preserve"> the theory of harm under article 102 TFEU illustrates the emergence of a pattern</w:t>
      </w:r>
      <w:r>
        <w:rPr>
          <w:rFonts w:ascii="Times New Roman" w:hAnsi="Times New Roman" w:cs="Times New Roman"/>
        </w:rPr>
        <w:t xml:space="preserve"> (see below, Fig. 1)</w:t>
      </w:r>
      <w:r w:rsidRPr="006624B3">
        <w:rPr>
          <w:rFonts w:ascii="Times New Roman" w:hAnsi="Times New Roman" w:cs="Times New Roman"/>
        </w:rPr>
        <w:t>, although not always consistent, while also highlighting a few “gaps” that require filling.</w:t>
      </w:r>
    </w:p>
    <w:p w14:paraId="2B30BB91" w14:textId="1B2CEF4C" w:rsidR="002120E3" w:rsidRPr="006624B3" w:rsidRDefault="002120E3" w:rsidP="002120E3">
      <w:pPr>
        <w:jc w:val="both"/>
        <w:rPr>
          <w:rFonts w:ascii="Times New Roman" w:hAnsi="Times New Roman" w:cs="Times New Roman"/>
        </w:rPr>
      </w:pPr>
      <w:r w:rsidRPr="006624B3">
        <w:rPr>
          <w:rFonts w:ascii="Times New Roman" w:hAnsi="Times New Roman" w:cs="Times New Roman"/>
        </w:rPr>
        <w:t xml:space="preserve">First, and at the most basic level: subjective intent is never </w:t>
      </w:r>
      <w:r w:rsidR="00740F7B">
        <w:rPr>
          <w:rFonts w:ascii="Times New Roman" w:hAnsi="Times New Roman" w:cs="Times New Roman"/>
        </w:rPr>
        <w:t xml:space="preserve">used </w:t>
      </w:r>
      <w:r w:rsidRPr="006624B3">
        <w:rPr>
          <w:rFonts w:ascii="Times New Roman" w:hAnsi="Times New Roman" w:cs="Times New Roman"/>
        </w:rPr>
        <w:t>in isolation from, or in conflict with, its objective counterpart</w:t>
      </w:r>
      <w:r w:rsidR="00740F7B">
        <w:rPr>
          <w:rFonts w:ascii="Times New Roman" w:hAnsi="Times New Roman" w:cs="Times New Roman"/>
        </w:rPr>
        <w:t xml:space="preserve"> (the existence of likely effects)</w:t>
      </w:r>
      <w:r w:rsidRPr="006624B3">
        <w:rPr>
          <w:rFonts w:ascii="Times New Roman" w:hAnsi="Times New Roman" w:cs="Times New Roman"/>
        </w:rPr>
        <w:t xml:space="preserve">. </w:t>
      </w:r>
      <w:r w:rsidR="00740F7B">
        <w:rPr>
          <w:rFonts w:ascii="Times New Roman" w:hAnsi="Times New Roman" w:cs="Times New Roman"/>
        </w:rPr>
        <w:t>As to its role, it</w:t>
      </w:r>
      <w:r w:rsidRPr="006624B3">
        <w:rPr>
          <w:rFonts w:ascii="Times New Roman" w:hAnsi="Times New Roman" w:cs="Times New Roman"/>
        </w:rPr>
        <w:t xml:space="preserve"> can be used as additional element to support a finding of infringement established on the basis of objective intent (but not as a defence against it); and it gains particular salience where evidence of objective intent is inconclusive, in order to disambiguate the nature of a practice that could </w:t>
      </w:r>
      <w:r w:rsidR="00711AB9">
        <w:rPr>
          <w:rFonts w:ascii="Times New Roman" w:hAnsi="Times New Roman" w:cs="Times New Roman"/>
        </w:rPr>
        <w:t>be potentially</w:t>
      </w:r>
      <w:r w:rsidRPr="006624B3">
        <w:rPr>
          <w:rFonts w:ascii="Times New Roman" w:hAnsi="Times New Roman" w:cs="Times New Roman"/>
        </w:rPr>
        <w:t xml:space="preserve"> pro- or anti-competitive. </w:t>
      </w:r>
    </w:p>
    <w:p w14:paraId="07986699" w14:textId="2EB26633" w:rsidR="002120E3" w:rsidRDefault="002120E3" w:rsidP="002120E3">
      <w:pPr>
        <w:jc w:val="both"/>
        <w:rPr>
          <w:rFonts w:ascii="Times New Roman" w:hAnsi="Times New Roman" w:cs="Times New Roman"/>
        </w:rPr>
      </w:pPr>
      <w:r w:rsidRPr="006624B3">
        <w:rPr>
          <w:rFonts w:ascii="Times New Roman" w:hAnsi="Times New Roman" w:cs="Times New Roman"/>
        </w:rPr>
        <w:t xml:space="preserve">Second, </w:t>
      </w:r>
      <w:r>
        <w:rPr>
          <w:rFonts w:ascii="Times New Roman" w:hAnsi="Times New Roman" w:cs="Times New Roman"/>
        </w:rPr>
        <w:t>where subjective intent has a disambiguating function</w:t>
      </w:r>
      <w:r w:rsidRPr="006624B3">
        <w:rPr>
          <w:rFonts w:ascii="Times New Roman" w:hAnsi="Times New Roman" w:cs="Times New Roman"/>
        </w:rPr>
        <w:t xml:space="preserve">, it can only be used to support an infringement if it is based on “objective factors”. This does not mean that the evidence provided </w:t>
      </w:r>
      <w:r>
        <w:rPr>
          <w:rFonts w:ascii="Times New Roman" w:hAnsi="Times New Roman" w:cs="Times New Roman"/>
        </w:rPr>
        <w:t>has to</w:t>
      </w:r>
      <w:r w:rsidRPr="006624B3">
        <w:rPr>
          <w:rFonts w:ascii="Times New Roman" w:hAnsi="Times New Roman" w:cs="Times New Roman"/>
        </w:rPr>
        <w:t xml:space="preserve"> be incontrovertible, in the sense of highly reliable </w:t>
      </w:r>
      <w:r w:rsidRPr="0052495A">
        <w:rPr>
          <w:rFonts w:ascii="Times New Roman" w:hAnsi="Times New Roman" w:cs="Times New Roman"/>
        </w:rPr>
        <w:t xml:space="preserve">or even necessarily of “direct” nature: “objectivity” in this context </w:t>
      </w:r>
      <w:r>
        <w:rPr>
          <w:rFonts w:ascii="Times New Roman" w:hAnsi="Times New Roman" w:cs="Times New Roman"/>
        </w:rPr>
        <w:t>refers</w:t>
      </w:r>
      <w:r w:rsidRPr="0052495A">
        <w:rPr>
          <w:rFonts w:ascii="Times New Roman" w:hAnsi="Times New Roman" w:cs="Times New Roman"/>
        </w:rPr>
        <w:t xml:space="preserve"> to the universal acceptance of the logic behind any inference that is made from it. If there is a reasonable doubt as to its possible interpretation, that evidence cannot be used alone to establish a violation</w:t>
      </w:r>
      <w:r w:rsidRPr="0052495A">
        <w:rPr>
          <w:rStyle w:val="FootnoteReference"/>
          <w:rFonts w:ascii="Times New Roman" w:hAnsi="Times New Roman" w:cs="Times New Roman"/>
        </w:rPr>
        <w:footnoteReference w:id="67"/>
      </w:r>
      <w:r w:rsidRPr="0052495A">
        <w:rPr>
          <w:rFonts w:ascii="Times New Roman" w:hAnsi="Times New Roman" w:cs="Times New Roman"/>
        </w:rPr>
        <w:t xml:space="preserve">. For example, if that was the only piece of evidence, it would be enough for a defendant to cast doubt on the meaning of words like “fighting ships”, “fighting off” a competitor or even “pre-empt” a given market, although it is questionable that a reasonable disagreement can persist on the significance of “pre-empting” after </w:t>
      </w:r>
      <w:r>
        <w:rPr>
          <w:rFonts w:ascii="Times New Roman" w:hAnsi="Times New Roman" w:cs="Times New Roman"/>
        </w:rPr>
        <w:t xml:space="preserve">its inclusion in </w:t>
      </w:r>
      <w:r w:rsidRPr="0052495A">
        <w:rPr>
          <w:rFonts w:ascii="Times New Roman" w:hAnsi="Times New Roman" w:cs="Times New Roman"/>
        </w:rPr>
        <w:t xml:space="preserve">the Guidance paper.  In contrast, non-objective evidence can be </w:t>
      </w:r>
      <w:r>
        <w:rPr>
          <w:rFonts w:ascii="Times New Roman" w:hAnsi="Times New Roman" w:cs="Times New Roman"/>
        </w:rPr>
        <w:t>taken into account</w:t>
      </w:r>
      <w:r w:rsidRPr="0052495A">
        <w:rPr>
          <w:rFonts w:ascii="Times New Roman" w:hAnsi="Times New Roman" w:cs="Times New Roman"/>
        </w:rPr>
        <w:t xml:space="preserve"> as part of the overall assessment when combined with other indicia, which may include for instance past conduct or a trajectory of behavior, as long as they are objective and consistent</w:t>
      </w:r>
      <w:r w:rsidRPr="0052495A">
        <w:rPr>
          <w:rStyle w:val="FootnoteReference"/>
          <w:rFonts w:ascii="Times New Roman" w:hAnsi="Times New Roman" w:cs="Times New Roman"/>
        </w:rPr>
        <w:footnoteReference w:id="68"/>
      </w:r>
      <w:r w:rsidRPr="0052495A">
        <w:rPr>
          <w:rFonts w:ascii="Times New Roman" w:hAnsi="Times New Roman" w:cs="Times New Roman"/>
        </w:rPr>
        <w:t xml:space="preserve">. </w:t>
      </w:r>
      <w:r>
        <w:rPr>
          <w:rFonts w:ascii="Times New Roman" w:hAnsi="Times New Roman" w:cs="Times New Roman"/>
        </w:rPr>
        <w:t xml:space="preserve">On this point, </w:t>
      </w:r>
      <w:r w:rsidRPr="0052495A">
        <w:rPr>
          <w:rFonts w:ascii="Times New Roman" w:hAnsi="Times New Roman" w:cs="Times New Roman"/>
        </w:rPr>
        <w:t>the Guidance paper</w:t>
      </w:r>
      <w:r>
        <w:rPr>
          <w:rFonts w:ascii="Times New Roman" w:hAnsi="Times New Roman" w:cs="Times New Roman"/>
        </w:rPr>
        <w:t xml:space="preserve"> appears to depart from the existing case-law by admitting</w:t>
      </w:r>
      <w:r w:rsidRPr="0052495A">
        <w:rPr>
          <w:rFonts w:ascii="Times New Roman" w:hAnsi="Times New Roman" w:cs="Times New Roman"/>
        </w:rPr>
        <w:t xml:space="preserve"> only the use of “direct” evidence. </w:t>
      </w:r>
      <w:r>
        <w:rPr>
          <w:rFonts w:ascii="Times New Roman" w:hAnsi="Times New Roman" w:cs="Times New Roman"/>
        </w:rPr>
        <w:t>T</w:t>
      </w:r>
      <w:r w:rsidRPr="0052495A">
        <w:rPr>
          <w:rFonts w:ascii="Times New Roman" w:hAnsi="Times New Roman" w:cs="Times New Roman"/>
        </w:rPr>
        <w:t>his discrepancy has the potential to hinder the effectiveness of competition law, lead to divergent outcomes as well as potenti</w:t>
      </w:r>
      <w:r>
        <w:rPr>
          <w:rFonts w:ascii="Times New Roman" w:hAnsi="Times New Roman" w:cs="Times New Roman"/>
        </w:rPr>
        <w:t xml:space="preserve">ally chill business behavior. </w:t>
      </w:r>
      <w:r>
        <w:rPr>
          <w:rFonts w:ascii="Times New Roman" w:hAnsi="Times New Roman" w:cs="Times New Roman"/>
          <w:highlight w:val="yellow"/>
        </w:rPr>
        <w:br/>
      </w:r>
    </w:p>
    <w:p w14:paraId="7CA4A28B" w14:textId="77777777" w:rsidR="002120E3" w:rsidRDefault="002120E3" w:rsidP="002120E3">
      <w:pPr>
        <w:jc w:val="both"/>
        <w:rPr>
          <w:rFonts w:ascii="Times New Roman" w:hAnsi="Times New Roman" w:cs="Times New Roman"/>
        </w:rPr>
      </w:pPr>
      <w:r>
        <w:rPr>
          <w:rFonts w:ascii="Times New Roman" w:hAnsi="Times New Roman" w:cs="Times New Roman"/>
        </w:rPr>
        <w:t xml:space="preserve">Similarly, the Guidance Paper’s statement that subjective evidence can be used to </w:t>
      </w:r>
      <w:r w:rsidRPr="00B72B3B">
        <w:rPr>
          <w:rFonts w:ascii="Times New Roman" w:hAnsi="Times New Roman" w:cs="Times New Roman"/>
          <w:i/>
        </w:rPr>
        <w:t>interpret</w:t>
      </w:r>
      <w:r>
        <w:rPr>
          <w:rFonts w:ascii="Times New Roman" w:hAnsi="Times New Roman" w:cs="Times New Roman"/>
        </w:rPr>
        <w:t xml:space="preserve"> conduct by the dominant firm is risky to the extent that it could be taken to mean that evidence of subjective intent may prevail over conflicting evidence of objective intent. However, this would run against a core principle identified in the case-law: the necessity of a link between a subjective and objective components of intent. The next section, by reference to a recent case, illustrates that the risk of departure from that principle is not insignificant. </w:t>
      </w:r>
    </w:p>
    <w:p w14:paraId="52FC99B8" w14:textId="77777777" w:rsidR="002120E3" w:rsidRPr="009C41C6" w:rsidRDefault="002120E3" w:rsidP="002120E3">
      <w:pPr>
        <w:jc w:val="both"/>
        <w:rPr>
          <w:rFonts w:ascii="Times New Roman" w:hAnsi="Times New Roman" w:cs="Times New Roman"/>
        </w:rPr>
      </w:pPr>
    </w:p>
    <w:p w14:paraId="3FA1FEFC" w14:textId="77777777" w:rsidR="002120E3" w:rsidRPr="0039516D" w:rsidRDefault="002120E3" w:rsidP="002120E3">
      <w:pPr>
        <w:jc w:val="both"/>
        <w:rPr>
          <w:rFonts w:ascii="Times New Roman" w:hAnsi="Times New Roman" w:cs="Times New Roman"/>
          <w:i/>
        </w:rPr>
      </w:pPr>
      <w:r w:rsidRPr="0039516D">
        <w:rPr>
          <w:rFonts w:ascii="Times New Roman" w:hAnsi="Times New Roman" w:cs="Times New Roman"/>
          <w:i/>
        </w:rPr>
        <w:t>Fig. 1: Cases where intent played a central role to the establishment of an abuse</w:t>
      </w:r>
    </w:p>
    <w:p w14:paraId="44BFECE7" w14:textId="77777777" w:rsidR="002120E3" w:rsidRPr="004F44AD" w:rsidRDefault="002120E3" w:rsidP="002120E3">
      <w:pPr>
        <w:jc w:val="both"/>
        <w:rPr>
          <w:rFonts w:ascii="Times New Roman" w:hAnsi="Times New Roman" w:cs="Times New Roman"/>
        </w:rPr>
      </w:pPr>
    </w:p>
    <w:tbl>
      <w:tblPr>
        <w:tblStyle w:val="TableGrid"/>
        <w:tblW w:w="9175" w:type="dxa"/>
        <w:tblLayout w:type="fixed"/>
        <w:tblLook w:val="04A0" w:firstRow="1" w:lastRow="0" w:firstColumn="1" w:lastColumn="0" w:noHBand="0" w:noVBand="1"/>
      </w:tblPr>
      <w:tblGrid>
        <w:gridCol w:w="918"/>
        <w:gridCol w:w="1260"/>
        <w:gridCol w:w="1440"/>
        <w:gridCol w:w="1530"/>
        <w:gridCol w:w="2160"/>
        <w:gridCol w:w="1867"/>
      </w:tblGrid>
      <w:tr w:rsidR="002120E3" w:rsidRPr="009C41C6" w14:paraId="7E202AC2" w14:textId="77777777" w:rsidTr="000E0F53">
        <w:tc>
          <w:tcPr>
            <w:tcW w:w="918" w:type="dxa"/>
          </w:tcPr>
          <w:p w14:paraId="11F02E37" w14:textId="77777777" w:rsidR="002120E3" w:rsidRPr="009C41C6" w:rsidRDefault="002120E3" w:rsidP="000E0F53">
            <w:pPr>
              <w:rPr>
                <w:b/>
              </w:rPr>
            </w:pPr>
            <w:r w:rsidRPr="009C41C6">
              <w:rPr>
                <w:b/>
              </w:rPr>
              <w:t>Case</w:t>
            </w:r>
          </w:p>
        </w:tc>
        <w:tc>
          <w:tcPr>
            <w:tcW w:w="1260" w:type="dxa"/>
          </w:tcPr>
          <w:p w14:paraId="4629B4B8" w14:textId="77777777" w:rsidR="002120E3" w:rsidRPr="009C41C6" w:rsidRDefault="002120E3" w:rsidP="000E0F53">
            <w:pPr>
              <w:rPr>
                <w:b/>
              </w:rPr>
            </w:pPr>
            <w:r w:rsidRPr="009C41C6">
              <w:rPr>
                <w:b/>
              </w:rPr>
              <w:t>Practice</w:t>
            </w:r>
          </w:p>
        </w:tc>
        <w:tc>
          <w:tcPr>
            <w:tcW w:w="1440" w:type="dxa"/>
          </w:tcPr>
          <w:p w14:paraId="4906CE49" w14:textId="77777777" w:rsidR="002120E3" w:rsidRPr="009C41C6" w:rsidRDefault="002120E3" w:rsidP="000E0F53">
            <w:pPr>
              <w:rPr>
                <w:b/>
              </w:rPr>
            </w:pPr>
            <w:r w:rsidRPr="009C41C6">
              <w:rPr>
                <w:b/>
              </w:rPr>
              <w:t>Objective Intent</w:t>
            </w:r>
          </w:p>
        </w:tc>
        <w:tc>
          <w:tcPr>
            <w:tcW w:w="1530" w:type="dxa"/>
          </w:tcPr>
          <w:p w14:paraId="25249F63" w14:textId="77777777" w:rsidR="002120E3" w:rsidRPr="009C41C6" w:rsidRDefault="002120E3" w:rsidP="000E0F53">
            <w:pPr>
              <w:rPr>
                <w:b/>
              </w:rPr>
            </w:pPr>
            <w:r w:rsidRPr="009C41C6">
              <w:rPr>
                <w:b/>
              </w:rPr>
              <w:t>Subjective Intent</w:t>
            </w:r>
          </w:p>
        </w:tc>
        <w:tc>
          <w:tcPr>
            <w:tcW w:w="2160" w:type="dxa"/>
          </w:tcPr>
          <w:p w14:paraId="09035CC7" w14:textId="77777777" w:rsidR="002120E3" w:rsidRPr="009C41C6" w:rsidRDefault="002120E3" w:rsidP="000E0F53">
            <w:pPr>
              <w:rPr>
                <w:b/>
              </w:rPr>
            </w:pPr>
            <w:r w:rsidRPr="009C41C6">
              <w:rPr>
                <w:b/>
              </w:rPr>
              <w:t xml:space="preserve">Trigger words and </w:t>
            </w:r>
            <w:r>
              <w:rPr>
                <w:b/>
              </w:rPr>
              <w:t xml:space="preserve">nature </w:t>
            </w:r>
            <w:r w:rsidRPr="009C41C6">
              <w:rPr>
                <w:b/>
              </w:rPr>
              <w:t xml:space="preserve">of </w:t>
            </w:r>
            <w:r>
              <w:rPr>
                <w:b/>
              </w:rPr>
              <w:t>evidence</w:t>
            </w:r>
            <w:r w:rsidRPr="009C41C6">
              <w:rPr>
                <w:b/>
              </w:rPr>
              <w:t xml:space="preserve"> </w:t>
            </w:r>
            <w:r>
              <w:rPr>
                <w:b/>
              </w:rPr>
              <w:t>of subjective intent</w:t>
            </w:r>
          </w:p>
        </w:tc>
        <w:tc>
          <w:tcPr>
            <w:tcW w:w="1867" w:type="dxa"/>
          </w:tcPr>
          <w:p w14:paraId="610B0087" w14:textId="77777777" w:rsidR="002120E3" w:rsidRPr="009C41C6" w:rsidRDefault="002120E3" w:rsidP="000E0F53">
            <w:pPr>
              <w:rPr>
                <w:b/>
              </w:rPr>
            </w:pPr>
            <w:r w:rsidRPr="009C41C6">
              <w:rPr>
                <w:b/>
              </w:rPr>
              <w:t>Role of subjective intent</w:t>
            </w:r>
          </w:p>
        </w:tc>
      </w:tr>
      <w:tr w:rsidR="002120E3" w:rsidRPr="009C41C6" w14:paraId="58F7CF32" w14:textId="77777777" w:rsidTr="000E0F53">
        <w:tc>
          <w:tcPr>
            <w:tcW w:w="918" w:type="dxa"/>
          </w:tcPr>
          <w:p w14:paraId="33154E03" w14:textId="77777777" w:rsidR="002120E3" w:rsidRPr="009C41C6" w:rsidRDefault="002120E3" w:rsidP="000E0F53">
            <w:r w:rsidRPr="009C41C6">
              <w:rPr>
                <w:i/>
              </w:rPr>
              <w:t>AKZO</w:t>
            </w:r>
            <w:r w:rsidRPr="009C41C6">
              <w:t xml:space="preserve"> (CJEU 1991)</w:t>
            </w:r>
          </w:p>
        </w:tc>
        <w:tc>
          <w:tcPr>
            <w:tcW w:w="1260" w:type="dxa"/>
          </w:tcPr>
          <w:p w14:paraId="535E948B" w14:textId="77777777" w:rsidR="002120E3" w:rsidRPr="009C41C6" w:rsidRDefault="002120E3" w:rsidP="000E0F53">
            <w:r w:rsidRPr="009C41C6">
              <w:t>Predatory Pricing</w:t>
            </w:r>
          </w:p>
        </w:tc>
        <w:tc>
          <w:tcPr>
            <w:tcW w:w="1440" w:type="dxa"/>
          </w:tcPr>
          <w:p w14:paraId="6E756EF6" w14:textId="77777777" w:rsidR="002120E3" w:rsidRPr="009C41C6" w:rsidRDefault="002120E3" w:rsidP="000E0F53">
            <w:r>
              <w:t>Pricing</w:t>
            </w:r>
            <w:r w:rsidRPr="009C41C6">
              <w:t xml:space="preserve"> </w:t>
            </w:r>
            <w:r>
              <w:t>below ATCs</w:t>
            </w:r>
          </w:p>
        </w:tc>
        <w:tc>
          <w:tcPr>
            <w:tcW w:w="1530" w:type="dxa"/>
          </w:tcPr>
          <w:p w14:paraId="2A2EC4BC" w14:textId="77777777" w:rsidR="002120E3" w:rsidRPr="009C41C6" w:rsidRDefault="002120E3" w:rsidP="000E0F53">
            <w:r w:rsidRPr="009C41C6">
              <w:t>Internal documents + threats to competitors</w:t>
            </w:r>
          </w:p>
        </w:tc>
        <w:tc>
          <w:tcPr>
            <w:tcW w:w="2160" w:type="dxa"/>
          </w:tcPr>
          <w:p w14:paraId="5F3E3364" w14:textId="77777777" w:rsidR="002120E3" w:rsidRPr="009C41C6" w:rsidRDefault="002120E3" w:rsidP="000E0F53">
            <w:r w:rsidRPr="009C41C6">
              <w:t xml:space="preserve">“prices offered to customer chosen to be </w:t>
            </w:r>
            <w:r w:rsidRPr="009C41C6">
              <w:rPr>
                <w:i/>
              </w:rPr>
              <w:t>well below</w:t>
            </w:r>
            <w:r w:rsidRPr="009C41C6">
              <w:t xml:space="preserve"> competitor’s prices to that customer” (indirect, objective)</w:t>
            </w:r>
          </w:p>
        </w:tc>
        <w:tc>
          <w:tcPr>
            <w:tcW w:w="1867" w:type="dxa"/>
          </w:tcPr>
          <w:p w14:paraId="70466E06" w14:textId="77777777" w:rsidR="002120E3" w:rsidRPr="009C41C6" w:rsidRDefault="002120E3" w:rsidP="000E0F53">
            <w:r w:rsidRPr="009C41C6">
              <w:t>Disambiguating</w:t>
            </w:r>
          </w:p>
        </w:tc>
      </w:tr>
      <w:tr w:rsidR="002120E3" w:rsidRPr="009C41C6" w14:paraId="66955D22" w14:textId="77777777" w:rsidTr="000E0F53">
        <w:tc>
          <w:tcPr>
            <w:tcW w:w="918" w:type="dxa"/>
          </w:tcPr>
          <w:p w14:paraId="35D4841C" w14:textId="77777777" w:rsidR="002120E3" w:rsidRPr="009C41C6" w:rsidRDefault="002120E3" w:rsidP="000E0F53">
            <w:r w:rsidRPr="009C41C6">
              <w:rPr>
                <w:i/>
              </w:rPr>
              <w:t>Tetra Pak II</w:t>
            </w:r>
            <w:r w:rsidRPr="009C41C6">
              <w:t xml:space="preserve"> (C</w:t>
            </w:r>
            <w:r>
              <w:t>FI</w:t>
            </w:r>
            <w:r w:rsidRPr="009C41C6">
              <w:t xml:space="preserve"> 1994)</w:t>
            </w:r>
          </w:p>
        </w:tc>
        <w:tc>
          <w:tcPr>
            <w:tcW w:w="1260" w:type="dxa"/>
          </w:tcPr>
          <w:p w14:paraId="34DD02EF" w14:textId="77777777" w:rsidR="002120E3" w:rsidRPr="009C41C6" w:rsidRDefault="002120E3" w:rsidP="000E0F53">
            <w:r w:rsidRPr="009C41C6">
              <w:t>Predatory pricing</w:t>
            </w:r>
          </w:p>
        </w:tc>
        <w:tc>
          <w:tcPr>
            <w:tcW w:w="1440" w:type="dxa"/>
          </w:tcPr>
          <w:p w14:paraId="1DC65FB8" w14:textId="77777777" w:rsidR="002120E3" w:rsidRPr="009C41C6" w:rsidRDefault="002120E3" w:rsidP="000E0F53">
            <w:r>
              <w:t>Price below AVCs + m</w:t>
            </w:r>
            <w:r w:rsidRPr="009C41C6">
              <w:t>agnitude of price differences in country of predation</w:t>
            </w:r>
          </w:p>
        </w:tc>
        <w:tc>
          <w:tcPr>
            <w:tcW w:w="1530" w:type="dxa"/>
          </w:tcPr>
          <w:p w14:paraId="5E52E7F7" w14:textId="77777777" w:rsidR="002120E3" w:rsidRPr="009C41C6" w:rsidRDefault="002120E3" w:rsidP="000E0F53">
            <w:r w:rsidRPr="009C41C6">
              <w:t>Internal documents</w:t>
            </w:r>
          </w:p>
        </w:tc>
        <w:tc>
          <w:tcPr>
            <w:tcW w:w="2160" w:type="dxa"/>
          </w:tcPr>
          <w:p w14:paraId="2D99CB91" w14:textId="77777777" w:rsidR="002120E3" w:rsidRPr="009C41C6" w:rsidRDefault="002120E3" w:rsidP="000E0F53">
            <w:r w:rsidRPr="009C41C6">
              <w:t xml:space="preserve">“need to make sacrifices to </w:t>
            </w:r>
            <w:r w:rsidRPr="009C41C6">
              <w:rPr>
                <w:i/>
              </w:rPr>
              <w:t>fight off</w:t>
            </w:r>
            <w:r w:rsidRPr="009C41C6">
              <w:t xml:space="preserve"> competitor” (indirect, subjective)</w:t>
            </w:r>
          </w:p>
        </w:tc>
        <w:tc>
          <w:tcPr>
            <w:tcW w:w="1867" w:type="dxa"/>
          </w:tcPr>
          <w:p w14:paraId="0023558B" w14:textId="77777777" w:rsidR="002120E3" w:rsidRPr="009C41C6" w:rsidRDefault="002120E3" w:rsidP="000E0F53">
            <w:r>
              <w:t>Corroborating</w:t>
            </w:r>
          </w:p>
        </w:tc>
      </w:tr>
      <w:tr w:rsidR="002120E3" w:rsidRPr="009C41C6" w14:paraId="6E620A7D" w14:textId="77777777" w:rsidTr="000E0F53">
        <w:tc>
          <w:tcPr>
            <w:tcW w:w="918" w:type="dxa"/>
          </w:tcPr>
          <w:p w14:paraId="0B22BE91" w14:textId="77777777" w:rsidR="002120E3" w:rsidRPr="009C41C6" w:rsidRDefault="002120E3" w:rsidP="000E0F53">
            <w:r w:rsidRPr="009C41C6">
              <w:rPr>
                <w:i/>
              </w:rPr>
              <w:t>Compagnie Maritime Belge</w:t>
            </w:r>
            <w:r w:rsidRPr="009C41C6">
              <w:t xml:space="preserve"> (CFI 1996)</w:t>
            </w:r>
          </w:p>
        </w:tc>
        <w:tc>
          <w:tcPr>
            <w:tcW w:w="1260" w:type="dxa"/>
          </w:tcPr>
          <w:p w14:paraId="4EF5810A" w14:textId="77777777" w:rsidR="002120E3" w:rsidRPr="009C41C6" w:rsidRDefault="002120E3" w:rsidP="000E0F53">
            <w:r w:rsidRPr="009C41C6">
              <w:t>Selective price-cutting</w:t>
            </w:r>
          </w:p>
        </w:tc>
        <w:tc>
          <w:tcPr>
            <w:tcW w:w="1440" w:type="dxa"/>
          </w:tcPr>
          <w:p w14:paraId="3B643799" w14:textId="77777777" w:rsidR="002120E3" w:rsidRPr="009C41C6" w:rsidRDefault="002120E3" w:rsidP="000E0F53">
            <w:r>
              <w:rPr>
                <w:rFonts w:ascii="Times New Roman" w:hAnsi="Times New Roman" w:cs="Times New Roman"/>
              </w:rPr>
              <w:t>P</w:t>
            </w:r>
            <w:r w:rsidRPr="009C41C6">
              <w:rPr>
                <w:rFonts w:ascii="Times New Roman" w:hAnsi="Times New Roman" w:cs="Times New Roman"/>
              </w:rPr>
              <w:t>rice-matching pattern</w:t>
            </w:r>
          </w:p>
        </w:tc>
        <w:tc>
          <w:tcPr>
            <w:tcW w:w="1530" w:type="dxa"/>
          </w:tcPr>
          <w:p w14:paraId="0EB5AFB1" w14:textId="77777777" w:rsidR="002120E3" w:rsidRPr="009C41C6" w:rsidRDefault="002120E3" w:rsidP="000E0F53">
            <w:r w:rsidRPr="009C41C6">
              <w:t>Internal documents + admission at hearing</w:t>
            </w:r>
          </w:p>
        </w:tc>
        <w:tc>
          <w:tcPr>
            <w:tcW w:w="2160" w:type="dxa"/>
          </w:tcPr>
          <w:p w14:paraId="6B21DB3C" w14:textId="77777777" w:rsidR="002120E3" w:rsidRPr="009C41C6" w:rsidRDefault="002120E3" w:rsidP="000E0F53">
            <w:pPr>
              <w:rPr>
                <w:rFonts w:ascii="Times New Roman" w:hAnsi="Times New Roman" w:cs="Times New Roman"/>
              </w:rPr>
            </w:pPr>
            <w:r w:rsidRPr="009C41C6">
              <w:rPr>
                <w:rFonts w:ascii="Times New Roman" w:hAnsi="Times New Roman" w:cs="Times New Roman"/>
              </w:rPr>
              <w:t>- “</w:t>
            </w:r>
            <w:r w:rsidRPr="009C41C6">
              <w:rPr>
                <w:rFonts w:ascii="Times New Roman" w:hAnsi="Times New Roman" w:cs="Times New Roman"/>
                <w:i/>
              </w:rPr>
              <w:t>getting rid</w:t>
            </w:r>
            <w:r w:rsidRPr="009C41C6">
              <w:rPr>
                <w:rFonts w:ascii="Times New Roman" w:hAnsi="Times New Roman" w:cs="Times New Roman"/>
              </w:rPr>
              <w:t xml:space="preserve"> of competitor” (direct, objective) </w:t>
            </w:r>
          </w:p>
          <w:p w14:paraId="0CE48702" w14:textId="77777777" w:rsidR="002120E3" w:rsidRPr="009C41C6" w:rsidRDefault="002120E3" w:rsidP="000E0F53">
            <w:r w:rsidRPr="009C41C6">
              <w:rPr>
                <w:rFonts w:ascii="Times New Roman" w:hAnsi="Times New Roman" w:cs="Times New Roman"/>
              </w:rPr>
              <w:t xml:space="preserve">- “use of </w:t>
            </w:r>
            <w:r w:rsidRPr="009C41C6">
              <w:rPr>
                <w:rFonts w:ascii="Times New Roman" w:hAnsi="Times New Roman" w:cs="Times New Roman"/>
                <w:i/>
              </w:rPr>
              <w:t>fighting ships</w:t>
            </w:r>
            <w:r w:rsidRPr="009C41C6">
              <w:rPr>
                <w:rFonts w:ascii="Times New Roman" w:hAnsi="Times New Roman" w:cs="Times New Roman"/>
              </w:rPr>
              <w:t>” (indirect, objective)</w:t>
            </w:r>
          </w:p>
        </w:tc>
        <w:tc>
          <w:tcPr>
            <w:tcW w:w="1867" w:type="dxa"/>
          </w:tcPr>
          <w:p w14:paraId="361C1518" w14:textId="77777777" w:rsidR="002120E3" w:rsidRPr="009C41C6" w:rsidRDefault="002120E3" w:rsidP="000E0F53">
            <w:r>
              <w:t>Disambiguating</w:t>
            </w:r>
          </w:p>
        </w:tc>
      </w:tr>
      <w:tr w:rsidR="002120E3" w14:paraId="2882706D" w14:textId="77777777" w:rsidTr="000E0F53">
        <w:tc>
          <w:tcPr>
            <w:tcW w:w="918" w:type="dxa"/>
          </w:tcPr>
          <w:p w14:paraId="42395645" w14:textId="77777777" w:rsidR="002120E3" w:rsidRPr="009C41C6" w:rsidRDefault="002120E3" w:rsidP="000E0F53">
            <w:r w:rsidRPr="009C41C6">
              <w:rPr>
                <w:i/>
              </w:rPr>
              <w:t>France Telecom</w:t>
            </w:r>
            <w:r w:rsidRPr="009C41C6">
              <w:t xml:space="preserve"> (CFI 2007)</w:t>
            </w:r>
          </w:p>
        </w:tc>
        <w:tc>
          <w:tcPr>
            <w:tcW w:w="1260" w:type="dxa"/>
          </w:tcPr>
          <w:p w14:paraId="2CAF6E75" w14:textId="77777777" w:rsidR="002120E3" w:rsidRPr="009C41C6" w:rsidRDefault="002120E3" w:rsidP="000E0F53">
            <w:r w:rsidRPr="009C41C6">
              <w:t>Predatory pricing</w:t>
            </w:r>
          </w:p>
        </w:tc>
        <w:tc>
          <w:tcPr>
            <w:tcW w:w="1440" w:type="dxa"/>
          </w:tcPr>
          <w:p w14:paraId="612D4CBA" w14:textId="77777777" w:rsidR="002120E3" w:rsidRPr="009C41C6" w:rsidRDefault="002120E3" w:rsidP="000E0F53">
            <w:r>
              <w:t>Pricing below AT</w:t>
            </w:r>
            <w:r w:rsidRPr="009C41C6">
              <w:t>Cs</w:t>
            </w:r>
          </w:p>
        </w:tc>
        <w:tc>
          <w:tcPr>
            <w:tcW w:w="1530" w:type="dxa"/>
          </w:tcPr>
          <w:p w14:paraId="21E56DB0" w14:textId="77777777" w:rsidR="002120E3" w:rsidRPr="009C41C6" w:rsidRDefault="002120E3" w:rsidP="000E0F53">
            <w:r w:rsidRPr="009C41C6">
              <w:t>Internal documents</w:t>
            </w:r>
          </w:p>
        </w:tc>
        <w:tc>
          <w:tcPr>
            <w:tcW w:w="2160" w:type="dxa"/>
          </w:tcPr>
          <w:p w14:paraId="79ADC4E9" w14:textId="77777777" w:rsidR="002120E3" w:rsidRPr="009C41C6" w:rsidRDefault="002120E3" w:rsidP="000E0F53">
            <w:r w:rsidRPr="009C41C6">
              <w:t>“</w:t>
            </w:r>
            <w:r w:rsidRPr="009C41C6">
              <w:rPr>
                <w:i/>
              </w:rPr>
              <w:t>pre-empting</w:t>
            </w:r>
            <w:r w:rsidRPr="009C41C6">
              <w:t xml:space="preserve"> ADSL market” (direct?, objective)</w:t>
            </w:r>
          </w:p>
        </w:tc>
        <w:tc>
          <w:tcPr>
            <w:tcW w:w="1867" w:type="dxa"/>
          </w:tcPr>
          <w:p w14:paraId="1A6825E5" w14:textId="77777777" w:rsidR="002120E3" w:rsidRPr="009C41C6" w:rsidRDefault="002120E3" w:rsidP="000E0F53">
            <w:r>
              <w:t>Disambiguating</w:t>
            </w:r>
          </w:p>
        </w:tc>
      </w:tr>
      <w:tr w:rsidR="002120E3" w14:paraId="27C8B0F7" w14:textId="77777777" w:rsidTr="000E0F53">
        <w:tc>
          <w:tcPr>
            <w:tcW w:w="918" w:type="dxa"/>
          </w:tcPr>
          <w:p w14:paraId="2F1FBBD9" w14:textId="77777777" w:rsidR="002120E3" w:rsidRDefault="002120E3" w:rsidP="000E0F53">
            <w:r w:rsidRPr="005F7303">
              <w:rPr>
                <w:i/>
              </w:rPr>
              <w:t>Astra Zeneca</w:t>
            </w:r>
            <w:r>
              <w:t xml:space="preserve"> (CJEU 2010)</w:t>
            </w:r>
          </w:p>
        </w:tc>
        <w:tc>
          <w:tcPr>
            <w:tcW w:w="1260" w:type="dxa"/>
          </w:tcPr>
          <w:p w14:paraId="6F763AC9" w14:textId="77777777" w:rsidR="002120E3" w:rsidRDefault="002120E3" w:rsidP="000E0F53">
            <w:r>
              <w:t>Misleading representations to patent office</w:t>
            </w:r>
          </w:p>
        </w:tc>
        <w:tc>
          <w:tcPr>
            <w:tcW w:w="1440" w:type="dxa"/>
          </w:tcPr>
          <w:p w14:paraId="25BA31C0" w14:textId="77777777" w:rsidR="002120E3" w:rsidRDefault="002120E3" w:rsidP="000E0F53">
            <w:r>
              <w:t>Sufficient likelihood of creating obstacles to competition + manifest lack of transparency</w:t>
            </w:r>
          </w:p>
        </w:tc>
        <w:tc>
          <w:tcPr>
            <w:tcW w:w="1530" w:type="dxa"/>
          </w:tcPr>
          <w:p w14:paraId="7313489F" w14:textId="77777777" w:rsidR="002120E3" w:rsidRDefault="002120E3" w:rsidP="000E0F53">
            <w:r>
              <w:t>Internal</w:t>
            </w:r>
            <w:r w:rsidRPr="008A6C58">
              <w:t xml:space="preserve"> </w:t>
            </w:r>
            <w:r>
              <w:t>documents</w:t>
            </w:r>
          </w:p>
        </w:tc>
        <w:tc>
          <w:tcPr>
            <w:tcW w:w="2160" w:type="dxa"/>
          </w:tcPr>
          <w:p w14:paraId="45D5EC9B" w14:textId="77777777" w:rsidR="002120E3" w:rsidRDefault="002120E3" w:rsidP="000E0F53">
            <w:r>
              <w:rPr>
                <w:rFonts w:ascii="Times New Roman" w:eastAsia="Times New Roman" w:hAnsi="Times New Roman" w:cs="Times New Roman"/>
              </w:rPr>
              <w:t xml:space="preserve">Instructions to choose a specific date for SPC (indirect, subjective) application; </w:t>
            </w:r>
            <w:r w:rsidRPr="00365553">
              <w:rPr>
                <w:rFonts w:ascii="Times New Roman" w:eastAsia="Times New Roman" w:hAnsi="Times New Roman" w:cs="Times New Roman"/>
              </w:rPr>
              <w:t>different date for different SPC applications</w:t>
            </w:r>
            <w:r>
              <w:rPr>
                <w:rFonts w:ascii="Times New Roman" w:eastAsia="Times New Roman" w:hAnsi="Times New Roman" w:cs="Times New Roman"/>
              </w:rPr>
              <w:t xml:space="preserve"> (indirect, subjective)</w:t>
            </w:r>
          </w:p>
        </w:tc>
        <w:tc>
          <w:tcPr>
            <w:tcW w:w="1867" w:type="dxa"/>
          </w:tcPr>
          <w:p w14:paraId="3AE2BF11" w14:textId="77777777" w:rsidR="002120E3" w:rsidRDefault="002120E3" w:rsidP="000E0F53">
            <w:r>
              <w:t>Corroborating</w:t>
            </w:r>
          </w:p>
        </w:tc>
      </w:tr>
    </w:tbl>
    <w:p w14:paraId="5939B9A3" w14:textId="77777777" w:rsidR="002120E3" w:rsidRDefault="002120E3" w:rsidP="002120E3">
      <w:pPr>
        <w:jc w:val="both"/>
        <w:rPr>
          <w:rFonts w:ascii="Times New Roman" w:hAnsi="Times New Roman" w:cs="Times New Roman"/>
          <w:highlight w:val="yellow"/>
        </w:rPr>
      </w:pPr>
    </w:p>
    <w:p w14:paraId="16938E1D" w14:textId="77777777" w:rsidR="002120E3" w:rsidRDefault="002120E3" w:rsidP="002120E3">
      <w:pPr>
        <w:jc w:val="both"/>
        <w:rPr>
          <w:rFonts w:ascii="Times New Roman" w:hAnsi="Times New Roman" w:cs="Times New Roman"/>
        </w:rPr>
      </w:pPr>
    </w:p>
    <w:p w14:paraId="35BFB797" w14:textId="77777777" w:rsidR="002120E3" w:rsidRDefault="002120E3" w:rsidP="000E0F53">
      <w:pPr>
        <w:pStyle w:val="Heading1"/>
      </w:pPr>
      <w:bookmarkStart w:id="14" w:name="_Toc390300608"/>
      <w:r w:rsidRPr="006344C2">
        <w:t xml:space="preserve">3. Intent in the algorithmic age: the </w:t>
      </w:r>
      <w:r w:rsidRPr="006344C2">
        <w:rPr>
          <w:i/>
        </w:rPr>
        <w:t>Google Shopping</w:t>
      </w:r>
      <w:r w:rsidRPr="006344C2">
        <w:t xml:space="preserve"> decision and its legal basis</w:t>
      </w:r>
      <w:bookmarkEnd w:id="14"/>
    </w:p>
    <w:p w14:paraId="16F2F985" w14:textId="77777777" w:rsidR="002120E3" w:rsidRPr="00612CBC" w:rsidRDefault="002120E3" w:rsidP="002120E3">
      <w:pPr>
        <w:jc w:val="both"/>
        <w:rPr>
          <w:rFonts w:ascii="Times New Roman" w:hAnsi="Times New Roman" w:cs="Times New Roman"/>
        </w:rPr>
      </w:pPr>
    </w:p>
    <w:p w14:paraId="025B18BF" w14:textId="77777777" w:rsidR="002120E3" w:rsidRDefault="002120E3" w:rsidP="002120E3">
      <w:pPr>
        <w:jc w:val="both"/>
        <w:rPr>
          <w:rFonts w:ascii="Times New Roman" w:hAnsi="Times New Roman" w:cs="Times New Roman"/>
        </w:rPr>
      </w:pPr>
      <w:r w:rsidRPr="009F22D2">
        <w:rPr>
          <w:rFonts w:ascii="Times New Roman" w:hAnsi="Times New Roman" w:cs="Times New Roman"/>
        </w:rPr>
        <w:t xml:space="preserve">On 27 June 2017, the European Commission closed its investigation in the </w:t>
      </w:r>
      <w:r w:rsidRPr="009F22D2">
        <w:rPr>
          <w:rFonts w:ascii="Times New Roman" w:hAnsi="Times New Roman" w:cs="Times New Roman"/>
          <w:i/>
        </w:rPr>
        <w:t>Google Shopping</w:t>
      </w:r>
      <w:r w:rsidRPr="009F22D2">
        <w:rPr>
          <w:rFonts w:ascii="Times New Roman" w:hAnsi="Times New Roman" w:cs="Times New Roman"/>
        </w:rPr>
        <w:t xml:space="preserve"> case</w:t>
      </w:r>
      <w:r>
        <w:rPr>
          <w:rFonts w:ascii="Times New Roman" w:hAnsi="Times New Roman" w:cs="Times New Roman"/>
        </w:rPr>
        <w:t>. It found</w:t>
      </w:r>
      <w:r w:rsidRPr="009F22D2">
        <w:rPr>
          <w:rFonts w:ascii="Times New Roman" w:hAnsi="Times New Roman" w:cs="Times New Roman"/>
        </w:rPr>
        <w:t xml:space="preserve"> a breach of article 102 TFEU in relation to Google’s “more favourable positioning and display of its own comparison shopping service compared to competing comparison shopping services” (hereinafter, “the conduct”)</w:t>
      </w:r>
      <w:bookmarkStart w:id="15" w:name="_Ref379983613"/>
      <w:r w:rsidRPr="009F22D2">
        <w:rPr>
          <w:rStyle w:val="FootnoteReference"/>
          <w:rFonts w:ascii="Times New Roman" w:hAnsi="Times New Roman" w:cs="Times New Roman"/>
        </w:rPr>
        <w:footnoteReference w:id="69"/>
      </w:r>
      <w:bookmarkEnd w:id="15"/>
      <w:r w:rsidRPr="009F22D2">
        <w:rPr>
          <w:rFonts w:ascii="Times New Roman" w:hAnsi="Times New Roman" w:cs="Times New Roman"/>
        </w:rPr>
        <w:t>. The Commission’s Decision is</w:t>
      </w:r>
      <w:r>
        <w:rPr>
          <w:rFonts w:ascii="Times New Roman" w:hAnsi="Times New Roman" w:cs="Times New Roman"/>
        </w:rPr>
        <w:t xml:space="preserve"> important </w:t>
      </w:r>
      <w:r w:rsidRPr="009F22D2">
        <w:rPr>
          <w:rFonts w:ascii="Times New Roman" w:hAnsi="Times New Roman" w:cs="Times New Roman"/>
        </w:rPr>
        <w:t>for several reasons</w:t>
      </w:r>
      <w:r>
        <w:rPr>
          <w:rFonts w:ascii="Times New Roman" w:hAnsi="Times New Roman" w:cs="Times New Roman"/>
        </w:rPr>
        <w:t xml:space="preserve">. First and foremost, </w:t>
      </w:r>
      <w:r w:rsidRPr="009F22D2">
        <w:rPr>
          <w:rFonts w:ascii="Times New Roman" w:hAnsi="Times New Roman" w:cs="Times New Roman"/>
        </w:rPr>
        <w:t xml:space="preserve">it constitutes the first application of </w:t>
      </w:r>
      <w:r>
        <w:rPr>
          <w:rFonts w:ascii="Times New Roman" w:hAnsi="Times New Roman" w:cs="Times New Roman"/>
        </w:rPr>
        <w:t>the leveraging theory</w:t>
      </w:r>
      <w:r w:rsidRPr="009F22D2">
        <w:rPr>
          <w:rFonts w:ascii="Times New Roman" w:hAnsi="Times New Roman" w:cs="Times New Roman"/>
        </w:rPr>
        <w:t xml:space="preserve"> </w:t>
      </w:r>
      <w:r>
        <w:rPr>
          <w:rFonts w:ascii="Times New Roman" w:hAnsi="Times New Roman" w:cs="Times New Roman"/>
        </w:rPr>
        <w:t>in an</w:t>
      </w:r>
      <w:r w:rsidRPr="009F22D2">
        <w:rPr>
          <w:rFonts w:ascii="Times New Roman" w:hAnsi="Times New Roman" w:cs="Times New Roman"/>
        </w:rPr>
        <w:t xml:space="preserve"> </w:t>
      </w:r>
      <w:r>
        <w:rPr>
          <w:rFonts w:ascii="Times New Roman" w:hAnsi="Times New Roman" w:cs="Times New Roman"/>
        </w:rPr>
        <w:t xml:space="preserve">algorithmic </w:t>
      </w:r>
      <w:r w:rsidRPr="009F22D2">
        <w:rPr>
          <w:rFonts w:ascii="Times New Roman" w:hAnsi="Times New Roman" w:cs="Times New Roman"/>
        </w:rPr>
        <w:t>context</w:t>
      </w:r>
      <w:r>
        <w:rPr>
          <w:rFonts w:ascii="Times New Roman" w:hAnsi="Times New Roman" w:cs="Times New Roman"/>
        </w:rPr>
        <w:t>, where as a result of certain algorithmic design choices</w:t>
      </w:r>
      <w:r>
        <w:rPr>
          <w:rStyle w:val="FootnoteReference"/>
          <w:rFonts w:ascii="Times New Roman" w:hAnsi="Times New Roman" w:cs="Times New Roman"/>
        </w:rPr>
        <w:footnoteReference w:id="70"/>
      </w:r>
      <w:r>
        <w:rPr>
          <w:rFonts w:ascii="Times New Roman" w:hAnsi="Times New Roman" w:cs="Times New Roman"/>
        </w:rPr>
        <w:t xml:space="preserve"> a dominant undertaking systematically</w:t>
      </w:r>
      <w:r w:rsidRPr="009F22D2">
        <w:rPr>
          <w:rFonts w:ascii="Times New Roman" w:hAnsi="Times New Roman" w:cs="Times New Roman"/>
        </w:rPr>
        <w:t xml:space="preserve"> direct</w:t>
      </w:r>
      <w:r>
        <w:rPr>
          <w:rFonts w:ascii="Times New Roman" w:hAnsi="Times New Roman" w:cs="Times New Roman"/>
        </w:rPr>
        <w:t>s</w:t>
      </w:r>
      <w:r w:rsidRPr="009F22D2">
        <w:rPr>
          <w:rFonts w:ascii="Times New Roman" w:hAnsi="Times New Roman" w:cs="Times New Roman"/>
        </w:rPr>
        <w:t xml:space="preserve"> (“nudge</w:t>
      </w:r>
      <w:r>
        <w:rPr>
          <w:rFonts w:ascii="Times New Roman" w:hAnsi="Times New Roman" w:cs="Times New Roman"/>
        </w:rPr>
        <w:t>s</w:t>
      </w:r>
      <w:r w:rsidRPr="009F22D2">
        <w:rPr>
          <w:rFonts w:ascii="Times New Roman" w:hAnsi="Times New Roman" w:cs="Times New Roman"/>
        </w:rPr>
        <w:t xml:space="preserve">”) consumers towards </w:t>
      </w:r>
      <w:r>
        <w:rPr>
          <w:rFonts w:ascii="Times New Roman" w:hAnsi="Times New Roman" w:cs="Times New Roman"/>
        </w:rPr>
        <w:t>its own</w:t>
      </w:r>
      <w:r w:rsidRPr="009F22D2">
        <w:rPr>
          <w:rFonts w:ascii="Times New Roman" w:hAnsi="Times New Roman" w:cs="Times New Roman"/>
        </w:rPr>
        <w:t xml:space="preserve"> goods or services in a secondary market. Google apparently did</w:t>
      </w:r>
      <w:r>
        <w:rPr>
          <w:rFonts w:ascii="Times New Roman" w:hAnsi="Times New Roman" w:cs="Times New Roman"/>
        </w:rPr>
        <w:t xml:space="preserve"> no</w:t>
      </w:r>
      <w:r w:rsidRPr="009F22D2">
        <w:rPr>
          <w:rFonts w:ascii="Times New Roman" w:hAnsi="Times New Roman" w:cs="Times New Roman"/>
        </w:rPr>
        <w:t>t see it coming, as it argued both in the proceedings before the European Commission and in the appeal it lodged against the Decision</w:t>
      </w:r>
      <w:r w:rsidRPr="009F22D2">
        <w:rPr>
          <w:rStyle w:val="FootnoteReference"/>
          <w:rFonts w:ascii="Times New Roman" w:hAnsi="Times New Roman" w:cs="Times New Roman"/>
        </w:rPr>
        <w:footnoteReference w:id="71"/>
      </w:r>
      <w:r w:rsidRPr="009F22D2">
        <w:rPr>
          <w:rFonts w:ascii="Times New Roman" w:hAnsi="Times New Roman" w:cs="Times New Roman"/>
        </w:rPr>
        <w:t xml:space="preserve"> that the Commission used a novel theory of abuse, and therefore in accordance with its previous practice should not have imposed a fine. </w:t>
      </w:r>
      <w:r>
        <w:rPr>
          <w:rFonts w:ascii="Times New Roman" w:hAnsi="Times New Roman" w:cs="Times New Roman"/>
        </w:rPr>
        <w:t xml:space="preserve">According to Google, the conduct could not be deemed abusive unless it is proved that the top result in Google Search constitute a refusal to grant access to an essential facility in line with the stringent criteria laid out in </w:t>
      </w:r>
      <w:r w:rsidRPr="0095368A">
        <w:rPr>
          <w:rFonts w:ascii="Times New Roman" w:hAnsi="Times New Roman" w:cs="Times New Roman"/>
          <w:i/>
        </w:rPr>
        <w:t>Bronner</w:t>
      </w:r>
      <w:r>
        <w:rPr>
          <w:rFonts w:ascii="Times New Roman" w:hAnsi="Times New Roman" w:cs="Times New Roman"/>
        </w:rPr>
        <w:t xml:space="preserve">, that is: </w:t>
      </w:r>
      <w:r w:rsidRPr="0095368A">
        <w:rPr>
          <w:rFonts w:ascii="Times New Roman" w:hAnsi="Times New Roman" w:cs="Times New Roman"/>
        </w:rPr>
        <w:t>(i) the refusal</w:t>
      </w:r>
      <w:r>
        <w:rPr>
          <w:rFonts w:ascii="Times New Roman" w:hAnsi="Times New Roman" w:cs="Times New Roman"/>
        </w:rPr>
        <w:t xml:space="preserve"> </w:t>
      </w:r>
      <w:r w:rsidRPr="0095368A">
        <w:rPr>
          <w:rFonts w:ascii="Times New Roman" w:hAnsi="Times New Roman" w:cs="Times New Roman"/>
        </w:rPr>
        <w:t xml:space="preserve">was likely to eliminate all competition in the </w:t>
      </w:r>
      <w:r>
        <w:rPr>
          <w:rFonts w:ascii="Times New Roman" w:hAnsi="Times New Roman" w:cs="Times New Roman"/>
        </w:rPr>
        <w:t>relevant market</w:t>
      </w:r>
      <w:r w:rsidRPr="0095368A">
        <w:rPr>
          <w:rFonts w:ascii="Times New Roman" w:hAnsi="Times New Roman" w:cs="Times New Roman"/>
        </w:rPr>
        <w:t>; (ii) such refusal was incapable of being</w:t>
      </w:r>
      <w:r>
        <w:rPr>
          <w:rFonts w:ascii="Times New Roman" w:hAnsi="Times New Roman" w:cs="Times New Roman"/>
        </w:rPr>
        <w:t xml:space="preserve"> </w:t>
      </w:r>
      <w:r w:rsidRPr="0095368A">
        <w:rPr>
          <w:rFonts w:ascii="Times New Roman" w:hAnsi="Times New Roman" w:cs="Times New Roman"/>
        </w:rPr>
        <w:t>objectively justified; and (iii) the service in itself was indispensable to carrying</w:t>
      </w:r>
      <w:r>
        <w:rPr>
          <w:rFonts w:ascii="Times New Roman" w:hAnsi="Times New Roman" w:cs="Times New Roman"/>
        </w:rPr>
        <w:t xml:space="preserve"> on that person’s business, </w:t>
      </w:r>
      <w:r w:rsidRPr="0095368A">
        <w:rPr>
          <w:rFonts w:ascii="Times New Roman" w:hAnsi="Times New Roman" w:cs="Times New Roman"/>
        </w:rPr>
        <w:t>inasmuch as there is no actual or potential substitute in</w:t>
      </w:r>
      <w:r>
        <w:rPr>
          <w:rFonts w:ascii="Times New Roman" w:hAnsi="Times New Roman" w:cs="Times New Roman"/>
        </w:rPr>
        <w:t xml:space="preserve"> </w:t>
      </w:r>
      <w:r w:rsidRPr="0095368A">
        <w:rPr>
          <w:rFonts w:ascii="Times New Roman" w:hAnsi="Times New Roman" w:cs="Times New Roman"/>
        </w:rPr>
        <w:t>existence for</w:t>
      </w:r>
      <w:r>
        <w:rPr>
          <w:rFonts w:ascii="Times New Roman" w:hAnsi="Times New Roman" w:cs="Times New Roman"/>
        </w:rPr>
        <w:t xml:space="preserve"> the facility in question</w:t>
      </w:r>
      <w:r>
        <w:rPr>
          <w:rStyle w:val="FootnoteReference"/>
          <w:rFonts w:ascii="Times New Roman" w:hAnsi="Times New Roman" w:cs="Times New Roman"/>
        </w:rPr>
        <w:footnoteReference w:id="72"/>
      </w:r>
      <w:r>
        <w:rPr>
          <w:rFonts w:ascii="Times New Roman" w:hAnsi="Times New Roman" w:cs="Times New Roman"/>
        </w:rPr>
        <w:t>.</w:t>
      </w:r>
    </w:p>
    <w:p w14:paraId="7BD0F80D" w14:textId="77777777" w:rsidR="002120E3" w:rsidRDefault="002120E3" w:rsidP="002120E3">
      <w:pPr>
        <w:jc w:val="both"/>
        <w:rPr>
          <w:rFonts w:ascii="Times New Roman" w:hAnsi="Times New Roman" w:cs="Times New Roman"/>
        </w:rPr>
      </w:pPr>
    </w:p>
    <w:p w14:paraId="1AC9126C" w14:textId="5CEBFD85" w:rsidR="002120E3" w:rsidRDefault="002120E3" w:rsidP="002120E3">
      <w:pPr>
        <w:jc w:val="both"/>
        <w:rPr>
          <w:rFonts w:ascii="Times New Roman" w:hAnsi="Times New Roman" w:cs="Times New Roman"/>
        </w:rPr>
      </w:pPr>
      <w:r w:rsidRPr="009F22D2">
        <w:rPr>
          <w:rFonts w:ascii="Times New Roman" w:hAnsi="Times New Roman" w:cs="Times New Roman"/>
        </w:rPr>
        <w:t>However, the Commission rejected this argument</w:t>
      </w:r>
      <w:r>
        <w:rPr>
          <w:rFonts w:ascii="Times New Roman" w:hAnsi="Times New Roman" w:cs="Times New Roman"/>
        </w:rPr>
        <w:t>, noting that it had already used a self-favouring theory to establish abuse in a number of cases</w:t>
      </w:r>
      <w:bookmarkStart w:id="16" w:name="_Ref379983956"/>
      <w:r w:rsidRPr="009F22D2">
        <w:rPr>
          <w:rStyle w:val="FootnoteReference"/>
          <w:rFonts w:ascii="Times New Roman" w:hAnsi="Times New Roman" w:cs="Times New Roman"/>
        </w:rPr>
        <w:footnoteReference w:id="73"/>
      </w:r>
      <w:bookmarkEnd w:id="16"/>
      <w:r>
        <w:rPr>
          <w:rFonts w:ascii="Times New Roman" w:hAnsi="Times New Roman" w:cs="Times New Roman"/>
        </w:rPr>
        <w:t xml:space="preserve">. The reasoning there is quite succinct: the Decision merely cites a number of cases that present significant differences from the conduct at stake, without explaining their direct relevance or why the conditions set out in those cases would not apply. For example, the imposition of liability in the </w:t>
      </w:r>
      <w:r w:rsidRPr="00772F49">
        <w:rPr>
          <w:rFonts w:ascii="Times New Roman" w:hAnsi="Times New Roman" w:cs="Times New Roman"/>
          <w:i/>
        </w:rPr>
        <w:t>Microsoft</w:t>
      </w:r>
      <w:r>
        <w:rPr>
          <w:rFonts w:ascii="Times New Roman" w:hAnsi="Times New Roman" w:cs="Times New Roman"/>
        </w:rPr>
        <w:t xml:space="preserve"> c</w:t>
      </w:r>
      <w:r w:rsidR="00711AB9">
        <w:rPr>
          <w:rFonts w:ascii="Times New Roman" w:hAnsi="Times New Roman" w:cs="Times New Roman"/>
        </w:rPr>
        <w:t>ase was squarely dependent on</w:t>
      </w:r>
      <w:r>
        <w:rPr>
          <w:rFonts w:ascii="Times New Roman" w:hAnsi="Times New Roman" w:cs="Times New Roman"/>
        </w:rPr>
        <w:t xml:space="preserve"> the indispensability of the interoperability information that Microsoft had refused to provide. Similarly, the </w:t>
      </w:r>
      <w:r w:rsidRPr="00B67A1B">
        <w:rPr>
          <w:rFonts w:ascii="Times New Roman" w:hAnsi="Times New Roman" w:cs="Times New Roman"/>
          <w:i/>
        </w:rPr>
        <w:t>Telemarketing</w:t>
      </w:r>
      <w:r>
        <w:rPr>
          <w:rFonts w:ascii="Times New Roman" w:hAnsi="Times New Roman" w:cs="Times New Roman"/>
        </w:rPr>
        <w:t xml:space="preserve"> case explicitly refers to the existence of a dominant position in the market for a service which is indispensible for the activities of an undertaking on another market</w:t>
      </w:r>
      <w:r>
        <w:rPr>
          <w:rStyle w:val="FootnoteReference"/>
          <w:rFonts w:ascii="Times New Roman" w:hAnsi="Times New Roman" w:cs="Times New Roman"/>
        </w:rPr>
        <w:footnoteReference w:id="74"/>
      </w:r>
      <w:r>
        <w:rPr>
          <w:rFonts w:ascii="Times New Roman" w:hAnsi="Times New Roman" w:cs="Times New Roman"/>
        </w:rPr>
        <w:t xml:space="preserve">, although it claims to apply a broader principle derived from </w:t>
      </w:r>
      <w:r w:rsidRPr="00B67A1B">
        <w:rPr>
          <w:rFonts w:ascii="Times New Roman" w:hAnsi="Times New Roman" w:cs="Times New Roman"/>
          <w:i/>
        </w:rPr>
        <w:t>Commercial Solvens</w:t>
      </w:r>
      <w:r>
        <w:rPr>
          <w:rStyle w:val="FootnoteReference"/>
          <w:rFonts w:ascii="Times New Roman" w:hAnsi="Times New Roman" w:cs="Times New Roman"/>
          <w:i/>
        </w:rPr>
        <w:footnoteReference w:id="75"/>
      </w:r>
      <w:r>
        <w:rPr>
          <w:rFonts w:ascii="Times New Roman" w:hAnsi="Times New Roman" w:cs="Times New Roman"/>
        </w:rPr>
        <w:t xml:space="preserve"> – where such indispensability was never demonstrated. However, the situation in that case was fundamentally different as it concerned a dominant company’s refusal to continue to supply an existing customer</w:t>
      </w:r>
      <w:r>
        <w:rPr>
          <w:rStyle w:val="FootnoteReference"/>
          <w:rFonts w:ascii="Times New Roman" w:hAnsi="Times New Roman" w:cs="Times New Roman"/>
        </w:rPr>
        <w:footnoteReference w:id="76"/>
      </w:r>
      <w:r>
        <w:rPr>
          <w:rFonts w:ascii="Times New Roman" w:hAnsi="Times New Roman" w:cs="Times New Roman"/>
        </w:rPr>
        <w:t xml:space="preserve">, as opposed to a </w:t>
      </w:r>
      <w:r w:rsidRPr="00153638">
        <w:rPr>
          <w:rFonts w:ascii="Times New Roman" w:hAnsi="Times New Roman" w:cs="Times New Roman"/>
          <w:i/>
        </w:rPr>
        <w:t>de novo</w:t>
      </w:r>
      <w:r>
        <w:rPr>
          <w:rFonts w:ascii="Times New Roman" w:hAnsi="Times New Roman" w:cs="Times New Roman"/>
        </w:rPr>
        <w:t xml:space="preserve"> refusal</w:t>
      </w:r>
      <w:r>
        <w:rPr>
          <w:rStyle w:val="FootnoteReference"/>
          <w:rFonts w:ascii="Times New Roman" w:hAnsi="Times New Roman" w:cs="Times New Roman"/>
        </w:rPr>
        <w:footnoteReference w:id="77"/>
      </w:r>
      <w:r>
        <w:rPr>
          <w:rFonts w:ascii="Times New Roman" w:hAnsi="Times New Roman" w:cs="Times New Roman"/>
        </w:rPr>
        <w:t xml:space="preserve">. This arguably restricts the application of the ruling, and consequentially its interference with freedom of contract, to circumstances where the prior course of dealing has created legitimate expectations on the undertaking’s competitors. </w:t>
      </w:r>
    </w:p>
    <w:p w14:paraId="2ED481D7" w14:textId="77777777" w:rsidR="002120E3" w:rsidRDefault="002120E3" w:rsidP="002120E3">
      <w:pPr>
        <w:jc w:val="both"/>
        <w:rPr>
          <w:rFonts w:ascii="Times New Roman" w:hAnsi="Times New Roman" w:cs="Times New Roman"/>
        </w:rPr>
      </w:pPr>
    </w:p>
    <w:p w14:paraId="2985EF52" w14:textId="495BB38F" w:rsidR="002120E3" w:rsidRDefault="002120E3" w:rsidP="002120E3">
      <w:pPr>
        <w:jc w:val="both"/>
        <w:rPr>
          <w:rFonts w:ascii="Times New Roman" w:hAnsi="Times New Roman" w:cs="Times New Roman"/>
        </w:rPr>
      </w:pPr>
      <w:r>
        <w:rPr>
          <w:rFonts w:ascii="Times New Roman" w:hAnsi="Times New Roman" w:cs="Times New Roman"/>
        </w:rPr>
        <w:t xml:space="preserve">Finally, while the reliance on </w:t>
      </w:r>
      <w:r w:rsidRPr="0029281C">
        <w:rPr>
          <w:rFonts w:ascii="Times New Roman" w:hAnsi="Times New Roman" w:cs="Times New Roman"/>
          <w:i/>
        </w:rPr>
        <w:t>Tetra Pak II</w:t>
      </w:r>
      <w:r>
        <w:rPr>
          <w:rFonts w:ascii="Times New Roman" w:hAnsi="Times New Roman" w:cs="Times New Roman"/>
        </w:rPr>
        <w:t xml:space="preserve"> from the Commission is useful in pointing out that a dominant company is liable for conduct carried out on a neighbouring market, it says little about the abuse- since the case concerned a number of conducts ranging from tying to predatory pricing, price discrimination and other practices limiting production and technical development. It is in its link to </w:t>
      </w:r>
      <w:r w:rsidRPr="005F00A3">
        <w:rPr>
          <w:rFonts w:ascii="Times New Roman" w:hAnsi="Times New Roman" w:cs="Times New Roman"/>
          <w:i/>
        </w:rPr>
        <w:t>Irish Sugar</w:t>
      </w:r>
      <w:r>
        <w:rPr>
          <w:rFonts w:ascii="Times New Roman" w:hAnsi="Times New Roman" w:cs="Times New Roman"/>
        </w:rPr>
        <w:t xml:space="preserve">, instead, that the Commission provides the more substantive suggestion for the abuse in question. The Decision references in particular paragraph 166, where the Court explicitly mentions that the principle established in </w:t>
      </w:r>
      <w:r w:rsidRPr="0071021B">
        <w:rPr>
          <w:rFonts w:ascii="Times New Roman" w:hAnsi="Times New Roman" w:cs="Times New Roman"/>
          <w:i/>
        </w:rPr>
        <w:t>Tetra Pak II</w:t>
      </w:r>
      <w:r>
        <w:rPr>
          <w:rFonts w:ascii="Times New Roman" w:hAnsi="Times New Roman" w:cs="Times New Roman"/>
        </w:rPr>
        <w:t xml:space="preserve"> is applicable even where the conduct “is not tantamount to refusal to supply”</w:t>
      </w:r>
      <w:r>
        <w:rPr>
          <w:rStyle w:val="FootnoteReference"/>
          <w:rFonts w:ascii="Times New Roman" w:hAnsi="Times New Roman" w:cs="Times New Roman"/>
        </w:rPr>
        <w:footnoteReference w:id="78"/>
      </w:r>
      <w:r w:rsidRPr="00135FC1">
        <w:rPr>
          <w:rFonts w:ascii="Times New Roman" w:hAnsi="Times New Roman" w:cs="Times New Roman"/>
        </w:rPr>
        <w:t xml:space="preserve">. </w:t>
      </w:r>
      <w:r>
        <w:rPr>
          <w:rFonts w:ascii="Times New Roman" w:hAnsi="Times New Roman" w:cs="Times New Roman"/>
        </w:rPr>
        <w:t xml:space="preserve">On one view, this may be read simply as following the same logic of the CJEU ruling in </w:t>
      </w:r>
      <w:r w:rsidRPr="00E82CC0">
        <w:rPr>
          <w:rFonts w:ascii="Times New Roman" w:hAnsi="Times New Roman" w:cs="Times New Roman"/>
          <w:i/>
        </w:rPr>
        <w:t>Telia Sonera</w:t>
      </w:r>
      <w:r>
        <w:rPr>
          <w:rFonts w:ascii="Times New Roman" w:hAnsi="Times New Roman" w:cs="Times New Roman"/>
        </w:rPr>
        <w:t xml:space="preserve"> that requiring the establishment of a refusal to deal </w:t>
      </w:r>
      <w:r w:rsidRPr="00D57B66">
        <w:rPr>
          <w:rFonts w:ascii="Times New Roman" w:hAnsi="Times New Roman" w:cs="Times New Roman"/>
        </w:rPr>
        <w:t xml:space="preserve">before any conduct of a dominant undertaking in relation to its terms of trade </w:t>
      </w:r>
      <w:r w:rsidR="00711AB9">
        <w:rPr>
          <w:rFonts w:ascii="Times New Roman" w:hAnsi="Times New Roman" w:cs="Times New Roman"/>
        </w:rPr>
        <w:t xml:space="preserve">can </w:t>
      </w:r>
      <w:r w:rsidRPr="00D57B66">
        <w:rPr>
          <w:rFonts w:ascii="Times New Roman" w:hAnsi="Times New Roman" w:cs="Times New Roman"/>
        </w:rPr>
        <w:t>be regarded as abusive would unduly reduce the effectiveness of Article 102 TFEU</w:t>
      </w:r>
      <w:r>
        <w:rPr>
          <w:rStyle w:val="FootnoteReference"/>
          <w:rFonts w:ascii="Times New Roman" w:hAnsi="Times New Roman" w:cs="Times New Roman"/>
        </w:rPr>
        <w:footnoteReference w:id="79"/>
      </w:r>
      <w:r>
        <w:rPr>
          <w:rFonts w:ascii="Times New Roman" w:hAnsi="Times New Roman" w:cs="Times New Roman"/>
        </w:rPr>
        <w:t xml:space="preserve">. However, this statement has a more specific meaning when read in context, i.e. in the discussion of the establishment of the discriminatory nature of a practice consisting in the dominant firm’s grant of rebates to its wholesale customers depending on whether they competed with it at the retail level. Even more interestingly, </w:t>
      </w:r>
      <w:r w:rsidRPr="00FF7264">
        <w:rPr>
          <w:rFonts w:ascii="Times New Roman" w:hAnsi="Times New Roman" w:cs="Times New Roman"/>
          <w:i/>
        </w:rPr>
        <w:t>Tetra Pak II</w:t>
      </w:r>
      <w:r>
        <w:rPr>
          <w:rFonts w:ascii="Times New Roman" w:hAnsi="Times New Roman" w:cs="Times New Roman"/>
        </w:rPr>
        <w:t xml:space="preserve"> was one of the few cases where the Court embraced the idea that article 102 © is applicable to discrimination which creates competitive disadvantage between a trading party and the dominant firm (primary line injury), as opposed to between that trading party and other customers of the dominant firm (secondary line injury)</w:t>
      </w:r>
      <w:r>
        <w:rPr>
          <w:rStyle w:val="FootnoteReference"/>
          <w:rFonts w:ascii="Times New Roman" w:hAnsi="Times New Roman" w:cs="Times New Roman"/>
        </w:rPr>
        <w:footnoteReference w:id="80"/>
      </w:r>
      <w:r>
        <w:rPr>
          <w:rFonts w:ascii="Times New Roman" w:hAnsi="Times New Roman" w:cs="Times New Roman"/>
        </w:rPr>
        <w:t xml:space="preserve">. </w:t>
      </w:r>
    </w:p>
    <w:p w14:paraId="123AEAF1" w14:textId="77777777" w:rsidR="002120E3" w:rsidRDefault="002120E3" w:rsidP="002120E3">
      <w:pPr>
        <w:jc w:val="both"/>
        <w:rPr>
          <w:rFonts w:ascii="Times New Roman" w:hAnsi="Times New Roman" w:cs="Times New Roman"/>
        </w:rPr>
      </w:pPr>
    </w:p>
    <w:p w14:paraId="7953E455" w14:textId="19FE8EEE" w:rsidR="002120E3" w:rsidRDefault="002120E3" w:rsidP="002120E3">
      <w:pPr>
        <w:jc w:val="both"/>
        <w:rPr>
          <w:rFonts w:ascii="Times New Roman" w:hAnsi="Times New Roman" w:cs="Times New Roman"/>
        </w:rPr>
      </w:pPr>
      <w:r>
        <w:rPr>
          <w:rFonts w:ascii="Times New Roman" w:hAnsi="Times New Roman" w:cs="Times New Roman"/>
        </w:rPr>
        <w:t xml:space="preserve">In other words, if on one hand the Commission’s reference </w:t>
      </w:r>
      <w:r w:rsidR="00711AB9">
        <w:rPr>
          <w:rFonts w:ascii="Times New Roman" w:hAnsi="Times New Roman" w:cs="Times New Roman"/>
        </w:rPr>
        <w:t xml:space="preserve">to </w:t>
      </w:r>
      <w:r w:rsidR="00711AB9" w:rsidRPr="00711AB9">
        <w:rPr>
          <w:rFonts w:ascii="Times New Roman" w:hAnsi="Times New Roman" w:cs="Times New Roman"/>
          <w:i/>
        </w:rPr>
        <w:t>Irish Sugar</w:t>
      </w:r>
      <w:r w:rsidR="00711AB9">
        <w:rPr>
          <w:rFonts w:ascii="Times New Roman" w:hAnsi="Times New Roman" w:cs="Times New Roman"/>
        </w:rPr>
        <w:t xml:space="preserve"> </w:t>
      </w:r>
      <w:r>
        <w:rPr>
          <w:rFonts w:ascii="Times New Roman" w:hAnsi="Times New Roman" w:cs="Times New Roman"/>
        </w:rPr>
        <w:t xml:space="preserve">could be interpreted as reinstating the general principle that abuse can be found for conduct in neighbouring markets (without any need to prove refusal to deal in the adjacent market), on the other hand it could constitute the key to interpreting the Commission’s theory of harm.  This would appear in line with the Commission’s distinction of the abuse in question from a “passive” refusal to deal, which may however also be interpreted in the sense that the conduct is an </w:t>
      </w:r>
      <w:r w:rsidRPr="00415C46">
        <w:rPr>
          <w:rFonts w:ascii="Times New Roman" w:hAnsi="Times New Roman" w:cs="Times New Roman"/>
          <w:i/>
        </w:rPr>
        <w:t>active</w:t>
      </w:r>
      <w:r>
        <w:rPr>
          <w:rFonts w:ascii="Times New Roman" w:hAnsi="Times New Roman" w:cs="Times New Roman"/>
        </w:rPr>
        <w:t xml:space="preserve"> refusal to give access to a portion (at the top) of its general search results pages</w:t>
      </w:r>
      <w:r>
        <w:rPr>
          <w:rStyle w:val="FootnoteReference"/>
          <w:rFonts w:ascii="Times New Roman" w:hAnsi="Times New Roman" w:cs="Times New Roman"/>
        </w:rPr>
        <w:footnoteReference w:id="81"/>
      </w:r>
      <w:r>
        <w:rPr>
          <w:rFonts w:ascii="Times New Roman" w:hAnsi="Times New Roman" w:cs="Times New Roman"/>
        </w:rPr>
        <w:t xml:space="preserve">. </w:t>
      </w:r>
      <w:r w:rsidRPr="003B6A86">
        <w:rPr>
          <w:rFonts w:ascii="Times New Roman" w:hAnsi="Times New Roman" w:cs="Times New Roman"/>
        </w:rPr>
        <w:t xml:space="preserve">I will come back to </w:t>
      </w:r>
      <w:r w:rsidRPr="002F06E4">
        <w:rPr>
          <w:rFonts w:ascii="Times New Roman" w:hAnsi="Times New Roman" w:cs="Times New Roman"/>
        </w:rPr>
        <w:t>this shortly</w:t>
      </w:r>
      <w:r>
        <w:rPr>
          <w:rFonts w:ascii="Times New Roman" w:hAnsi="Times New Roman" w:cs="Times New Roman"/>
        </w:rPr>
        <w:t xml:space="preserve"> (see section 4.2</w:t>
      </w:r>
      <w:r w:rsidRPr="002F06E4">
        <w:rPr>
          <w:rFonts w:ascii="Times New Roman" w:hAnsi="Times New Roman" w:cs="Times New Roman"/>
        </w:rPr>
        <w:t xml:space="preserve"> below), but suffice it to say for present purposes that it seems difficult to justify the findings on the basis of the </w:t>
      </w:r>
      <w:r w:rsidRPr="002F06E4">
        <w:rPr>
          <w:rFonts w:ascii="Times New Roman" w:hAnsi="Times New Roman" w:cs="Times New Roman"/>
          <w:i/>
        </w:rPr>
        <w:t>existing</w:t>
      </w:r>
      <w:r w:rsidRPr="002F06E4">
        <w:rPr>
          <w:rFonts w:ascii="Times New Roman" w:hAnsi="Times New Roman" w:cs="Times New Roman"/>
        </w:rPr>
        <w:t xml:space="preserve"> case-law on section (b) of article 102, which prohibits “limiting production, markets or technical development to the prejudice</w:t>
      </w:r>
      <w:r w:rsidRPr="00496EB4">
        <w:rPr>
          <w:rFonts w:ascii="Times New Roman" w:hAnsi="Times New Roman" w:cs="Times New Roman"/>
        </w:rPr>
        <w:t xml:space="preserve"> of consumers</w:t>
      </w:r>
      <w:r>
        <w:rPr>
          <w:rFonts w:ascii="Times New Roman" w:hAnsi="Times New Roman" w:cs="Times New Roman"/>
        </w:rPr>
        <w:t>”. Accordingly, it has been argued that the Decision identified a new type of abuse</w:t>
      </w:r>
      <w:bookmarkStart w:id="17" w:name="_Ref390205226"/>
      <w:r>
        <w:rPr>
          <w:rStyle w:val="FootnoteReference"/>
          <w:rFonts w:ascii="Times New Roman" w:hAnsi="Times New Roman" w:cs="Times New Roman"/>
        </w:rPr>
        <w:footnoteReference w:id="82"/>
      </w:r>
      <w:bookmarkEnd w:id="17"/>
      <w:r>
        <w:rPr>
          <w:rFonts w:ascii="Times New Roman" w:hAnsi="Times New Roman" w:cs="Times New Roman"/>
        </w:rPr>
        <w:t>, relying on the open-ended nature of the prohibition under article 102. Nevertheless, contrary to previous practice where the Commission had advanced a novel theory of harm</w:t>
      </w:r>
      <w:r>
        <w:rPr>
          <w:rStyle w:val="FootnoteReference"/>
          <w:rFonts w:ascii="Times New Roman" w:hAnsi="Times New Roman" w:cs="Times New Roman"/>
        </w:rPr>
        <w:footnoteReference w:id="83"/>
      </w:r>
      <w:r>
        <w:rPr>
          <w:rFonts w:ascii="Times New Roman" w:hAnsi="Times New Roman" w:cs="Times New Roman"/>
        </w:rPr>
        <w:t xml:space="preserve">, the Commission </w:t>
      </w:r>
      <w:r w:rsidRPr="009F22D2">
        <w:rPr>
          <w:rFonts w:ascii="Times New Roman" w:hAnsi="Times New Roman" w:cs="Times New Roman"/>
        </w:rPr>
        <w:t>imposed a fine of almost 2.5 billion euros</w:t>
      </w:r>
      <w:r>
        <w:rPr>
          <w:rStyle w:val="FootnoteReference"/>
          <w:rFonts w:ascii="Times New Roman" w:hAnsi="Times New Roman" w:cs="Times New Roman"/>
        </w:rPr>
        <w:footnoteReference w:id="84"/>
      </w:r>
      <w:r>
        <w:rPr>
          <w:rFonts w:ascii="Times New Roman" w:hAnsi="Times New Roman" w:cs="Times New Roman"/>
        </w:rPr>
        <w:t xml:space="preserve">. </w:t>
      </w:r>
    </w:p>
    <w:p w14:paraId="226B8758" w14:textId="77777777" w:rsidR="002120E3" w:rsidRDefault="002120E3" w:rsidP="002120E3">
      <w:pPr>
        <w:jc w:val="both"/>
        <w:rPr>
          <w:rFonts w:ascii="Times New Roman" w:hAnsi="Times New Roman" w:cs="Times New Roman"/>
        </w:rPr>
      </w:pPr>
    </w:p>
    <w:p w14:paraId="1233F531" w14:textId="2C55AE5E" w:rsidR="002120E3" w:rsidRDefault="002120E3" w:rsidP="002120E3">
      <w:pPr>
        <w:jc w:val="both"/>
        <w:rPr>
          <w:rFonts w:ascii="Times New Roman" w:hAnsi="Times New Roman" w:cs="Times New Roman"/>
        </w:rPr>
      </w:pPr>
      <w:r w:rsidRPr="001F1F02">
        <w:rPr>
          <w:rFonts w:ascii="Times New Roman" w:hAnsi="Times New Roman" w:cs="Times New Roman"/>
        </w:rPr>
        <w:t>I share the concern for legal certainty expressed by</w:t>
      </w:r>
      <w:r>
        <w:rPr>
          <w:rFonts w:ascii="Times New Roman" w:hAnsi="Times New Roman" w:cs="Times New Roman"/>
        </w:rPr>
        <w:t xml:space="preserve"> these</w:t>
      </w:r>
      <w:r w:rsidRPr="001F1F02">
        <w:rPr>
          <w:rFonts w:ascii="Times New Roman" w:hAnsi="Times New Roman" w:cs="Times New Roman"/>
        </w:rPr>
        <w:t xml:space="preserve"> commentators, </w:t>
      </w:r>
      <w:r>
        <w:rPr>
          <w:rFonts w:ascii="Times New Roman" w:hAnsi="Times New Roman" w:cs="Times New Roman"/>
        </w:rPr>
        <w:t>but in addition also argue that the Decision fails to establish an abuse</w:t>
      </w:r>
      <w:r w:rsidR="00711AB9">
        <w:rPr>
          <w:rFonts w:ascii="Times New Roman" w:hAnsi="Times New Roman" w:cs="Times New Roman"/>
        </w:rPr>
        <w:t>,</w:t>
      </w:r>
      <w:r>
        <w:rPr>
          <w:rFonts w:ascii="Times New Roman" w:hAnsi="Times New Roman" w:cs="Times New Roman"/>
        </w:rPr>
        <w:t xml:space="preserve"> due to the lack of designation of the type of conduct that falls short of the standards of special responsibility ascribed to a dominant company</w:t>
      </w:r>
      <w:r w:rsidRPr="009F7A1C">
        <w:rPr>
          <w:rFonts w:ascii="Times New Roman" w:hAnsi="Times New Roman" w:cs="Times New Roman"/>
        </w:rPr>
        <w:t xml:space="preserve">. </w:t>
      </w:r>
      <w:r>
        <w:rPr>
          <w:rFonts w:ascii="Times New Roman" w:hAnsi="Times New Roman" w:cs="Times New Roman"/>
        </w:rPr>
        <w:t xml:space="preserve">This also generates problems of proportionality of the remedy imposed, as the Commission </w:t>
      </w:r>
      <w:r w:rsidR="00711AB9">
        <w:rPr>
          <w:rFonts w:ascii="Times New Roman" w:hAnsi="Times New Roman" w:cs="Times New Roman"/>
        </w:rPr>
        <w:t>unqualifiedly</w:t>
      </w:r>
      <w:r>
        <w:rPr>
          <w:rFonts w:ascii="Times New Roman" w:hAnsi="Times New Roman" w:cs="Times New Roman"/>
        </w:rPr>
        <w:t xml:space="preserve"> ordered</w:t>
      </w:r>
      <w:r w:rsidRPr="009F22D2">
        <w:rPr>
          <w:rFonts w:ascii="Times New Roman" w:hAnsi="Times New Roman" w:cs="Times New Roman"/>
        </w:rPr>
        <w:t xml:space="preserve"> Google to take adequate measures to bring the conduct to an end</w:t>
      </w:r>
      <w:r>
        <w:rPr>
          <w:rFonts w:ascii="Times New Roman" w:hAnsi="Times New Roman" w:cs="Times New Roman"/>
        </w:rPr>
        <w:t>,</w:t>
      </w:r>
      <w:r w:rsidRPr="009F22D2">
        <w:rPr>
          <w:rFonts w:ascii="Times New Roman" w:hAnsi="Times New Roman" w:cs="Times New Roman"/>
        </w:rPr>
        <w:t xml:space="preserve"> and refrain from repeating it, or engaging in any act or conduct with the same or an equivalent object or effect</w:t>
      </w:r>
      <w:r w:rsidRPr="009F22D2">
        <w:rPr>
          <w:rStyle w:val="FootnoteReference"/>
          <w:rFonts w:ascii="Times New Roman" w:hAnsi="Times New Roman" w:cs="Times New Roman"/>
        </w:rPr>
        <w:footnoteReference w:id="85"/>
      </w:r>
      <w:r w:rsidRPr="009F22D2">
        <w:rPr>
          <w:rFonts w:ascii="Times New Roman" w:hAnsi="Times New Roman" w:cs="Times New Roman"/>
        </w:rPr>
        <w:t xml:space="preserve">. </w:t>
      </w:r>
      <w:r w:rsidRPr="009F7A1C">
        <w:rPr>
          <w:rFonts w:ascii="Times New Roman" w:hAnsi="Times New Roman" w:cs="Times New Roman"/>
        </w:rPr>
        <w:t xml:space="preserve">The Commission failed to </w:t>
      </w:r>
      <w:r>
        <w:rPr>
          <w:rFonts w:ascii="Times New Roman" w:hAnsi="Times New Roman" w:cs="Times New Roman"/>
        </w:rPr>
        <w:t>define the prohibited conduct, and the type of abuse it establishes,</w:t>
      </w:r>
      <w:r w:rsidRPr="009F7A1C">
        <w:rPr>
          <w:rFonts w:ascii="Times New Roman" w:hAnsi="Times New Roman" w:cs="Times New Roman"/>
        </w:rPr>
        <w:t xml:space="preserve"> despite having at its disposal ample room</w:t>
      </w:r>
      <w:r>
        <w:rPr>
          <w:rFonts w:ascii="Times New Roman" w:hAnsi="Times New Roman" w:cs="Times New Roman"/>
        </w:rPr>
        <w:t>: the practice of s</w:t>
      </w:r>
      <w:r w:rsidRPr="002F1BE9">
        <w:rPr>
          <w:rFonts w:ascii="Times New Roman" w:hAnsi="Times New Roman" w:cs="Times New Roman"/>
        </w:rPr>
        <w:t>elf-favouring may</w:t>
      </w:r>
      <w:r>
        <w:rPr>
          <w:rFonts w:ascii="Times New Roman" w:hAnsi="Times New Roman" w:cs="Times New Roman"/>
        </w:rPr>
        <w:t xml:space="preserve"> technically</w:t>
      </w:r>
      <w:r w:rsidRPr="002F1BE9">
        <w:rPr>
          <w:rFonts w:ascii="Times New Roman" w:hAnsi="Times New Roman" w:cs="Times New Roman"/>
        </w:rPr>
        <w:t xml:space="preserve"> be caught as a manifestation of various types of conduct prohibited by article 102</w:t>
      </w:r>
      <w:bookmarkStart w:id="18" w:name="_Ref390201973"/>
      <w:r w:rsidRPr="0039516D">
        <w:rPr>
          <w:rStyle w:val="FootnoteReference"/>
          <w:rFonts w:ascii="Times New Roman" w:hAnsi="Times New Roman" w:cs="Times New Roman"/>
        </w:rPr>
        <w:footnoteReference w:id="86"/>
      </w:r>
      <w:bookmarkEnd w:id="18"/>
      <w:r w:rsidRPr="0039516D">
        <w:rPr>
          <w:rFonts w:ascii="Times New Roman" w:hAnsi="Times New Roman" w:cs="Times New Roman"/>
        </w:rPr>
        <w:t xml:space="preserve">. In particular, </w:t>
      </w:r>
      <w:r>
        <w:rPr>
          <w:rFonts w:ascii="Times New Roman" w:hAnsi="Times New Roman" w:cs="Times New Roman"/>
        </w:rPr>
        <w:t xml:space="preserve">I submit that </w:t>
      </w:r>
      <w:r w:rsidRPr="0039516D">
        <w:rPr>
          <w:rFonts w:ascii="Times New Roman" w:hAnsi="Times New Roman" w:cs="Times New Roman"/>
        </w:rPr>
        <w:t>it could have based its finding of abuse on section (a) of article 102, which prohibits “directly or indirectly imposing unfair purchase or selling prices or other unfair trading conditions”; or alternatively on section</w:t>
      </w:r>
      <w:r w:rsidRPr="0039516D">
        <w:rPr>
          <w:rStyle w:val="FootnoteReference"/>
          <w:rFonts w:ascii="Times New Roman" w:hAnsi="Times New Roman" w:cs="Times New Roman"/>
        </w:rPr>
        <w:footnoteReference w:id="87"/>
      </w:r>
      <w:r w:rsidRPr="0039516D">
        <w:rPr>
          <w:rFonts w:ascii="Times New Roman" w:hAnsi="Times New Roman" w:cs="Times New Roman"/>
        </w:rPr>
        <w:t xml:space="preserve"> (c) of the same article, prohibiting “applying dissimilar conditions to equivalent transactions with other trading parties, thereby placing them at a competitive disadvantage”. However, other than dropping in a footnote an ambiguous reference to paragraph 166 of </w:t>
      </w:r>
      <w:r w:rsidRPr="0039516D">
        <w:rPr>
          <w:rFonts w:ascii="Times New Roman" w:hAnsi="Times New Roman" w:cs="Times New Roman"/>
          <w:i/>
        </w:rPr>
        <w:t>Irish Sugar</w:t>
      </w:r>
      <w:r w:rsidRPr="0039516D">
        <w:rPr>
          <w:rFonts w:ascii="Times New Roman" w:hAnsi="Times New Roman" w:cs="Times New Roman"/>
        </w:rPr>
        <w:t>, the Commission never suggested that the conduct in question should be seen from that perspective, rather preferring to rely on the non-exhaustive character of the practices constitut</w:t>
      </w:r>
      <w:r>
        <w:rPr>
          <w:rFonts w:ascii="Times New Roman" w:hAnsi="Times New Roman" w:cs="Times New Roman"/>
        </w:rPr>
        <w:t xml:space="preserve">ing abuse that are enumerated in the text of article 102. This is regrettable because the lack of clarity in the definition of abusive conduct is likely to generate adverse impact on investment and innovation. </w:t>
      </w:r>
    </w:p>
    <w:p w14:paraId="6E521172" w14:textId="77777777" w:rsidR="002120E3" w:rsidRPr="009F22D2" w:rsidRDefault="002120E3" w:rsidP="002120E3">
      <w:pPr>
        <w:jc w:val="both"/>
        <w:rPr>
          <w:rFonts w:ascii="Times New Roman" w:hAnsi="Times New Roman" w:cs="Times New Roman"/>
        </w:rPr>
      </w:pPr>
    </w:p>
    <w:p w14:paraId="5D74288A" w14:textId="77777777" w:rsidR="002120E3" w:rsidRPr="009F22D2" w:rsidRDefault="002120E3" w:rsidP="000E0F53">
      <w:pPr>
        <w:pStyle w:val="Heading2"/>
      </w:pPr>
      <w:bookmarkStart w:id="19" w:name="_Toc390300609"/>
      <w:r>
        <w:t xml:space="preserve">3.1 </w:t>
      </w:r>
      <w:r w:rsidRPr="009F22D2">
        <w:t xml:space="preserve">The notion of preferential treatment in </w:t>
      </w:r>
      <w:r w:rsidRPr="009F22D2">
        <w:rPr>
          <w:i/>
        </w:rPr>
        <w:t>Google Shopping</w:t>
      </w:r>
      <w:bookmarkEnd w:id="19"/>
    </w:p>
    <w:p w14:paraId="4C442626" w14:textId="77777777" w:rsidR="002120E3" w:rsidRPr="009F22D2" w:rsidRDefault="002120E3" w:rsidP="002120E3">
      <w:pPr>
        <w:jc w:val="both"/>
        <w:rPr>
          <w:rFonts w:ascii="Times New Roman" w:hAnsi="Times New Roman" w:cs="Times New Roman"/>
        </w:rPr>
      </w:pPr>
    </w:p>
    <w:p w14:paraId="6D786ED9" w14:textId="77777777" w:rsidR="002120E3" w:rsidRDefault="002120E3" w:rsidP="002120E3">
      <w:pPr>
        <w:jc w:val="both"/>
        <w:rPr>
          <w:rFonts w:ascii="Times New Roman" w:hAnsi="Times New Roman" w:cs="Times New Roman"/>
        </w:rPr>
      </w:pPr>
      <w:r>
        <w:rPr>
          <w:rFonts w:ascii="Times New Roman" w:hAnsi="Times New Roman" w:cs="Times New Roman"/>
        </w:rPr>
        <w:t>T</w:t>
      </w:r>
      <w:r w:rsidRPr="009F22D2">
        <w:rPr>
          <w:rFonts w:ascii="Times New Roman" w:hAnsi="Times New Roman" w:cs="Times New Roman"/>
        </w:rPr>
        <w:t>h</w:t>
      </w:r>
      <w:r>
        <w:rPr>
          <w:rFonts w:ascii="Times New Roman" w:hAnsi="Times New Roman" w:cs="Times New Roman"/>
        </w:rPr>
        <w:t>e</w:t>
      </w:r>
      <w:r w:rsidRPr="009F22D2">
        <w:rPr>
          <w:rFonts w:ascii="Times New Roman" w:hAnsi="Times New Roman" w:cs="Times New Roman"/>
        </w:rPr>
        <w:t xml:space="preserve"> divergence of views between Google and the Commission relates to the specificities </w:t>
      </w:r>
      <w:r>
        <w:rPr>
          <w:rFonts w:ascii="Times New Roman" w:hAnsi="Times New Roman" w:cs="Times New Roman"/>
        </w:rPr>
        <w:t>of</w:t>
      </w:r>
      <w:r w:rsidRPr="009F22D2">
        <w:rPr>
          <w:rFonts w:ascii="Times New Roman" w:hAnsi="Times New Roman" w:cs="Times New Roman"/>
        </w:rPr>
        <w:t xml:space="preserve"> </w:t>
      </w:r>
      <w:r>
        <w:rPr>
          <w:rFonts w:ascii="Times New Roman" w:hAnsi="Times New Roman" w:cs="Times New Roman"/>
        </w:rPr>
        <w:t xml:space="preserve">the application of leveraging theory (and in particular the so called ‘self-favouring’ abuse) </w:t>
      </w:r>
      <w:r w:rsidRPr="009F22D2">
        <w:rPr>
          <w:rFonts w:ascii="Times New Roman" w:hAnsi="Times New Roman" w:cs="Times New Roman"/>
        </w:rPr>
        <w:t xml:space="preserve">in </w:t>
      </w:r>
      <w:r>
        <w:rPr>
          <w:rFonts w:ascii="Times New Roman" w:hAnsi="Times New Roman" w:cs="Times New Roman"/>
        </w:rPr>
        <w:t>this</w:t>
      </w:r>
      <w:r w:rsidRPr="009F22D2">
        <w:rPr>
          <w:rFonts w:ascii="Times New Roman" w:hAnsi="Times New Roman" w:cs="Times New Roman"/>
        </w:rPr>
        <w:t xml:space="preserve"> </w:t>
      </w:r>
      <w:r>
        <w:rPr>
          <w:rFonts w:ascii="Times New Roman" w:hAnsi="Times New Roman" w:cs="Times New Roman"/>
        </w:rPr>
        <w:t>particular context. In order to appreciate these specificities</w:t>
      </w:r>
      <w:r w:rsidRPr="009F22D2">
        <w:rPr>
          <w:rFonts w:ascii="Times New Roman" w:hAnsi="Times New Roman" w:cs="Times New Roman"/>
        </w:rPr>
        <w:t xml:space="preserve">, </w:t>
      </w:r>
      <w:r>
        <w:rPr>
          <w:rFonts w:ascii="Times New Roman" w:hAnsi="Times New Roman" w:cs="Times New Roman"/>
        </w:rPr>
        <w:t>it is necessary to make a</w:t>
      </w:r>
      <w:r w:rsidRPr="009F22D2">
        <w:rPr>
          <w:rFonts w:ascii="Times New Roman" w:hAnsi="Times New Roman" w:cs="Times New Roman"/>
        </w:rPr>
        <w:t xml:space="preserve"> clarification </w:t>
      </w:r>
      <w:r>
        <w:rPr>
          <w:rFonts w:ascii="Times New Roman" w:hAnsi="Times New Roman" w:cs="Times New Roman"/>
        </w:rPr>
        <w:t>about</w:t>
      </w:r>
      <w:r w:rsidRPr="009F22D2">
        <w:rPr>
          <w:rFonts w:ascii="Times New Roman" w:hAnsi="Times New Roman" w:cs="Times New Roman"/>
        </w:rPr>
        <w:t xml:space="preserve"> the technology under discussion: to provide users with the most relevant results, search engines undertake editorial functions in indexing, </w:t>
      </w:r>
      <w:r>
        <w:rPr>
          <w:rFonts w:ascii="Times New Roman" w:hAnsi="Times New Roman" w:cs="Times New Roman"/>
        </w:rPr>
        <w:t xml:space="preserve">triggering, </w:t>
      </w:r>
      <w:r w:rsidRPr="009F22D2">
        <w:rPr>
          <w:rFonts w:ascii="Times New Roman" w:hAnsi="Times New Roman" w:cs="Times New Roman"/>
        </w:rPr>
        <w:t xml:space="preserve">ranking and displaying content. Those choices are made primarily by designing algorithms, i.e. rules that will govern the operation of Google’s crawling, </w:t>
      </w:r>
      <w:r>
        <w:rPr>
          <w:rFonts w:ascii="Times New Roman" w:hAnsi="Times New Roman" w:cs="Times New Roman"/>
        </w:rPr>
        <w:t xml:space="preserve">triggering, </w:t>
      </w:r>
      <w:r w:rsidRPr="009F22D2">
        <w:rPr>
          <w:rFonts w:ascii="Times New Roman" w:hAnsi="Times New Roman" w:cs="Times New Roman"/>
        </w:rPr>
        <w:t xml:space="preserve">ranking and displaying technologies to perform the desired process. </w:t>
      </w:r>
      <w:r>
        <w:rPr>
          <w:rFonts w:ascii="Times New Roman" w:hAnsi="Times New Roman" w:cs="Times New Roman"/>
        </w:rPr>
        <w:t>B</w:t>
      </w:r>
      <w:r w:rsidRPr="009F22D2">
        <w:rPr>
          <w:rFonts w:ascii="Times New Roman" w:hAnsi="Times New Roman" w:cs="Times New Roman"/>
        </w:rPr>
        <w:t>ecause of the</w:t>
      </w:r>
      <w:r>
        <w:rPr>
          <w:rFonts w:ascii="Times New Roman" w:hAnsi="Times New Roman" w:cs="Times New Roman"/>
        </w:rPr>
        <w:t>se</w:t>
      </w:r>
      <w:r w:rsidRPr="009F22D2">
        <w:rPr>
          <w:rFonts w:ascii="Times New Roman" w:hAnsi="Times New Roman" w:cs="Times New Roman"/>
        </w:rPr>
        <w:t xml:space="preserve"> editorial functions</w:t>
      </w:r>
      <w:r>
        <w:rPr>
          <w:rFonts w:ascii="Times New Roman" w:hAnsi="Times New Roman" w:cs="Times New Roman"/>
        </w:rPr>
        <w:t>,</w:t>
      </w:r>
      <w:r w:rsidRPr="009F22D2">
        <w:rPr>
          <w:rFonts w:ascii="Times New Roman" w:hAnsi="Times New Roman" w:cs="Times New Roman"/>
        </w:rPr>
        <w:t xml:space="preserve"> algorithms </w:t>
      </w:r>
      <w:r>
        <w:rPr>
          <w:rFonts w:ascii="Times New Roman" w:hAnsi="Times New Roman" w:cs="Times New Roman"/>
        </w:rPr>
        <w:t xml:space="preserve">can </w:t>
      </w:r>
      <w:r w:rsidRPr="009F22D2">
        <w:rPr>
          <w:rFonts w:ascii="Times New Roman" w:hAnsi="Times New Roman" w:cs="Times New Roman"/>
        </w:rPr>
        <w:t>have in-built biases</w:t>
      </w:r>
      <w:r>
        <w:rPr>
          <w:rFonts w:ascii="Times New Roman" w:hAnsi="Times New Roman" w:cs="Times New Roman"/>
        </w:rPr>
        <w:t xml:space="preserve"> which</w:t>
      </w:r>
      <w:r w:rsidRPr="009F22D2">
        <w:rPr>
          <w:rFonts w:ascii="Times New Roman" w:hAnsi="Times New Roman" w:cs="Times New Roman"/>
        </w:rPr>
        <w:t xml:space="preserve"> lead to systematically favo</w:t>
      </w:r>
      <w:r>
        <w:rPr>
          <w:rFonts w:ascii="Times New Roman" w:hAnsi="Times New Roman" w:cs="Times New Roman"/>
        </w:rPr>
        <w:t>u</w:t>
      </w:r>
      <w:r w:rsidRPr="009F22D2">
        <w:rPr>
          <w:rFonts w:ascii="Times New Roman" w:hAnsi="Times New Roman" w:cs="Times New Roman"/>
        </w:rPr>
        <w:t xml:space="preserve">ring certain content, although that may not necessarily be the result of a deliberate choice of the designer. Since the stage of algorithmic design is removed from the generation of results, it is often difficult for the designer to anticipate all the possible consequences. This holds even more true when it comes to </w:t>
      </w:r>
      <w:r>
        <w:rPr>
          <w:rFonts w:ascii="Times New Roman" w:hAnsi="Times New Roman" w:cs="Times New Roman"/>
        </w:rPr>
        <w:t>unsupervised learning</w:t>
      </w:r>
      <w:r w:rsidRPr="009F22D2">
        <w:rPr>
          <w:rFonts w:ascii="Times New Roman" w:hAnsi="Times New Roman" w:cs="Times New Roman"/>
        </w:rPr>
        <w:t xml:space="preserve"> algorithms, recently incorporated into Google Search</w:t>
      </w:r>
      <w:r w:rsidRPr="009F22D2">
        <w:rPr>
          <w:rStyle w:val="FootnoteReference"/>
          <w:rFonts w:ascii="Times New Roman" w:hAnsi="Times New Roman" w:cs="Times New Roman"/>
        </w:rPr>
        <w:footnoteReference w:id="88"/>
      </w:r>
      <w:r w:rsidRPr="009F22D2">
        <w:rPr>
          <w:rFonts w:ascii="Times New Roman" w:hAnsi="Times New Roman" w:cs="Times New Roman"/>
        </w:rPr>
        <w:t xml:space="preserve">, </w:t>
      </w:r>
      <w:r>
        <w:rPr>
          <w:rFonts w:ascii="Times New Roman" w:hAnsi="Times New Roman" w:cs="Times New Roman"/>
        </w:rPr>
        <w:t xml:space="preserve">that are </w:t>
      </w:r>
      <w:r w:rsidRPr="009F22D2">
        <w:rPr>
          <w:rFonts w:ascii="Times New Roman" w:hAnsi="Times New Roman" w:cs="Times New Roman"/>
        </w:rPr>
        <w:t>characterized by the property to automatically learn and improve from experience without being explicitly programmed. The problems of transparency</w:t>
      </w:r>
      <w:r w:rsidRPr="00CB1E92">
        <w:rPr>
          <w:rFonts w:ascii="Times New Roman" w:hAnsi="Times New Roman" w:cs="Times New Roman"/>
        </w:rPr>
        <w:t>, fairness and accountability of algorithmic systems are so complex and important that they have come to define an entire field of research</w:t>
      </w:r>
      <w:r>
        <w:rPr>
          <w:rFonts w:ascii="Times New Roman" w:hAnsi="Times New Roman" w:cs="Times New Roman"/>
        </w:rPr>
        <w:t xml:space="preserve">, </w:t>
      </w:r>
      <w:r w:rsidRPr="00CB1E92">
        <w:rPr>
          <w:rFonts w:ascii="Times New Roman" w:hAnsi="Times New Roman" w:cs="Times New Roman"/>
        </w:rPr>
        <w:t>much of which focused on machine-learning</w:t>
      </w:r>
      <w:r w:rsidRPr="00CB1E92">
        <w:rPr>
          <w:rStyle w:val="FootnoteReference"/>
          <w:rFonts w:ascii="Times New Roman" w:hAnsi="Times New Roman" w:cs="Times New Roman"/>
        </w:rPr>
        <w:footnoteReference w:id="89"/>
      </w:r>
      <w:r>
        <w:rPr>
          <w:rFonts w:ascii="Times New Roman" w:hAnsi="Times New Roman" w:cs="Times New Roman"/>
        </w:rPr>
        <w:t>.</w:t>
      </w:r>
      <w:r w:rsidRPr="00CB1E92">
        <w:rPr>
          <w:rFonts w:ascii="Times New Roman" w:hAnsi="Times New Roman" w:cs="Times New Roman"/>
        </w:rPr>
        <w:t xml:space="preserve"> </w:t>
      </w:r>
      <w:r>
        <w:rPr>
          <w:rFonts w:ascii="Times New Roman" w:hAnsi="Times New Roman" w:cs="Times New Roman"/>
        </w:rPr>
        <w:t xml:space="preserve">They are now an increasing source of headaches for </w:t>
      </w:r>
      <w:r w:rsidRPr="00CB1E92">
        <w:rPr>
          <w:rFonts w:ascii="Times New Roman" w:hAnsi="Times New Roman" w:cs="Times New Roman"/>
        </w:rPr>
        <w:t>courts and regulators.</w:t>
      </w:r>
      <w:r w:rsidRPr="009F22D2">
        <w:rPr>
          <w:rFonts w:ascii="Times New Roman" w:hAnsi="Times New Roman" w:cs="Times New Roman"/>
        </w:rPr>
        <w:t xml:space="preserve"> </w:t>
      </w:r>
    </w:p>
    <w:p w14:paraId="40415C04" w14:textId="77777777" w:rsidR="002120E3" w:rsidRPr="009F22D2" w:rsidRDefault="002120E3" w:rsidP="002120E3">
      <w:pPr>
        <w:jc w:val="both"/>
        <w:rPr>
          <w:rFonts w:ascii="Times New Roman" w:hAnsi="Times New Roman" w:cs="Times New Roman"/>
        </w:rPr>
      </w:pPr>
    </w:p>
    <w:p w14:paraId="2673CF8F" w14:textId="77777777" w:rsidR="002120E3" w:rsidRDefault="002120E3" w:rsidP="002120E3">
      <w:pPr>
        <w:jc w:val="both"/>
        <w:rPr>
          <w:rFonts w:ascii="Times New Roman" w:hAnsi="Times New Roman" w:cs="Times New Roman"/>
        </w:rPr>
      </w:pPr>
      <w:r w:rsidRPr="009F22D2">
        <w:rPr>
          <w:rFonts w:ascii="Times New Roman" w:hAnsi="Times New Roman" w:cs="Times New Roman"/>
        </w:rPr>
        <w:t>Given the challenges in predicting the nature and effects of algorithmic design decisions on the market, it is particularly significa</w:t>
      </w:r>
      <w:r>
        <w:rPr>
          <w:rFonts w:ascii="Times New Roman" w:hAnsi="Times New Roman" w:cs="Times New Roman"/>
        </w:rPr>
        <w:t>nt</w:t>
      </w:r>
      <w:r w:rsidRPr="009F22D2">
        <w:rPr>
          <w:rFonts w:ascii="Times New Roman" w:hAnsi="Times New Roman" w:cs="Times New Roman"/>
        </w:rPr>
        <w:t xml:space="preserve"> that the Decision condemns a conduct resulting from algorithmic design choices</w:t>
      </w:r>
      <w:r>
        <w:rPr>
          <w:rFonts w:ascii="Times New Roman" w:hAnsi="Times New Roman" w:cs="Times New Roman"/>
        </w:rPr>
        <w:t>, without any disclaimer as to the operator’s actual or presumed intent to achieve the prohibited outcome</w:t>
      </w:r>
      <w:r w:rsidRPr="009F22D2">
        <w:rPr>
          <w:rFonts w:ascii="Times New Roman" w:hAnsi="Times New Roman" w:cs="Times New Roman"/>
        </w:rPr>
        <w:t xml:space="preserve">. </w:t>
      </w:r>
      <w:r>
        <w:rPr>
          <w:rFonts w:ascii="Times New Roman" w:hAnsi="Times New Roman" w:cs="Times New Roman"/>
        </w:rPr>
        <w:t>The underlying criticism seems to be that Google should have appreciated the consequences of its choices, including the impact of those on competition in the market for comparison shopping services. In fact, w</w:t>
      </w:r>
      <w:r w:rsidRPr="007948AA">
        <w:rPr>
          <w:rFonts w:ascii="Times New Roman" w:hAnsi="Times New Roman" w:cs="Times New Roman"/>
        </w:rPr>
        <w:t xml:space="preserve">hile in some instances the preferential treatment ostensibly arises from the </w:t>
      </w:r>
      <w:r>
        <w:rPr>
          <w:rFonts w:ascii="Times New Roman" w:hAnsi="Times New Roman" w:cs="Times New Roman"/>
        </w:rPr>
        <w:t xml:space="preserve">choice of </w:t>
      </w:r>
      <w:r w:rsidRPr="007948AA">
        <w:rPr>
          <w:rFonts w:ascii="Times New Roman" w:hAnsi="Times New Roman" w:cs="Times New Roman"/>
        </w:rPr>
        <w:t xml:space="preserve">criteria </w:t>
      </w:r>
      <w:r>
        <w:rPr>
          <w:rFonts w:ascii="Times New Roman" w:hAnsi="Times New Roman" w:cs="Times New Roman"/>
        </w:rPr>
        <w:t>triggering</w:t>
      </w:r>
      <w:r w:rsidRPr="007948AA">
        <w:rPr>
          <w:rFonts w:ascii="Times New Roman" w:hAnsi="Times New Roman" w:cs="Times New Roman"/>
        </w:rPr>
        <w:t xml:space="preserve"> a given algorithmic result</w:t>
      </w:r>
      <w:r w:rsidRPr="007948AA">
        <w:rPr>
          <w:rStyle w:val="FootnoteReference"/>
          <w:rFonts w:ascii="Times New Roman" w:hAnsi="Times New Roman" w:cs="Times New Roman"/>
        </w:rPr>
        <w:footnoteReference w:id="90"/>
      </w:r>
      <w:r w:rsidRPr="007948AA">
        <w:rPr>
          <w:rFonts w:ascii="Times New Roman" w:hAnsi="Times New Roman" w:cs="Times New Roman"/>
        </w:rPr>
        <w:t xml:space="preserve">, in other parts of the Decision the Commission merely takes issue with the </w:t>
      </w:r>
      <w:r>
        <w:rPr>
          <w:rFonts w:ascii="Times New Roman" w:hAnsi="Times New Roman" w:cs="Times New Roman"/>
        </w:rPr>
        <w:t xml:space="preserve">mere </w:t>
      </w:r>
      <w:r w:rsidRPr="007948AA">
        <w:rPr>
          <w:rFonts w:ascii="Times New Roman" w:hAnsi="Times New Roman" w:cs="Times New Roman"/>
        </w:rPr>
        <w:t>exclusion of Google Shopping from the application of certain criteria that adversely affect the position of competing price comparison services (notably the […] and Panda algorithms)</w:t>
      </w:r>
      <w:r w:rsidRPr="007948AA">
        <w:rPr>
          <w:rStyle w:val="FootnoteReference"/>
          <w:rFonts w:ascii="Times New Roman" w:hAnsi="Times New Roman" w:cs="Times New Roman"/>
        </w:rPr>
        <w:footnoteReference w:id="91"/>
      </w:r>
      <w:r w:rsidRPr="007948AA">
        <w:rPr>
          <w:rFonts w:ascii="Times New Roman" w:hAnsi="Times New Roman" w:cs="Times New Roman"/>
        </w:rPr>
        <w:t>.</w:t>
      </w:r>
      <w:r>
        <w:rPr>
          <w:rFonts w:ascii="Times New Roman" w:hAnsi="Times New Roman" w:cs="Times New Roman"/>
        </w:rPr>
        <w:t xml:space="preserve"> Thus, despite reminding that, in accordance with the case-law of the CJEU, </w:t>
      </w:r>
      <w:r w:rsidRPr="000858CF">
        <w:rPr>
          <w:rFonts w:ascii="Times New Roman" w:hAnsi="Times New Roman" w:cs="Times New Roman"/>
        </w:rPr>
        <w:t xml:space="preserve">an abuse of a dominant position is prohibited under Article 102 of the Treaty “regardless of the means and procedure by which it is achieved”, and </w:t>
      </w:r>
      <w:r>
        <w:rPr>
          <w:rFonts w:ascii="Times New Roman" w:hAnsi="Times New Roman" w:cs="Times New Roman"/>
        </w:rPr>
        <w:t>“irrespective of any fault”, the Decision does not offer any comfort for operators of algorithmic technologies by pointing what particular conduct Google has fallen short of, i.e. what duty of care has been breached. This is because, t</w:t>
      </w:r>
      <w:r w:rsidRPr="009F22D2">
        <w:rPr>
          <w:rFonts w:ascii="Times New Roman" w:hAnsi="Times New Roman" w:cs="Times New Roman"/>
        </w:rPr>
        <w:t>aken at face value, th</w:t>
      </w:r>
      <w:r>
        <w:rPr>
          <w:rFonts w:ascii="Times New Roman" w:hAnsi="Times New Roman" w:cs="Times New Roman"/>
        </w:rPr>
        <w:t>e Commission’s formulation implies that</w:t>
      </w:r>
      <w:r w:rsidRPr="009F22D2">
        <w:rPr>
          <w:rFonts w:ascii="Times New Roman" w:hAnsi="Times New Roman" w:cs="Times New Roman"/>
        </w:rPr>
        <w:t xml:space="preserve"> a dominant company </w:t>
      </w:r>
      <w:r>
        <w:rPr>
          <w:rFonts w:ascii="Times New Roman" w:hAnsi="Times New Roman" w:cs="Times New Roman"/>
        </w:rPr>
        <w:t>having developed or used</w:t>
      </w:r>
      <w:r w:rsidRPr="009F22D2">
        <w:rPr>
          <w:rFonts w:ascii="Times New Roman" w:hAnsi="Times New Roman" w:cs="Times New Roman"/>
        </w:rPr>
        <w:t xml:space="preserve"> an algorithm is</w:t>
      </w:r>
      <w:r>
        <w:rPr>
          <w:rFonts w:ascii="Times New Roman" w:hAnsi="Times New Roman" w:cs="Times New Roman"/>
        </w:rPr>
        <w:t xml:space="preserve"> </w:t>
      </w:r>
      <w:r w:rsidRPr="00EB1931">
        <w:rPr>
          <w:rFonts w:ascii="Times New Roman" w:hAnsi="Times New Roman" w:cs="Times New Roman"/>
          <w:i/>
        </w:rPr>
        <w:t>de facto</w:t>
      </w:r>
      <w:r w:rsidRPr="009F22D2">
        <w:rPr>
          <w:rFonts w:ascii="Times New Roman" w:hAnsi="Times New Roman" w:cs="Times New Roman"/>
        </w:rPr>
        <w:t xml:space="preserve"> </w:t>
      </w:r>
      <w:r w:rsidRPr="00EB1931">
        <w:rPr>
          <w:rFonts w:ascii="Times New Roman" w:hAnsi="Times New Roman" w:cs="Times New Roman"/>
        </w:rPr>
        <w:t>strictly liable</w:t>
      </w:r>
      <w:r>
        <w:rPr>
          <w:rFonts w:ascii="Times New Roman" w:hAnsi="Times New Roman" w:cs="Times New Roman"/>
        </w:rPr>
        <w:t xml:space="preserve"> </w:t>
      </w:r>
      <w:r w:rsidRPr="009F22D2">
        <w:rPr>
          <w:rFonts w:ascii="Times New Roman" w:hAnsi="Times New Roman" w:cs="Times New Roman"/>
        </w:rPr>
        <w:t xml:space="preserve">for any </w:t>
      </w:r>
      <w:r>
        <w:rPr>
          <w:rFonts w:ascii="Times New Roman" w:hAnsi="Times New Roman" w:cs="Times New Roman"/>
        </w:rPr>
        <w:t xml:space="preserve">possible </w:t>
      </w:r>
      <w:r w:rsidRPr="009F22D2">
        <w:rPr>
          <w:rFonts w:ascii="Times New Roman" w:hAnsi="Times New Roman" w:cs="Times New Roman"/>
        </w:rPr>
        <w:t>anticompetitive</w:t>
      </w:r>
      <w:r>
        <w:rPr>
          <w:rFonts w:ascii="Times New Roman" w:hAnsi="Times New Roman" w:cs="Times New Roman"/>
        </w:rPr>
        <w:t xml:space="preserve"> (in particular, self-favouring)</w:t>
      </w:r>
      <w:r w:rsidRPr="009F22D2">
        <w:rPr>
          <w:rFonts w:ascii="Times New Roman" w:hAnsi="Times New Roman" w:cs="Times New Roman"/>
        </w:rPr>
        <w:t xml:space="preserve"> effects derived therefrom</w:t>
      </w:r>
      <w:r>
        <w:rPr>
          <w:rFonts w:ascii="Times New Roman" w:hAnsi="Times New Roman" w:cs="Times New Roman"/>
        </w:rPr>
        <w:t xml:space="preserve">. </w:t>
      </w:r>
    </w:p>
    <w:p w14:paraId="43EE6D14" w14:textId="77777777" w:rsidR="002120E3" w:rsidRDefault="002120E3" w:rsidP="002120E3">
      <w:pPr>
        <w:jc w:val="both"/>
        <w:rPr>
          <w:rFonts w:ascii="Times New Roman" w:hAnsi="Times New Roman" w:cs="Times New Roman"/>
        </w:rPr>
      </w:pPr>
    </w:p>
    <w:p w14:paraId="2CDB60B9" w14:textId="768A0C61" w:rsidR="002120E3" w:rsidRDefault="002120E3" w:rsidP="002120E3">
      <w:pPr>
        <w:jc w:val="both"/>
        <w:rPr>
          <w:rFonts w:ascii="Times New Roman" w:hAnsi="Times New Roman" w:cs="Times New Roman"/>
        </w:rPr>
      </w:pPr>
      <w:r>
        <w:rPr>
          <w:rFonts w:ascii="Times New Roman" w:hAnsi="Times New Roman" w:cs="Times New Roman"/>
        </w:rPr>
        <w:t xml:space="preserve">Although one may contend that the Decision must be premised on recognition of intention or negligence, as required by law, this premise is nowhere to be seen in the assessment of Google’s liability for algorithmic results. The Commission only refers to </w:t>
      </w:r>
      <w:r w:rsidRPr="00B4610B">
        <w:rPr>
          <w:rFonts w:ascii="Times New Roman" w:hAnsi="Times New Roman" w:cs="Times New Roman"/>
          <w:i/>
        </w:rPr>
        <w:t>subjective</w:t>
      </w:r>
      <w:r>
        <w:rPr>
          <w:rFonts w:ascii="Times New Roman" w:hAnsi="Times New Roman" w:cs="Times New Roman"/>
        </w:rPr>
        <w:t xml:space="preserve"> </w:t>
      </w:r>
      <w:r w:rsidRPr="009F22D2">
        <w:rPr>
          <w:rFonts w:ascii="Times New Roman" w:hAnsi="Times New Roman" w:cs="Times New Roman"/>
        </w:rPr>
        <w:t>intent</w:t>
      </w:r>
      <w:r w:rsidRPr="009F22D2">
        <w:rPr>
          <w:rFonts w:ascii="Times New Roman" w:hAnsi="Times New Roman" w:cs="Times New Roman"/>
          <w:i/>
        </w:rPr>
        <w:t xml:space="preserve"> </w:t>
      </w:r>
      <w:r w:rsidRPr="009F22D2">
        <w:rPr>
          <w:rFonts w:ascii="Times New Roman" w:hAnsi="Times New Roman" w:cs="Times New Roman"/>
        </w:rPr>
        <w:t xml:space="preserve">by the concerned undertaking </w:t>
      </w:r>
      <w:r>
        <w:rPr>
          <w:rFonts w:ascii="Times New Roman" w:hAnsi="Times New Roman" w:cs="Times New Roman"/>
        </w:rPr>
        <w:t>“</w:t>
      </w:r>
      <w:r w:rsidRPr="009F22D2">
        <w:rPr>
          <w:rFonts w:ascii="Times New Roman" w:hAnsi="Times New Roman" w:cs="Times New Roman"/>
        </w:rPr>
        <w:t>to favo</w:t>
      </w:r>
      <w:r>
        <w:rPr>
          <w:rFonts w:ascii="Times New Roman" w:hAnsi="Times New Roman" w:cs="Times New Roman"/>
        </w:rPr>
        <w:t>u</w:t>
      </w:r>
      <w:r w:rsidRPr="009F22D2">
        <w:rPr>
          <w:rFonts w:ascii="Times New Roman" w:hAnsi="Times New Roman" w:cs="Times New Roman"/>
        </w:rPr>
        <w:t>r its own services over those of competitors in order to leverage its position in general search into the market for shopping comparison services</w:t>
      </w:r>
      <w:r>
        <w:rPr>
          <w:rFonts w:ascii="Times New Roman" w:hAnsi="Times New Roman" w:cs="Times New Roman"/>
        </w:rPr>
        <w:t>”</w:t>
      </w:r>
      <w:r w:rsidRPr="009F22D2">
        <w:rPr>
          <w:rStyle w:val="FootnoteReference"/>
          <w:rFonts w:ascii="Times New Roman" w:hAnsi="Times New Roman" w:cs="Times New Roman"/>
        </w:rPr>
        <w:footnoteReference w:id="92"/>
      </w:r>
      <w:r>
        <w:rPr>
          <w:rFonts w:ascii="Times New Roman" w:hAnsi="Times New Roman" w:cs="Times New Roman"/>
        </w:rPr>
        <w:t xml:space="preserve">, which it uses to replace the required objective intent for such conduct to eliminate competitors. </w:t>
      </w:r>
      <w:r w:rsidRPr="000979A7">
        <w:rPr>
          <w:rFonts w:ascii="Times New Roman" w:hAnsi="Times New Roman" w:cs="Times New Roman"/>
        </w:rPr>
        <w:t>In particular, the Commission found in internal documents that the Google's Engineering Director responsible for Froogle, the previous version of Google Shopping, stated that “Froogle stinks” and warned that “(1) [t]he [Froogle] pages may not get crawled without special treatment; without enough pagerank or other quality signals, the content may not get crawled. (2) If it gets crawled, the same reasons are likely to keep it from being indexed; (3) If it gets indexed, the same reasons are likely to keep it from showing up (high) in search results […] We’d probably have to provide a lot of special treatment to this content in order to have it be crawled, indexed, and rank well”</w:t>
      </w:r>
      <w:r>
        <w:rPr>
          <w:rFonts w:ascii="Times New Roman" w:hAnsi="Times New Roman" w:cs="Times New Roman"/>
        </w:rPr>
        <w:t xml:space="preserve">. While this provides a very convincing illustration of Google’s general plan to self-favor, proven with direct and objective evidence, the fundamental question is whether such evidence may legitimately be used to satisfy the required intent (in its subjective and objective component) with regard to the particular acts which are being held against the dominant undertaking. Specifically, the Decision takes issue with the outcome of Google’s algorithmic choices without proving that either the selection of certain criteria or the granting of an exemption to Google from the application of certain penalties violates a duty of care, from which negligence could be deduced. </w:t>
      </w:r>
      <w:r w:rsidR="0082290C">
        <w:rPr>
          <w:rFonts w:ascii="Times New Roman" w:hAnsi="Times New Roman" w:cs="Times New Roman"/>
        </w:rPr>
        <w:t>The only element provided in that regard is that Google does not inform users</w:t>
      </w:r>
      <w:r w:rsidR="00463531">
        <w:rPr>
          <w:rFonts w:ascii="Times New Roman" w:hAnsi="Times New Roman" w:cs="Times New Roman"/>
        </w:rPr>
        <w:t xml:space="preserve"> </w:t>
      </w:r>
      <w:r w:rsidR="0082290C">
        <w:rPr>
          <w:rFonts w:ascii="Times New Roman" w:hAnsi="Times New Roman" w:cs="Times New Roman"/>
        </w:rPr>
        <w:t>that Product Universal was positioned and displayed using different underlying mechanisms than those used to rank generic search results, despite the fact that it labeled those search results as “sponsored” (see below, section 3.2).</w:t>
      </w:r>
      <w:r w:rsidR="0082290C">
        <w:rPr>
          <w:rStyle w:val="FootnoteReference"/>
          <w:rFonts w:ascii="Times New Roman" w:hAnsi="Times New Roman" w:cs="Times New Roman"/>
        </w:rPr>
        <w:footnoteReference w:id="93"/>
      </w:r>
    </w:p>
    <w:p w14:paraId="771A657B" w14:textId="77777777" w:rsidR="002120E3" w:rsidRDefault="002120E3" w:rsidP="002120E3">
      <w:pPr>
        <w:jc w:val="both"/>
        <w:rPr>
          <w:rFonts w:ascii="Times New Roman" w:hAnsi="Times New Roman" w:cs="Times New Roman"/>
        </w:rPr>
      </w:pPr>
    </w:p>
    <w:p w14:paraId="4AB41C70" w14:textId="77777777" w:rsidR="002120E3" w:rsidRPr="009F22D2" w:rsidRDefault="002120E3" w:rsidP="002120E3">
      <w:pPr>
        <w:jc w:val="both"/>
        <w:rPr>
          <w:rFonts w:ascii="Times New Roman" w:hAnsi="Times New Roman" w:cs="Times New Roman"/>
        </w:rPr>
      </w:pPr>
      <w:r>
        <w:rPr>
          <w:rFonts w:ascii="Times New Roman" w:hAnsi="Times New Roman" w:cs="Times New Roman"/>
        </w:rPr>
        <w:t>The net result is that Google or any other dominant company providing algorithmic intermediation services will be required to adopt</w:t>
      </w:r>
      <w:r w:rsidRPr="009F22D2">
        <w:rPr>
          <w:rFonts w:ascii="Times New Roman" w:hAnsi="Times New Roman" w:cs="Times New Roman"/>
        </w:rPr>
        <w:t xml:space="preserve"> wide-ranging measures of self-monitoring to ensure </w:t>
      </w:r>
      <w:r>
        <w:rPr>
          <w:rFonts w:ascii="Times New Roman" w:hAnsi="Times New Roman" w:cs="Times New Roman"/>
        </w:rPr>
        <w:t>“</w:t>
      </w:r>
      <w:r w:rsidRPr="009F22D2">
        <w:rPr>
          <w:rFonts w:ascii="Times New Roman" w:hAnsi="Times New Roman" w:cs="Times New Roman"/>
        </w:rPr>
        <w:t>compliance by design</w:t>
      </w:r>
      <w:r>
        <w:rPr>
          <w:rFonts w:ascii="Times New Roman" w:hAnsi="Times New Roman" w:cs="Times New Roman"/>
        </w:rPr>
        <w:t>”</w:t>
      </w:r>
      <w:r w:rsidRPr="009F22D2">
        <w:rPr>
          <w:rFonts w:ascii="Times New Roman" w:hAnsi="Times New Roman" w:cs="Times New Roman"/>
        </w:rPr>
        <w:t xml:space="preserve">, </w:t>
      </w:r>
      <w:r>
        <w:rPr>
          <w:rFonts w:ascii="Times New Roman" w:hAnsi="Times New Roman" w:cs="Times New Roman"/>
        </w:rPr>
        <w:t xml:space="preserve">which </w:t>
      </w:r>
      <w:r w:rsidRPr="009F22D2">
        <w:rPr>
          <w:rFonts w:ascii="Times New Roman" w:hAnsi="Times New Roman" w:cs="Times New Roman"/>
        </w:rPr>
        <w:t>Commissioner Vestager has recently alluded to</w:t>
      </w:r>
      <w:r w:rsidRPr="009F22D2">
        <w:rPr>
          <w:rStyle w:val="FootnoteReference"/>
          <w:rFonts w:ascii="Times New Roman" w:hAnsi="Times New Roman" w:cs="Times New Roman"/>
        </w:rPr>
        <w:footnoteReference w:id="94"/>
      </w:r>
      <w:r w:rsidRPr="009F22D2">
        <w:rPr>
          <w:rFonts w:ascii="Times New Roman" w:hAnsi="Times New Roman" w:cs="Times New Roman"/>
        </w:rPr>
        <w:t xml:space="preserve">. </w:t>
      </w:r>
      <w:r>
        <w:rPr>
          <w:rFonts w:ascii="Times New Roman" w:hAnsi="Times New Roman" w:cs="Times New Roman"/>
        </w:rPr>
        <w:t>But what is the limit (if any) to how far that compliance framework should go? Would the ranking of two equivalent products in page 1 and 2 of search results be sufficient, for instance, to trigger liability? Would Google’s consistent appearance on the first page, while not necessarily in the top results, be problematic? T</w:t>
      </w:r>
      <w:r w:rsidRPr="009F22D2">
        <w:rPr>
          <w:rFonts w:ascii="Times New Roman" w:hAnsi="Times New Roman" w:cs="Times New Roman"/>
        </w:rPr>
        <w:t>he Commission provides no guiding principle</w:t>
      </w:r>
      <w:r>
        <w:rPr>
          <w:rFonts w:ascii="Times New Roman" w:hAnsi="Times New Roman" w:cs="Times New Roman"/>
        </w:rPr>
        <w:t>:</w:t>
      </w:r>
      <w:r w:rsidRPr="009F22D2">
        <w:rPr>
          <w:rFonts w:ascii="Times New Roman" w:hAnsi="Times New Roman" w:cs="Times New Roman"/>
        </w:rPr>
        <w:t xml:space="preserve"> neither </w:t>
      </w:r>
      <w:r>
        <w:rPr>
          <w:rFonts w:ascii="Times New Roman" w:hAnsi="Times New Roman" w:cs="Times New Roman"/>
        </w:rPr>
        <w:t>in the substantive part of the D</w:t>
      </w:r>
      <w:r w:rsidRPr="009F22D2">
        <w:rPr>
          <w:rFonts w:ascii="Times New Roman" w:hAnsi="Times New Roman" w:cs="Times New Roman"/>
        </w:rPr>
        <w:t>ecision</w:t>
      </w:r>
      <w:r>
        <w:rPr>
          <w:rFonts w:ascii="Times New Roman" w:hAnsi="Times New Roman" w:cs="Times New Roman"/>
        </w:rPr>
        <w:t>,</w:t>
      </w:r>
      <w:r w:rsidRPr="009F22D2">
        <w:rPr>
          <w:rFonts w:ascii="Times New Roman" w:hAnsi="Times New Roman" w:cs="Times New Roman"/>
        </w:rPr>
        <w:t xml:space="preserve"> nor in its remedial </w:t>
      </w:r>
      <w:r w:rsidRPr="00F541FA">
        <w:rPr>
          <w:rFonts w:ascii="Times New Roman" w:hAnsi="Times New Roman" w:cs="Times New Roman"/>
        </w:rPr>
        <w:t xml:space="preserve">order, </w:t>
      </w:r>
      <w:r w:rsidRPr="000B7F9F">
        <w:rPr>
          <w:rFonts w:ascii="Times New Roman" w:hAnsi="Times New Roman" w:cs="Times New Roman"/>
        </w:rPr>
        <w:t>where it requires Google to ensure equal treatment concerning “all elements that have an impact on the visibility, triggering, ranking or graphical format of a search result in Google’s general search result pages”</w:t>
      </w:r>
      <w:r w:rsidRPr="00F541FA">
        <w:rPr>
          <w:rStyle w:val="FootnoteReference"/>
          <w:rFonts w:ascii="Times New Roman" w:hAnsi="Times New Roman" w:cs="Times New Roman"/>
        </w:rPr>
        <w:t xml:space="preserve"> </w:t>
      </w:r>
      <w:r w:rsidRPr="00F541FA">
        <w:rPr>
          <w:rStyle w:val="FootnoteReference"/>
          <w:rFonts w:ascii="Times New Roman" w:hAnsi="Times New Roman" w:cs="Times New Roman"/>
        </w:rPr>
        <w:footnoteReference w:id="95"/>
      </w:r>
      <w:r>
        <w:rPr>
          <w:rFonts w:ascii="Times New Roman" w:hAnsi="Times New Roman" w:cs="Times New Roman"/>
        </w:rPr>
        <w:t>. Ultimately, w</w:t>
      </w:r>
      <w:r w:rsidRPr="009F22D2">
        <w:rPr>
          <w:rFonts w:ascii="Times New Roman" w:hAnsi="Times New Roman" w:cs="Times New Roman"/>
        </w:rPr>
        <w:t>hile Google may be able to get to a good compromise in the definition of the conduct it is required to adhere to under the remedy</w:t>
      </w:r>
      <w:bookmarkStart w:id="20" w:name="_Ref379983697"/>
      <w:r w:rsidRPr="009F22D2">
        <w:rPr>
          <w:rStyle w:val="FootnoteReference"/>
          <w:rFonts w:ascii="Times New Roman" w:hAnsi="Times New Roman" w:cs="Times New Roman"/>
        </w:rPr>
        <w:footnoteReference w:id="96"/>
      </w:r>
      <w:bookmarkEnd w:id="20"/>
      <w:r w:rsidRPr="009F22D2">
        <w:rPr>
          <w:rFonts w:ascii="Times New Roman" w:hAnsi="Times New Roman" w:cs="Times New Roman"/>
        </w:rPr>
        <w:t xml:space="preserve">, </w:t>
      </w:r>
      <w:r>
        <w:rPr>
          <w:rFonts w:ascii="Times New Roman" w:hAnsi="Times New Roman" w:cs="Times New Roman"/>
        </w:rPr>
        <w:t xml:space="preserve">we may </w:t>
      </w:r>
      <w:r w:rsidRPr="009F22D2">
        <w:rPr>
          <w:rFonts w:ascii="Times New Roman" w:hAnsi="Times New Roman" w:cs="Times New Roman"/>
        </w:rPr>
        <w:t xml:space="preserve">query what that high-level definition of equal treatment means for </w:t>
      </w:r>
      <w:r>
        <w:rPr>
          <w:rFonts w:ascii="Times New Roman" w:hAnsi="Times New Roman" w:cs="Times New Roman"/>
        </w:rPr>
        <w:t>the future development of algorithmic technologies.</w:t>
      </w:r>
    </w:p>
    <w:p w14:paraId="7AB3DF28" w14:textId="77777777" w:rsidR="002120E3" w:rsidRPr="009F22D2" w:rsidRDefault="002120E3" w:rsidP="002120E3">
      <w:pPr>
        <w:jc w:val="both"/>
        <w:rPr>
          <w:rFonts w:ascii="Times New Roman" w:hAnsi="Times New Roman" w:cs="Times New Roman"/>
        </w:rPr>
      </w:pPr>
    </w:p>
    <w:p w14:paraId="61850601" w14:textId="77777777" w:rsidR="002120E3" w:rsidRDefault="002120E3" w:rsidP="002120E3">
      <w:pPr>
        <w:jc w:val="both"/>
        <w:rPr>
          <w:rFonts w:ascii="Times New Roman" w:hAnsi="Times New Roman" w:cs="Times New Roman"/>
        </w:rPr>
      </w:pPr>
      <w:r>
        <w:rPr>
          <w:rFonts w:ascii="Times New Roman" w:hAnsi="Times New Roman" w:cs="Times New Roman"/>
        </w:rPr>
        <w:t>The crux of the problem derives from the fact that</w:t>
      </w:r>
      <w:r w:rsidRPr="009F22D2">
        <w:rPr>
          <w:rFonts w:ascii="Times New Roman" w:hAnsi="Times New Roman" w:cs="Times New Roman"/>
        </w:rPr>
        <w:t xml:space="preserve"> the Decision does not </w:t>
      </w:r>
      <w:r>
        <w:rPr>
          <w:rFonts w:ascii="Times New Roman" w:hAnsi="Times New Roman" w:cs="Times New Roman"/>
        </w:rPr>
        <w:t>define</w:t>
      </w:r>
      <w:r w:rsidRPr="009F22D2">
        <w:rPr>
          <w:rFonts w:ascii="Times New Roman" w:hAnsi="Times New Roman" w:cs="Times New Roman"/>
        </w:rPr>
        <w:t xml:space="preserve"> a threshold of materiality for differential treatment by a dominant company to fall foul of </w:t>
      </w:r>
      <w:r>
        <w:rPr>
          <w:rFonts w:ascii="Times New Roman" w:hAnsi="Times New Roman" w:cs="Times New Roman"/>
        </w:rPr>
        <w:t>A</w:t>
      </w:r>
      <w:r w:rsidRPr="009F22D2">
        <w:rPr>
          <w:rFonts w:ascii="Times New Roman" w:hAnsi="Times New Roman" w:cs="Times New Roman"/>
        </w:rPr>
        <w:t xml:space="preserve">rticle 102. The Commission presents data showing that the conduct in question </w:t>
      </w:r>
      <w:r>
        <w:rPr>
          <w:rFonts w:ascii="Times New Roman" w:hAnsi="Times New Roman" w:cs="Times New Roman"/>
        </w:rPr>
        <w:t xml:space="preserve">can drive </w:t>
      </w:r>
      <w:r w:rsidRPr="009F22D2">
        <w:rPr>
          <w:rFonts w:ascii="Times New Roman" w:hAnsi="Times New Roman" w:cs="Times New Roman"/>
        </w:rPr>
        <w:t>competitors out of business, reducing incentives to innovate and consumer choice, and leading to higher prices</w:t>
      </w:r>
      <w:r w:rsidRPr="009F22D2">
        <w:rPr>
          <w:rStyle w:val="FootnoteReference"/>
          <w:rFonts w:ascii="Times New Roman" w:hAnsi="Times New Roman" w:cs="Times New Roman"/>
        </w:rPr>
        <w:footnoteReference w:id="97"/>
      </w:r>
      <w:r w:rsidRPr="009F22D2">
        <w:rPr>
          <w:rFonts w:ascii="Times New Roman" w:hAnsi="Times New Roman" w:cs="Times New Roman"/>
        </w:rPr>
        <w:t xml:space="preserve">. </w:t>
      </w:r>
      <w:r>
        <w:rPr>
          <w:rFonts w:ascii="Times New Roman" w:hAnsi="Times New Roman" w:cs="Times New Roman"/>
        </w:rPr>
        <w:t xml:space="preserve">However, the </w:t>
      </w:r>
      <w:r w:rsidRPr="00612CBC">
        <w:rPr>
          <w:rFonts w:ascii="Times New Roman" w:hAnsi="Times New Roman" w:cs="Times New Roman"/>
        </w:rPr>
        <w:t xml:space="preserve">evidential </w:t>
      </w:r>
      <w:r>
        <w:rPr>
          <w:rFonts w:ascii="Times New Roman" w:hAnsi="Times New Roman" w:cs="Times New Roman"/>
        </w:rPr>
        <w:t>threshold</w:t>
      </w:r>
      <w:r w:rsidRPr="00612CBC">
        <w:rPr>
          <w:rFonts w:ascii="Times New Roman" w:hAnsi="Times New Roman" w:cs="Times New Roman"/>
        </w:rPr>
        <w:t xml:space="preserve"> is lightened by recent case-law that article 102 prohibits behavior that tends to restrict competition or is </w:t>
      </w:r>
      <w:r w:rsidRPr="00612CBC">
        <w:rPr>
          <w:rFonts w:ascii="Times New Roman" w:hAnsi="Times New Roman" w:cs="Times New Roman"/>
          <w:i/>
        </w:rPr>
        <w:t>capable</w:t>
      </w:r>
      <w:r w:rsidRPr="00612CBC">
        <w:rPr>
          <w:rFonts w:ascii="Times New Roman" w:hAnsi="Times New Roman" w:cs="Times New Roman"/>
        </w:rPr>
        <w:t xml:space="preserve"> of having that effect, regardless of its success</w:t>
      </w:r>
      <w:r w:rsidRPr="00612CBC">
        <w:rPr>
          <w:rStyle w:val="FootnoteReference"/>
          <w:rFonts w:ascii="Times New Roman" w:hAnsi="Times New Roman" w:cs="Times New Roman"/>
        </w:rPr>
        <w:footnoteReference w:id="98"/>
      </w:r>
      <w:r w:rsidRPr="00612CBC">
        <w:rPr>
          <w:rFonts w:ascii="Times New Roman" w:hAnsi="Times New Roman" w:cs="Times New Roman"/>
        </w:rPr>
        <w:t xml:space="preserve">. Following that line of cases, the reference in the remedial order to “not engaging in any conduct or act having equivalent </w:t>
      </w:r>
      <w:r w:rsidRPr="00612CBC">
        <w:rPr>
          <w:rFonts w:ascii="Times New Roman" w:hAnsi="Times New Roman" w:cs="Times New Roman"/>
          <w:i/>
        </w:rPr>
        <w:t>object</w:t>
      </w:r>
      <w:r w:rsidRPr="00612CBC">
        <w:rPr>
          <w:rFonts w:ascii="Times New Roman" w:hAnsi="Times New Roman" w:cs="Times New Roman"/>
        </w:rPr>
        <w:t xml:space="preserve"> or effect</w:t>
      </w:r>
      <w:r w:rsidRPr="00612CBC">
        <w:rPr>
          <w:rStyle w:val="FootnoteReference"/>
          <w:rFonts w:ascii="Times New Roman" w:hAnsi="Times New Roman" w:cs="Times New Roman"/>
        </w:rPr>
        <w:footnoteReference w:id="99"/>
      </w:r>
      <w:r w:rsidRPr="00612CBC">
        <w:rPr>
          <w:rFonts w:ascii="Times New Roman" w:hAnsi="Times New Roman" w:cs="Times New Roman"/>
        </w:rPr>
        <w:t xml:space="preserve">” may well </w:t>
      </w:r>
      <w:r>
        <w:rPr>
          <w:rFonts w:ascii="Times New Roman" w:hAnsi="Times New Roman" w:cs="Times New Roman"/>
        </w:rPr>
        <w:t xml:space="preserve">be </w:t>
      </w:r>
      <w:r w:rsidRPr="00612CBC">
        <w:rPr>
          <w:rFonts w:ascii="Times New Roman" w:hAnsi="Times New Roman" w:cs="Times New Roman"/>
        </w:rPr>
        <w:t xml:space="preserve">interpreted as preventing </w:t>
      </w:r>
      <w:r>
        <w:rPr>
          <w:rFonts w:ascii="Times New Roman" w:hAnsi="Times New Roman" w:cs="Times New Roman"/>
        </w:rPr>
        <w:t xml:space="preserve">algorithmic decisions that have a theoretical capability of </w:t>
      </w:r>
      <w:r w:rsidRPr="00612CBC">
        <w:rPr>
          <w:rFonts w:ascii="Times New Roman" w:hAnsi="Times New Roman" w:cs="Times New Roman"/>
        </w:rPr>
        <w:t>favoring Google’s own s</w:t>
      </w:r>
      <w:r>
        <w:rPr>
          <w:rFonts w:ascii="Times New Roman" w:hAnsi="Times New Roman" w:cs="Times New Roman"/>
        </w:rPr>
        <w:t>ervices</w:t>
      </w:r>
      <w:r w:rsidRPr="00612CBC">
        <w:rPr>
          <w:rFonts w:ascii="Times New Roman" w:hAnsi="Times New Roman" w:cs="Times New Roman"/>
        </w:rPr>
        <w:t xml:space="preserve"> despite the absence of any </w:t>
      </w:r>
      <w:r>
        <w:rPr>
          <w:rFonts w:ascii="Times New Roman" w:hAnsi="Times New Roman" w:cs="Times New Roman"/>
        </w:rPr>
        <w:t>materialized, or indeed likely,</w:t>
      </w:r>
      <w:r w:rsidRPr="00612CBC">
        <w:rPr>
          <w:rFonts w:ascii="Times New Roman" w:hAnsi="Times New Roman" w:cs="Times New Roman"/>
        </w:rPr>
        <w:t xml:space="preserve"> effects.</w:t>
      </w:r>
      <w:r>
        <w:rPr>
          <w:rFonts w:ascii="Times New Roman" w:hAnsi="Times New Roman" w:cs="Times New Roman"/>
        </w:rPr>
        <w:t xml:space="preserve"> That would appear to be in tension with the rationale of negligence, which is the violation of a duty of care in connection with the foreseeability and preventability of the harmful act</w:t>
      </w:r>
      <w:r>
        <w:rPr>
          <w:rStyle w:val="FootnoteReference"/>
          <w:rFonts w:ascii="Times New Roman" w:hAnsi="Times New Roman" w:cs="Times New Roman"/>
        </w:rPr>
        <w:footnoteReference w:id="100"/>
      </w:r>
      <w:r>
        <w:rPr>
          <w:rFonts w:ascii="Times New Roman" w:hAnsi="Times New Roman" w:cs="Times New Roman"/>
        </w:rPr>
        <w:t>. It also would bring to the fore an inquiry into the subjective element (was discrimination the purpose of the developer, or whoever else deploys the algorithm?), which could be highly problematic if unconstrained by the principles identified in section 2.1.</w:t>
      </w:r>
    </w:p>
    <w:p w14:paraId="47443399" w14:textId="77777777" w:rsidR="006E12B3" w:rsidRDefault="006E12B3" w:rsidP="002120E3">
      <w:pPr>
        <w:jc w:val="both"/>
        <w:rPr>
          <w:rFonts w:ascii="Times New Roman" w:hAnsi="Times New Roman" w:cs="Times New Roman"/>
        </w:rPr>
      </w:pPr>
    </w:p>
    <w:p w14:paraId="1E7C4941" w14:textId="77777777" w:rsidR="006E12B3" w:rsidRPr="006E12B3" w:rsidRDefault="006E12B3" w:rsidP="006F1E60">
      <w:pPr>
        <w:pStyle w:val="Heading2"/>
      </w:pPr>
      <w:bookmarkStart w:id="21" w:name="_Toc390300610"/>
      <w:r w:rsidRPr="006E12B3">
        <w:t xml:space="preserve">3.2 </w:t>
      </w:r>
      <w:r w:rsidR="006F1E60">
        <w:t>The Commission’s opacity v. Google’s lack of transparency, which one is better</w:t>
      </w:r>
      <w:r w:rsidRPr="006E12B3">
        <w:t>?</w:t>
      </w:r>
      <w:bookmarkEnd w:id="21"/>
    </w:p>
    <w:p w14:paraId="2112FFD5" w14:textId="77777777" w:rsidR="002120E3" w:rsidRDefault="002120E3" w:rsidP="002120E3">
      <w:pPr>
        <w:jc w:val="both"/>
        <w:rPr>
          <w:rFonts w:ascii="Times New Roman" w:hAnsi="Times New Roman" w:cs="Times New Roman"/>
        </w:rPr>
      </w:pPr>
    </w:p>
    <w:p w14:paraId="70ED5136" w14:textId="77777777" w:rsidR="002120E3" w:rsidRPr="00612CBC" w:rsidRDefault="006E12B3" w:rsidP="002120E3">
      <w:pPr>
        <w:jc w:val="both"/>
        <w:rPr>
          <w:rFonts w:ascii="Times New Roman" w:hAnsi="Times New Roman" w:cs="Times New Roman"/>
        </w:rPr>
      </w:pPr>
      <w:r>
        <w:rPr>
          <w:rFonts w:ascii="Times New Roman" w:hAnsi="Times New Roman" w:cs="Times New Roman"/>
        </w:rPr>
        <w:t>A further problem with the Decision is that</w:t>
      </w:r>
      <w:r w:rsidR="002120E3" w:rsidRPr="009F22D2">
        <w:rPr>
          <w:rFonts w:ascii="Times New Roman" w:hAnsi="Times New Roman" w:cs="Times New Roman"/>
        </w:rPr>
        <w:t xml:space="preserve"> the line between permitted and prohibited conduct </w:t>
      </w:r>
      <w:r w:rsidR="002120E3">
        <w:rPr>
          <w:rFonts w:ascii="Times New Roman" w:hAnsi="Times New Roman" w:cs="Times New Roman"/>
        </w:rPr>
        <w:t>is blurred by the fact that</w:t>
      </w:r>
      <w:r w:rsidR="002120E3" w:rsidRPr="009F22D2">
        <w:rPr>
          <w:rFonts w:ascii="Times New Roman" w:hAnsi="Times New Roman" w:cs="Times New Roman"/>
        </w:rPr>
        <w:t xml:space="preserve"> nowhere does the Commission detail what </w:t>
      </w:r>
      <w:r w:rsidR="002120E3">
        <w:rPr>
          <w:rFonts w:ascii="Times New Roman" w:hAnsi="Times New Roman" w:cs="Times New Roman"/>
        </w:rPr>
        <w:t>type of algorithmic design conduct amounts</w:t>
      </w:r>
      <w:r w:rsidR="002120E3" w:rsidRPr="009F22D2">
        <w:rPr>
          <w:rFonts w:ascii="Times New Roman" w:hAnsi="Times New Roman" w:cs="Times New Roman"/>
        </w:rPr>
        <w:t xml:space="preserve"> to preferential treatment, </w:t>
      </w:r>
      <w:r w:rsidR="002120E3">
        <w:rPr>
          <w:rFonts w:ascii="Times New Roman" w:hAnsi="Times New Roman" w:cs="Times New Roman"/>
        </w:rPr>
        <w:t>other than stating</w:t>
      </w:r>
      <w:r w:rsidR="002120E3" w:rsidRPr="009F22D2">
        <w:rPr>
          <w:rFonts w:ascii="Times New Roman" w:hAnsi="Times New Roman" w:cs="Times New Roman"/>
        </w:rPr>
        <w:t xml:space="preserve"> that it involves the application of different standards for ranking and visualization to Google Shopping than to other comparison shopping services. </w:t>
      </w:r>
      <w:r w:rsidR="002120E3">
        <w:rPr>
          <w:rFonts w:ascii="Times New Roman" w:hAnsi="Times New Roman" w:cs="Times New Roman"/>
        </w:rPr>
        <w:t xml:space="preserve">In particular, </w:t>
      </w:r>
      <w:r w:rsidR="002120E3" w:rsidRPr="009F22D2">
        <w:rPr>
          <w:rFonts w:ascii="Times New Roman" w:hAnsi="Times New Roman" w:cs="Times New Roman"/>
        </w:rPr>
        <w:t xml:space="preserve">the Decision begs the question of whether a dominant undertaking </w:t>
      </w:r>
      <w:r w:rsidR="002120E3">
        <w:rPr>
          <w:rFonts w:ascii="Times New Roman" w:hAnsi="Times New Roman" w:cs="Times New Roman"/>
        </w:rPr>
        <w:t>remain</w:t>
      </w:r>
      <w:r w:rsidR="002120E3" w:rsidRPr="009F22D2">
        <w:rPr>
          <w:rFonts w:ascii="Times New Roman" w:hAnsi="Times New Roman" w:cs="Times New Roman"/>
        </w:rPr>
        <w:t>s free to set up its rank</w:t>
      </w:r>
      <w:r w:rsidR="002120E3">
        <w:rPr>
          <w:rFonts w:ascii="Times New Roman" w:hAnsi="Times New Roman" w:cs="Times New Roman"/>
        </w:rPr>
        <w:t>ing and selection (“triggering”)</w:t>
      </w:r>
      <w:r w:rsidR="002120E3" w:rsidRPr="009F22D2">
        <w:rPr>
          <w:rFonts w:ascii="Times New Roman" w:hAnsi="Times New Roman" w:cs="Times New Roman"/>
        </w:rPr>
        <w:t xml:space="preserve"> </w:t>
      </w:r>
      <w:r w:rsidR="002120E3">
        <w:rPr>
          <w:rFonts w:ascii="Times New Roman" w:hAnsi="Times New Roman" w:cs="Times New Roman"/>
        </w:rPr>
        <w:t>criteria,</w:t>
      </w:r>
      <w:r w:rsidR="002120E3" w:rsidRPr="009F22D2">
        <w:rPr>
          <w:rFonts w:ascii="Times New Roman" w:hAnsi="Times New Roman" w:cs="Times New Roman"/>
        </w:rPr>
        <w:t xml:space="preserve"> so long as those are applicable </w:t>
      </w:r>
      <w:r w:rsidR="002120E3" w:rsidRPr="000F0055">
        <w:rPr>
          <w:rFonts w:ascii="Times New Roman" w:hAnsi="Times New Roman" w:cs="Times New Roman"/>
        </w:rPr>
        <w:t xml:space="preserve">indistinctively both to its products and services and to those of its competitors. The Commission seems to gloss over those details, affirming that “[it] does not object to Google applying </w:t>
      </w:r>
      <w:r w:rsidR="002120E3" w:rsidRPr="000F0055">
        <w:rPr>
          <w:rFonts w:ascii="Times New Roman" w:hAnsi="Times New Roman" w:cs="Times New Roman"/>
          <w:i/>
        </w:rPr>
        <w:t>certain</w:t>
      </w:r>
      <w:r w:rsidR="002120E3" w:rsidRPr="000F0055">
        <w:rPr>
          <w:rFonts w:ascii="Times New Roman" w:hAnsi="Times New Roman" w:cs="Times New Roman"/>
        </w:rPr>
        <w:t xml:space="preserve"> relevance standards, but to the fact that Google’s own comparison shopping service is not subject to those same standards as competing comparison shopping services</w:t>
      </w:r>
      <w:r w:rsidR="002120E3" w:rsidRPr="000F0055">
        <w:rPr>
          <w:rStyle w:val="FootnoteReference"/>
          <w:rFonts w:ascii="Times New Roman" w:hAnsi="Times New Roman" w:cs="Times New Roman"/>
        </w:rPr>
        <w:footnoteReference w:id="101"/>
      </w:r>
      <w:r w:rsidR="002120E3" w:rsidRPr="000F0055">
        <w:rPr>
          <w:rFonts w:ascii="Times New Roman" w:hAnsi="Times New Roman" w:cs="Times New Roman"/>
        </w:rPr>
        <w:t xml:space="preserve">”. This leaves us with the suspicion that a dominant undertaking such as Google could in fact be found liable for designing its algorithms in a way that leads to a disparate impact on a given class of competitors (or in the case of the implementation of the remedy, its competing comparison shopping services), despite the indiscriminate application of those algorithms to all products and services. While that finding would be consistent with the European Commission’s focus on effects, it would </w:t>
      </w:r>
      <w:r w:rsidR="002120E3">
        <w:rPr>
          <w:rFonts w:ascii="Times New Roman" w:hAnsi="Times New Roman" w:cs="Times New Roman"/>
        </w:rPr>
        <w:t xml:space="preserve">certainly </w:t>
      </w:r>
      <w:r w:rsidR="002120E3" w:rsidRPr="000F0055">
        <w:rPr>
          <w:rFonts w:ascii="Times New Roman" w:hAnsi="Times New Roman" w:cs="Times New Roman"/>
        </w:rPr>
        <w:t>run against the presumption of innocence to impose a fine to an u</w:t>
      </w:r>
      <w:r w:rsidR="002120E3" w:rsidRPr="00335B03">
        <w:rPr>
          <w:rFonts w:ascii="Times New Roman" w:hAnsi="Times New Roman" w:cs="Times New Roman"/>
        </w:rPr>
        <w:t>ndertaking where the effects of its actions were not foreseeable at the time of designing the relevant algorithm (or implementing the relevant algorithmic change).</w:t>
      </w:r>
      <w:r w:rsidR="002120E3" w:rsidRPr="00612CBC">
        <w:rPr>
          <w:rFonts w:ascii="Times New Roman" w:hAnsi="Times New Roman" w:cs="Times New Roman"/>
        </w:rPr>
        <w:t xml:space="preserve"> </w:t>
      </w:r>
      <w:r w:rsidR="002120E3">
        <w:rPr>
          <w:rFonts w:ascii="Times New Roman" w:hAnsi="Times New Roman" w:cs="Times New Roman"/>
        </w:rPr>
        <w:t>And as it was argued in section 2.1, even beyond the imposition of a fine, this runs against the essence of the notion of abuse, which presupposes some form of intent -either intention or negligence.</w:t>
      </w:r>
    </w:p>
    <w:p w14:paraId="5B5185B8" w14:textId="77777777" w:rsidR="002120E3" w:rsidRPr="009F22D2" w:rsidRDefault="002120E3" w:rsidP="002120E3">
      <w:pPr>
        <w:jc w:val="both"/>
        <w:rPr>
          <w:rFonts w:ascii="Times New Roman" w:hAnsi="Times New Roman" w:cs="Times New Roman"/>
        </w:rPr>
      </w:pPr>
    </w:p>
    <w:p w14:paraId="6183BC7B" w14:textId="77777777" w:rsidR="002120E3" w:rsidRDefault="002120E3" w:rsidP="002120E3">
      <w:pPr>
        <w:jc w:val="both"/>
        <w:rPr>
          <w:rFonts w:ascii="Times New Roman" w:hAnsi="Times New Roman" w:cs="Times New Roman"/>
        </w:rPr>
      </w:pPr>
      <w:r>
        <w:rPr>
          <w:rFonts w:ascii="Times New Roman" w:hAnsi="Times New Roman" w:cs="Times New Roman"/>
        </w:rPr>
        <w:t>By the same token</w:t>
      </w:r>
      <w:r w:rsidRPr="009F22D2">
        <w:rPr>
          <w:rFonts w:ascii="Times New Roman" w:hAnsi="Times New Roman" w:cs="Times New Roman"/>
        </w:rPr>
        <w:t xml:space="preserve">, a </w:t>
      </w:r>
      <w:r>
        <w:rPr>
          <w:rFonts w:ascii="Times New Roman" w:hAnsi="Times New Roman" w:cs="Times New Roman"/>
        </w:rPr>
        <w:t xml:space="preserve">blanket </w:t>
      </w:r>
      <w:r w:rsidRPr="009F22D2">
        <w:rPr>
          <w:rFonts w:ascii="Times New Roman" w:hAnsi="Times New Roman" w:cs="Times New Roman"/>
        </w:rPr>
        <w:t>prohibition of self-favo</w:t>
      </w:r>
      <w:r>
        <w:rPr>
          <w:rFonts w:ascii="Times New Roman" w:hAnsi="Times New Roman" w:cs="Times New Roman"/>
        </w:rPr>
        <w:t>u</w:t>
      </w:r>
      <w:r w:rsidRPr="009F22D2">
        <w:rPr>
          <w:rFonts w:ascii="Times New Roman" w:hAnsi="Times New Roman" w:cs="Times New Roman"/>
        </w:rPr>
        <w:t xml:space="preserve">ring </w:t>
      </w:r>
      <w:r>
        <w:rPr>
          <w:rFonts w:ascii="Times New Roman" w:hAnsi="Times New Roman" w:cs="Times New Roman"/>
        </w:rPr>
        <w:t>formulated in these terms</w:t>
      </w:r>
      <w:r w:rsidRPr="009F22D2">
        <w:rPr>
          <w:rFonts w:ascii="Times New Roman" w:hAnsi="Times New Roman" w:cs="Times New Roman"/>
        </w:rPr>
        <w:t xml:space="preserve"> would be likely to impose a disproportionate burden on a range of undertakings, if not accompanied by some limiting principle: much like a dominant company’s indiscriminate conditions of sale may lead to refusal to supply in violation of </w:t>
      </w:r>
      <w:r>
        <w:rPr>
          <w:rFonts w:ascii="Times New Roman" w:hAnsi="Times New Roman" w:cs="Times New Roman"/>
        </w:rPr>
        <w:t>A</w:t>
      </w:r>
      <w:r w:rsidRPr="009F22D2">
        <w:rPr>
          <w:rFonts w:ascii="Times New Roman" w:hAnsi="Times New Roman" w:cs="Times New Roman"/>
        </w:rPr>
        <w:t xml:space="preserve">rticle 102 when it fulfills the specific conditions established in </w:t>
      </w:r>
      <w:r w:rsidRPr="009F22D2">
        <w:rPr>
          <w:rFonts w:ascii="Times New Roman" w:hAnsi="Times New Roman" w:cs="Times New Roman"/>
          <w:i/>
        </w:rPr>
        <w:t>Bronner</w:t>
      </w:r>
      <w:r w:rsidRPr="009F22D2">
        <w:rPr>
          <w:rStyle w:val="FootnoteReference"/>
          <w:rFonts w:ascii="Times New Roman" w:hAnsi="Times New Roman" w:cs="Times New Roman"/>
        </w:rPr>
        <w:footnoteReference w:id="102"/>
      </w:r>
      <w:r w:rsidRPr="009F22D2">
        <w:rPr>
          <w:rFonts w:ascii="Times New Roman" w:hAnsi="Times New Roman" w:cs="Times New Roman"/>
        </w:rPr>
        <w:t xml:space="preserve">, an algorithm with indiscriminate application but disparate impact on competitors should be held in violation of </w:t>
      </w:r>
      <w:r>
        <w:rPr>
          <w:rFonts w:ascii="Times New Roman" w:hAnsi="Times New Roman" w:cs="Times New Roman"/>
        </w:rPr>
        <w:t>A</w:t>
      </w:r>
      <w:r w:rsidRPr="009F22D2">
        <w:rPr>
          <w:rFonts w:ascii="Times New Roman" w:hAnsi="Times New Roman" w:cs="Times New Roman"/>
        </w:rPr>
        <w:t>rticle 102 only if it meets specific requirements serving as proxy of consumer harm</w:t>
      </w:r>
      <w:r>
        <w:rPr>
          <w:rFonts w:ascii="Times New Roman" w:hAnsi="Times New Roman" w:cs="Times New Roman"/>
        </w:rPr>
        <w:t xml:space="preserve">. To be clear, this is not a call for the application of the </w:t>
      </w:r>
      <w:r w:rsidRPr="00357F68">
        <w:rPr>
          <w:rFonts w:ascii="Times New Roman" w:hAnsi="Times New Roman" w:cs="Times New Roman"/>
          <w:i/>
        </w:rPr>
        <w:t>Bronner</w:t>
      </w:r>
      <w:r>
        <w:rPr>
          <w:rFonts w:ascii="Times New Roman" w:hAnsi="Times New Roman" w:cs="Times New Roman"/>
        </w:rPr>
        <w:t xml:space="preserve"> conditions, which is unsurprisingly </w:t>
      </w:r>
      <w:r w:rsidRPr="00B22133">
        <w:rPr>
          <w:rFonts w:ascii="Times New Roman" w:hAnsi="Times New Roman" w:cs="Times New Roman"/>
        </w:rPr>
        <w:t xml:space="preserve">invoked by Google, but rather a recognition that the Commission would be well advised to narrow the net it casts to catch anticompetitive conduct perpetrated through </w:t>
      </w:r>
      <w:r w:rsidRPr="00850E59">
        <w:rPr>
          <w:rFonts w:ascii="Times New Roman" w:hAnsi="Times New Roman" w:cs="Times New Roman"/>
        </w:rPr>
        <w:t xml:space="preserve">algorithmic nudging. </w:t>
      </w:r>
      <w:r>
        <w:rPr>
          <w:rFonts w:ascii="Times New Roman" w:hAnsi="Times New Roman" w:cs="Times New Roman"/>
        </w:rPr>
        <w:t xml:space="preserve"> The case-law simply does not provide a sufficient filter to limit recourse to claims of violation of article 102 (a) or (c) against algorithmic design conduct.</w:t>
      </w:r>
    </w:p>
    <w:p w14:paraId="15E2B651" w14:textId="77777777" w:rsidR="002120E3" w:rsidRDefault="002120E3" w:rsidP="002120E3">
      <w:pPr>
        <w:jc w:val="both"/>
        <w:rPr>
          <w:rFonts w:ascii="Times New Roman" w:hAnsi="Times New Roman" w:cs="Times New Roman"/>
        </w:rPr>
      </w:pPr>
    </w:p>
    <w:p w14:paraId="35791007" w14:textId="77777777" w:rsidR="002120E3" w:rsidRDefault="002120E3" w:rsidP="002120E3">
      <w:pPr>
        <w:jc w:val="both"/>
        <w:rPr>
          <w:rFonts w:ascii="Times New Roman" w:hAnsi="Times New Roman" w:cs="Times New Roman"/>
        </w:rPr>
      </w:pPr>
      <w:r>
        <w:rPr>
          <w:rFonts w:ascii="Times New Roman" w:hAnsi="Times New Roman" w:cs="Times New Roman"/>
        </w:rPr>
        <w:t xml:space="preserve">First, when it comes to discrimination under article 102 ©, the requirements for the establishment of an abuse have not been interpreted very stringently. The article requires (i) </w:t>
      </w:r>
      <w:r w:rsidRPr="00EE2ED4">
        <w:rPr>
          <w:rFonts w:ascii="Times New Roman" w:hAnsi="Times New Roman" w:cs="Times New Roman"/>
          <w:i/>
        </w:rPr>
        <w:t>dissimilar</w:t>
      </w:r>
      <w:r>
        <w:rPr>
          <w:rFonts w:ascii="Times New Roman" w:hAnsi="Times New Roman" w:cs="Times New Roman"/>
        </w:rPr>
        <w:t xml:space="preserve"> conditions in (ii) </w:t>
      </w:r>
      <w:r w:rsidRPr="00EE2ED4">
        <w:rPr>
          <w:rFonts w:ascii="Times New Roman" w:hAnsi="Times New Roman" w:cs="Times New Roman"/>
          <w:i/>
        </w:rPr>
        <w:t>equivalent</w:t>
      </w:r>
      <w:r>
        <w:rPr>
          <w:rFonts w:ascii="Times New Roman" w:hAnsi="Times New Roman" w:cs="Times New Roman"/>
        </w:rPr>
        <w:t xml:space="preserve"> transactions between (iii) </w:t>
      </w:r>
      <w:r w:rsidRPr="00D34868">
        <w:rPr>
          <w:rFonts w:ascii="Times New Roman" w:hAnsi="Times New Roman" w:cs="Times New Roman"/>
          <w:i/>
        </w:rPr>
        <w:t>trading</w:t>
      </w:r>
      <w:r>
        <w:rPr>
          <w:rFonts w:ascii="Times New Roman" w:hAnsi="Times New Roman" w:cs="Times New Roman"/>
        </w:rPr>
        <w:t xml:space="preserve"> </w:t>
      </w:r>
      <w:r w:rsidRPr="00D34868">
        <w:rPr>
          <w:rFonts w:ascii="Times New Roman" w:hAnsi="Times New Roman" w:cs="Times New Roman"/>
          <w:i/>
        </w:rPr>
        <w:t>parties</w:t>
      </w:r>
      <w:r>
        <w:rPr>
          <w:rFonts w:ascii="Times New Roman" w:hAnsi="Times New Roman" w:cs="Times New Roman"/>
        </w:rPr>
        <w:t xml:space="preserve">, thereby (iv) placing them at </w:t>
      </w:r>
      <w:r w:rsidRPr="00EE2ED4">
        <w:rPr>
          <w:rFonts w:ascii="Times New Roman" w:hAnsi="Times New Roman" w:cs="Times New Roman"/>
          <w:i/>
        </w:rPr>
        <w:t>competitive advantage</w:t>
      </w:r>
      <w:r>
        <w:rPr>
          <w:rFonts w:ascii="Times New Roman" w:hAnsi="Times New Roman" w:cs="Times New Roman"/>
        </w:rPr>
        <w:t xml:space="preserve">. Component (i) is not very well defined in the case-law, and is typically dealt with in conjunction with (ii); however, it has been interpreted to include </w:t>
      </w:r>
      <w:r w:rsidRPr="00F04D48">
        <w:rPr>
          <w:rFonts w:ascii="Times New Roman" w:hAnsi="Times New Roman" w:cs="Times New Roman"/>
          <w:i/>
        </w:rPr>
        <w:t>any</w:t>
      </w:r>
      <w:r>
        <w:rPr>
          <w:rFonts w:ascii="Times New Roman" w:hAnsi="Times New Roman" w:cs="Times New Roman"/>
        </w:rPr>
        <w:t xml:space="preserve"> differential treatment, unless that treatment is objectively justified</w:t>
      </w:r>
      <w:r>
        <w:rPr>
          <w:rStyle w:val="FootnoteReference"/>
          <w:rFonts w:ascii="Times New Roman" w:hAnsi="Times New Roman" w:cs="Times New Roman"/>
        </w:rPr>
        <w:footnoteReference w:id="103"/>
      </w:r>
      <w:r>
        <w:rPr>
          <w:rFonts w:ascii="Times New Roman" w:hAnsi="Times New Roman" w:cs="Times New Roman"/>
        </w:rPr>
        <w:t>. However, the concept of objective justification is due to factors external to the undertaking</w:t>
      </w:r>
      <w:r>
        <w:rPr>
          <w:rStyle w:val="FootnoteReference"/>
          <w:rFonts w:ascii="Times New Roman" w:hAnsi="Times New Roman" w:cs="Times New Roman"/>
        </w:rPr>
        <w:footnoteReference w:id="104"/>
      </w:r>
      <w:r>
        <w:rPr>
          <w:rFonts w:ascii="Times New Roman" w:hAnsi="Times New Roman" w:cs="Times New Roman"/>
        </w:rPr>
        <w:t>, and the fact that transactions entail different costs for the dominant firm would imply that those are not equivalent in the first place</w:t>
      </w:r>
      <w:r>
        <w:rPr>
          <w:rStyle w:val="FootnoteReference"/>
          <w:rFonts w:ascii="Times New Roman" w:hAnsi="Times New Roman" w:cs="Times New Roman"/>
        </w:rPr>
        <w:footnoteReference w:id="105"/>
      </w:r>
      <w:r>
        <w:rPr>
          <w:rFonts w:ascii="Times New Roman" w:hAnsi="Times New Roman" w:cs="Times New Roman"/>
        </w:rPr>
        <w:t xml:space="preserve">; however, this does not be a relevant consideration for the inclusion into the results of search engines or other algorithmic mediators. The hurdle of “trading” under component (iii) does not appear to be insurmountable either, judging from the Commission’s decision in </w:t>
      </w:r>
      <w:r w:rsidRPr="00417F70">
        <w:rPr>
          <w:rFonts w:ascii="Times New Roman" w:hAnsi="Times New Roman" w:cs="Times New Roman"/>
          <w:i/>
        </w:rPr>
        <w:t>BdKEP</w:t>
      </w:r>
      <w:r>
        <w:rPr>
          <w:rFonts w:ascii="Times New Roman" w:hAnsi="Times New Roman" w:cs="Times New Roman"/>
        </w:rPr>
        <w:t xml:space="preserve"> that there is no requirement of contractual privity</w:t>
      </w:r>
      <w:r>
        <w:rPr>
          <w:rStyle w:val="FootnoteReference"/>
          <w:rFonts w:ascii="Times New Roman" w:hAnsi="Times New Roman" w:cs="Times New Roman"/>
        </w:rPr>
        <w:footnoteReference w:id="106"/>
      </w:r>
      <w:r>
        <w:rPr>
          <w:rFonts w:ascii="Times New Roman" w:hAnsi="Times New Roman" w:cs="Times New Roman"/>
        </w:rPr>
        <w:t>. The existence of “mere business contacts” may be established where the business of the affected firm substantially depends upon services provided (as part of its business model) by the dominant undertaking: it would not be a novelty for competition law to give recognition to the legitimate expectations created by the dominant firm, based on the need to maintain the degree of competition that has already been weakened</w:t>
      </w:r>
      <w:r>
        <w:rPr>
          <w:rStyle w:val="FootnoteReference"/>
          <w:rFonts w:ascii="Times New Roman" w:hAnsi="Times New Roman" w:cs="Times New Roman"/>
        </w:rPr>
        <w:footnoteReference w:id="107"/>
      </w:r>
      <w:r>
        <w:rPr>
          <w:rFonts w:ascii="Times New Roman" w:hAnsi="Times New Roman" w:cs="Times New Roman"/>
        </w:rPr>
        <w:t>. Some have for instance used this idea to evoke the notion of an “estoppel” abuse, according to which a dominant firm who has voluntarily entered into dealings with another firm must do so on terms that make it possible for the latter to compete</w:t>
      </w:r>
      <w:r>
        <w:rPr>
          <w:rStyle w:val="FootnoteReference"/>
          <w:rFonts w:ascii="Times New Roman" w:hAnsi="Times New Roman" w:cs="Times New Roman"/>
        </w:rPr>
        <w:footnoteReference w:id="108"/>
      </w:r>
      <w:r>
        <w:rPr>
          <w:rFonts w:ascii="Times New Roman" w:hAnsi="Times New Roman" w:cs="Times New Roman"/>
        </w:rPr>
        <w:t xml:space="preserve">. </w:t>
      </w:r>
    </w:p>
    <w:p w14:paraId="0068A4C7" w14:textId="77777777" w:rsidR="002120E3" w:rsidRDefault="002120E3" w:rsidP="002120E3">
      <w:pPr>
        <w:jc w:val="both"/>
        <w:rPr>
          <w:rFonts w:ascii="Times New Roman" w:hAnsi="Times New Roman" w:cs="Times New Roman"/>
        </w:rPr>
      </w:pPr>
    </w:p>
    <w:p w14:paraId="49861DAA" w14:textId="77777777" w:rsidR="002120E3" w:rsidRPr="00E60A4B" w:rsidRDefault="002120E3" w:rsidP="002120E3">
      <w:pPr>
        <w:jc w:val="both"/>
        <w:rPr>
          <w:rFonts w:ascii="Times New Roman" w:hAnsi="Times New Roman" w:cs="Times New Roman"/>
        </w:rPr>
      </w:pPr>
      <w:r w:rsidRPr="00E60A4B">
        <w:rPr>
          <w:rFonts w:ascii="Times New Roman" w:hAnsi="Times New Roman" w:cs="Times New Roman"/>
        </w:rPr>
        <w:t xml:space="preserve">Given the relatively low threshold to establish (i) to (iii), the real test for the success of an abusive discrimination claim has generally been the existence of a competitive disadvantage, although with varying degree of stringency: some decisions have required the differential treatment to be not isolated and more than </w:t>
      </w:r>
      <w:r w:rsidRPr="00E60A4B">
        <w:rPr>
          <w:rFonts w:ascii="Times New Roman" w:hAnsi="Times New Roman" w:cs="Times New Roman"/>
          <w:i/>
        </w:rPr>
        <w:t>de minimis</w:t>
      </w:r>
      <w:r w:rsidRPr="00E60A4B">
        <w:rPr>
          <w:rStyle w:val="FootnoteReference"/>
          <w:rFonts w:ascii="Times New Roman" w:hAnsi="Times New Roman" w:cs="Times New Roman"/>
          <w:i/>
        </w:rPr>
        <w:footnoteReference w:id="109"/>
      </w:r>
      <w:r w:rsidRPr="00E60A4B">
        <w:rPr>
          <w:rFonts w:ascii="Times New Roman" w:hAnsi="Times New Roman" w:cs="Times New Roman"/>
        </w:rPr>
        <w:t>; however, the majority has inferred the existence of a disadvantage based on logical arguments, in particular looking at a mere tendency to lead to a distortion of competition between those business partners</w:t>
      </w:r>
      <w:r w:rsidRPr="00E60A4B">
        <w:rPr>
          <w:rStyle w:val="FootnoteReference"/>
          <w:rFonts w:ascii="Times New Roman" w:hAnsi="Times New Roman" w:cs="Times New Roman"/>
        </w:rPr>
        <w:footnoteReference w:id="110"/>
      </w:r>
      <w:r w:rsidRPr="00E60A4B">
        <w:rPr>
          <w:rFonts w:ascii="Times New Roman" w:hAnsi="Times New Roman" w:cs="Times New Roman"/>
        </w:rPr>
        <w:t xml:space="preserve">. The most recent judgment by the CJEU on this matter has taken a middle path: in </w:t>
      </w:r>
      <w:r w:rsidRPr="00E60A4B">
        <w:rPr>
          <w:rFonts w:ascii="Times New Roman" w:hAnsi="Times New Roman" w:cs="Times New Roman"/>
          <w:i/>
        </w:rPr>
        <w:t>MEO</w:t>
      </w:r>
      <w:r w:rsidRPr="00E60A4B">
        <w:rPr>
          <w:rFonts w:ascii="Times New Roman" w:hAnsi="Times New Roman" w:cs="Times New Roman"/>
        </w:rPr>
        <w:t>, the Court held that a differential treatment that is insignificant may in some circumstances be insufficient to cause a competitive disadvantage</w:t>
      </w:r>
      <w:r w:rsidRPr="00E60A4B">
        <w:rPr>
          <w:rStyle w:val="FootnoteReference"/>
          <w:rFonts w:ascii="Times New Roman" w:hAnsi="Times New Roman" w:cs="Times New Roman"/>
        </w:rPr>
        <w:footnoteReference w:id="111"/>
      </w:r>
      <w:r w:rsidRPr="00E60A4B">
        <w:rPr>
          <w:rFonts w:ascii="Times New Roman" w:hAnsi="Times New Roman" w:cs="Times New Roman"/>
        </w:rPr>
        <w:t xml:space="preserve">; while also extrapolating from its case-law a general principle according to which fixing </w:t>
      </w:r>
      <w:r w:rsidRPr="00E60A4B">
        <w:rPr>
          <w:rFonts w:ascii="Times New Roman" w:hAnsi="Times New Roman" w:cs="Times New Roman"/>
          <w:i/>
        </w:rPr>
        <w:t>a priori</w:t>
      </w:r>
      <w:r w:rsidRPr="00E60A4B">
        <w:rPr>
          <w:rFonts w:ascii="Times New Roman" w:hAnsi="Times New Roman" w:cs="Times New Roman"/>
        </w:rPr>
        <w:t xml:space="preserve"> an appreciability (</w:t>
      </w:r>
      <w:r w:rsidRPr="00E60A4B">
        <w:rPr>
          <w:rFonts w:ascii="Times New Roman" w:hAnsi="Times New Roman" w:cs="Times New Roman"/>
          <w:i/>
        </w:rPr>
        <w:t>de minimis</w:t>
      </w:r>
      <w:r w:rsidRPr="00E60A4B">
        <w:rPr>
          <w:rFonts w:ascii="Times New Roman" w:hAnsi="Times New Roman" w:cs="Times New Roman"/>
        </w:rPr>
        <w:t>) threshold for determining whether there is an abuse of a dominant position is not justified</w:t>
      </w:r>
      <w:r w:rsidRPr="00E60A4B">
        <w:rPr>
          <w:rStyle w:val="FootnoteReference"/>
          <w:rFonts w:ascii="Times New Roman" w:hAnsi="Times New Roman" w:cs="Times New Roman"/>
        </w:rPr>
        <w:footnoteReference w:id="112"/>
      </w:r>
      <w:r w:rsidRPr="00E60A4B">
        <w:rPr>
          <w:rFonts w:ascii="Times New Roman" w:eastAsia="Times New Roman" w:hAnsi="Times New Roman" w:cs="Times New Roman"/>
          <w:color w:val="333333"/>
          <w:shd w:val="clear" w:color="auto" w:fill="FFFFFF"/>
        </w:rPr>
        <w:t>.</w:t>
      </w:r>
      <w:r w:rsidRPr="00E60A4B">
        <w:rPr>
          <w:rFonts w:ascii="Times New Roman" w:eastAsia="Times New Roman" w:hAnsi="Times New Roman" w:cs="Times New Roman"/>
        </w:rPr>
        <w:t xml:space="preserve"> It was</w:t>
      </w:r>
      <w:r w:rsidRPr="00E60A4B">
        <w:rPr>
          <w:rFonts w:ascii="Times New Roman" w:hAnsi="Times New Roman" w:cs="Times New Roman"/>
        </w:rPr>
        <w:t xml:space="preserve"> held that the notion of “competitive advantage” does not require proof of actual quantifiable deterioration in the competitive situation, but extends to situations in which that behaviour is </w:t>
      </w:r>
      <w:r w:rsidRPr="00E60A4B">
        <w:rPr>
          <w:rFonts w:ascii="Times New Roman" w:hAnsi="Times New Roman" w:cs="Times New Roman"/>
          <w:i/>
        </w:rPr>
        <w:t>capable</w:t>
      </w:r>
      <w:r w:rsidRPr="00E60A4B">
        <w:rPr>
          <w:rFonts w:ascii="Times New Roman" w:hAnsi="Times New Roman" w:cs="Times New Roman"/>
        </w:rPr>
        <w:t xml:space="preserve"> of distorting competition between trade partners</w:t>
      </w:r>
      <w:r w:rsidRPr="00E60A4B">
        <w:rPr>
          <w:rStyle w:val="FootnoteReference"/>
          <w:rFonts w:ascii="Times New Roman" w:hAnsi="Times New Roman" w:cs="Times New Roman"/>
        </w:rPr>
        <w:footnoteReference w:id="113"/>
      </w:r>
      <w:r w:rsidRPr="00E60A4B">
        <w:rPr>
          <w:rFonts w:ascii="Times New Roman" w:hAnsi="Times New Roman" w:cs="Times New Roman"/>
        </w:rPr>
        <w:t>; and that the determination of such capability requires an analysis of all the relevant circumstances (including, for the particular case of a vertical undertaking discriminating against its competitors downstream, the undertaking’s dominant position, the negotiating power as regards the tariffs, the conditions and arrangements for charging those tariffs, their duration and their amount, and the possible existence of a strategy aiming to exclude from the downstream market one of its trade partners which is at least as efficient as its competitors)</w:t>
      </w:r>
      <w:r w:rsidRPr="00E60A4B">
        <w:rPr>
          <w:rStyle w:val="FootnoteReference"/>
          <w:rFonts w:ascii="Times New Roman" w:hAnsi="Times New Roman" w:cs="Times New Roman"/>
        </w:rPr>
        <w:footnoteReference w:id="114"/>
      </w:r>
      <w:r w:rsidRPr="00E60A4B">
        <w:rPr>
          <w:rFonts w:ascii="Times New Roman" w:hAnsi="Times New Roman" w:cs="Times New Roman"/>
        </w:rPr>
        <w:t xml:space="preserve">. All in all, this suggests that prognosticating the existence of an abuse will be difficult for algorithmic operators, which is likely to generate significant chilling effects. </w:t>
      </w:r>
    </w:p>
    <w:p w14:paraId="392CE584" w14:textId="77777777" w:rsidR="002120E3" w:rsidRPr="00DC3DA7" w:rsidRDefault="002120E3" w:rsidP="002120E3">
      <w:pPr>
        <w:jc w:val="both"/>
        <w:rPr>
          <w:rFonts w:ascii="Times New Roman" w:hAnsi="Times New Roman" w:cs="Times New Roman"/>
        </w:rPr>
      </w:pPr>
    </w:p>
    <w:p w14:paraId="0A6DCA41" w14:textId="77777777" w:rsidR="002120E3" w:rsidRDefault="002120E3" w:rsidP="002120E3">
      <w:pPr>
        <w:jc w:val="both"/>
        <w:rPr>
          <w:rFonts w:ascii="Times New Roman" w:hAnsi="Times New Roman" w:cs="Times New Roman"/>
        </w:rPr>
      </w:pPr>
      <w:r>
        <w:rPr>
          <w:rFonts w:ascii="Times New Roman" w:hAnsi="Times New Roman" w:cs="Times New Roman"/>
        </w:rPr>
        <w:t xml:space="preserve">Let us briefly consider also the second type of abuse that could explain the </w:t>
      </w:r>
      <w:r w:rsidRPr="00FB11A4">
        <w:rPr>
          <w:rFonts w:ascii="Times New Roman" w:hAnsi="Times New Roman" w:cs="Times New Roman"/>
          <w:i/>
        </w:rPr>
        <w:t>Google Shopping</w:t>
      </w:r>
      <w:r>
        <w:rPr>
          <w:rFonts w:ascii="Times New Roman" w:hAnsi="Times New Roman" w:cs="Times New Roman"/>
        </w:rPr>
        <w:t xml:space="preserve"> decision, i.e. the imposition of</w:t>
      </w:r>
      <w:r w:rsidRPr="00C32E5F">
        <w:rPr>
          <w:rFonts w:ascii="Times New Roman" w:hAnsi="Times New Roman" w:cs="Times New Roman"/>
        </w:rPr>
        <w:t xml:space="preserve"> unfair purchase or selling prices or other unfair trading conditions</w:t>
      </w:r>
      <w:r>
        <w:rPr>
          <w:rFonts w:ascii="Times New Roman" w:hAnsi="Times New Roman" w:cs="Times New Roman"/>
        </w:rPr>
        <w:t>. In particular, what is relevant here is the second part of the provision, which can be interpreted to cover the rules and criteria used by Google to trigger, display and rank its search results. The argument for the establishment of “trading” in the absence of a contractual relationship would obviously be the same as the one made above, i.e. holding that when a dominant undertaking designs and makes available the results of its algorithmic processes for third parties to rely upon, it has voluntarily entered into a course of dealing with any third party using that service. One may contend that the dominant undertaking is not really trading if it is not receiving direct financial compensation in return for the provision of the service</w:t>
      </w:r>
      <w:r>
        <w:rPr>
          <w:rStyle w:val="FootnoteReference"/>
          <w:rFonts w:ascii="Times New Roman" w:hAnsi="Times New Roman" w:cs="Times New Roman"/>
        </w:rPr>
        <w:footnoteReference w:id="115"/>
      </w:r>
      <w:r>
        <w:rPr>
          <w:rFonts w:ascii="Times New Roman" w:hAnsi="Times New Roman" w:cs="Times New Roman"/>
        </w:rPr>
        <w:t xml:space="preserve">, but this can hardly be the only type of trading considered in a data-driven era. First, the value of clickstream data and any the advertising associated with navigational queries cannot be underestimated, and the presence of websites on the list of results is instrumental to the attainment of that value. Second, some of these service providers (including Google, but also price comparison websites) offer prominent placement as part of their business, once again making algorithmic listing an integral component of their trading. </w:t>
      </w:r>
    </w:p>
    <w:p w14:paraId="30F4D62A" w14:textId="77777777" w:rsidR="002120E3" w:rsidRDefault="002120E3" w:rsidP="002120E3">
      <w:pPr>
        <w:jc w:val="both"/>
        <w:rPr>
          <w:rFonts w:ascii="Times New Roman" w:hAnsi="Times New Roman" w:cs="Times New Roman"/>
        </w:rPr>
      </w:pPr>
    </w:p>
    <w:p w14:paraId="3BC8C5BA" w14:textId="77777777" w:rsidR="002120E3" w:rsidRDefault="002120E3" w:rsidP="002120E3">
      <w:pPr>
        <w:jc w:val="both"/>
        <w:rPr>
          <w:rFonts w:ascii="Times New Roman" w:eastAsia="Times New Roman" w:hAnsi="Times New Roman" w:cs="Times New Roman"/>
        </w:rPr>
      </w:pPr>
      <w:r>
        <w:rPr>
          <w:rFonts w:ascii="Times New Roman" w:hAnsi="Times New Roman" w:cs="Times New Roman"/>
        </w:rPr>
        <w:t xml:space="preserve">The other element that must be established for an abuse under article 102 (a) is the existence of </w:t>
      </w:r>
      <w:r w:rsidRPr="00D449B4">
        <w:rPr>
          <w:rFonts w:ascii="Times New Roman" w:hAnsi="Times New Roman" w:cs="Times New Roman"/>
          <w:i/>
        </w:rPr>
        <w:t>unfair</w:t>
      </w:r>
      <w:r>
        <w:rPr>
          <w:rFonts w:ascii="Times New Roman" w:hAnsi="Times New Roman" w:cs="Times New Roman"/>
          <w:i/>
        </w:rPr>
        <w:t xml:space="preserve"> </w:t>
      </w:r>
      <w:r w:rsidRPr="00D449B4">
        <w:rPr>
          <w:rFonts w:ascii="Times New Roman" w:hAnsi="Times New Roman" w:cs="Times New Roman"/>
        </w:rPr>
        <w:t>conditions</w:t>
      </w:r>
      <w:r>
        <w:rPr>
          <w:rFonts w:ascii="Times New Roman" w:hAnsi="Times New Roman" w:cs="Times New Roman"/>
        </w:rPr>
        <w:t>, which in the case-law has been interpreted to mean that the dominant firm takes advantage of the superior bargaining position to impose conditions that are not necessary and proportionate for the achievement of its objectives, and result in a significant limitation of freedom of its trading party</w:t>
      </w:r>
      <w:r>
        <w:rPr>
          <w:rStyle w:val="FootnoteReference"/>
          <w:rFonts w:ascii="Times New Roman" w:hAnsi="Times New Roman" w:cs="Times New Roman"/>
        </w:rPr>
        <w:footnoteReference w:id="116"/>
      </w:r>
      <w:r>
        <w:rPr>
          <w:rFonts w:ascii="Times New Roman" w:hAnsi="Times New Roman" w:cs="Times New Roman"/>
        </w:rPr>
        <w:t>. Example of such conduct are long-term contracts with automatic renewal</w:t>
      </w:r>
      <w:r>
        <w:rPr>
          <w:rStyle w:val="FootnoteReference"/>
          <w:rFonts w:ascii="Times New Roman" w:hAnsi="Times New Roman" w:cs="Times New Roman"/>
        </w:rPr>
        <w:footnoteReference w:id="117"/>
      </w:r>
      <w:r>
        <w:rPr>
          <w:rFonts w:ascii="Times New Roman" w:hAnsi="Times New Roman" w:cs="Times New Roman"/>
        </w:rPr>
        <w:t>, opacity and discretion on the granting of benefits to the other party</w:t>
      </w:r>
      <w:r>
        <w:rPr>
          <w:rStyle w:val="FootnoteReference"/>
          <w:rFonts w:ascii="Times New Roman" w:hAnsi="Times New Roman" w:cs="Times New Roman"/>
        </w:rPr>
        <w:footnoteReference w:id="118"/>
      </w:r>
      <w:r>
        <w:rPr>
          <w:rFonts w:ascii="Times New Roman" w:hAnsi="Times New Roman" w:cs="Times New Roman"/>
        </w:rPr>
        <w:t>, and deprivation of one’s effective property right over purchased equipment by requiring permission for transfer of ownership, prohibiting any modifications, and requiring exclusive repair and maintenance from the seller</w:t>
      </w:r>
      <w:r>
        <w:rPr>
          <w:rStyle w:val="FootnoteReference"/>
          <w:rFonts w:ascii="Times New Roman" w:hAnsi="Times New Roman" w:cs="Times New Roman"/>
        </w:rPr>
        <w:footnoteReference w:id="119"/>
      </w:r>
      <w:r>
        <w:rPr>
          <w:rFonts w:ascii="Times New Roman" w:hAnsi="Times New Roman" w:cs="Times New Roman"/>
        </w:rPr>
        <w:t>. In the case of Google, this would arguably be met by the maintenance of opaque and discretionary ranking mechanisms. In fact, t</w:t>
      </w:r>
      <w:r w:rsidRPr="009F22D2">
        <w:rPr>
          <w:rFonts w:ascii="Times New Roman" w:hAnsi="Times New Roman" w:cs="Times New Roman"/>
        </w:rPr>
        <w:t>he Decision highlights the ample discretion to remove or demote websites retained by Google in its Webmaster Guidelines, where the company warns against certain identified practices but also reserves the right to “respond negatively to other practices not listed”</w:t>
      </w:r>
      <w:r w:rsidRPr="00AF278A">
        <w:rPr>
          <w:rStyle w:val="FootnoteReference"/>
          <w:rFonts w:ascii="Times New Roman" w:hAnsi="Times New Roman" w:cs="Times New Roman"/>
        </w:rPr>
        <w:t xml:space="preserve"> </w:t>
      </w:r>
      <w:r w:rsidRPr="009F22D2">
        <w:rPr>
          <w:rStyle w:val="FootnoteReference"/>
          <w:rFonts w:ascii="Times New Roman" w:hAnsi="Times New Roman" w:cs="Times New Roman"/>
        </w:rPr>
        <w:footnoteReference w:id="120"/>
      </w:r>
      <w:r w:rsidRPr="009F22D2">
        <w:rPr>
          <w:rFonts w:ascii="Times New Roman" w:hAnsi="Times New Roman" w:cs="Times New Roman"/>
        </w:rPr>
        <w:t xml:space="preserve">. </w:t>
      </w:r>
      <w:r>
        <w:rPr>
          <w:rFonts w:ascii="Times New Roman" w:hAnsi="Times New Roman" w:cs="Times New Roman"/>
        </w:rPr>
        <w:t xml:space="preserve">Furthermore, </w:t>
      </w:r>
      <w:r w:rsidRPr="009F22D2">
        <w:rPr>
          <w:rFonts w:ascii="Times New Roman" w:hAnsi="Times New Roman" w:cs="Times New Roman"/>
        </w:rPr>
        <w:t>it recognizes that only a fraction of Google’s users (“the most knowledgeable users”) is likely to take the “Sponsored” label to mean that different positioning and display mechanisms are used for the corresponding search results</w:t>
      </w:r>
      <w:r w:rsidRPr="009F22D2">
        <w:rPr>
          <w:rStyle w:val="FootnoteReference"/>
          <w:rFonts w:ascii="Times New Roman" w:hAnsi="Times New Roman" w:cs="Times New Roman"/>
        </w:rPr>
        <w:footnoteReference w:id="121"/>
      </w:r>
      <w:r w:rsidRPr="009F22D2">
        <w:rPr>
          <w:rFonts w:ascii="Times New Roman" w:hAnsi="Times New Roman" w:cs="Times New Roman"/>
        </w:rPr>
        <w:t xml:space="preserve">. </w:t>
      </w:r>
      <w:r>
        <w:rPr>
          <w:rFonts w:ascii="Times New Roman" w:hAnsi="Times New Roman" w:cs="Times New Roman"/>
        </w:rPr>
        <w:t>It is worth noting that the Decision does not provide empirical support for the latter position, and that this specific issue was at the core of the Dissenting Opinion to the recent Indian Competition Commission’s Decision finding that Google leveraged its</w:t>
      </w:r>
      <w:r w:rsidRPr="00B3408D">
        <w:rPr>
          <w:rFonts w:ascii="Times New Roman" w:hAnsi="Times New Roman" w:cs="Times New Roman"/>
        </w:rPr>
        <w:t xml:space="preserve"> dominant position in </w:t>
      </w:r>
      <w:r>
        <w:rPr>
          <w:rFonts w:ascii="Times New Roman" w:hAnsi="Times New Roman" w:cs="Times New Roman"/>
        </w:rPr>
        <w:t xml:space="preserve">general web search </w:t>
      </w:r>
      <w:r w:rsidRPr="00B3408D">
        <w:rPr>
          <w:rFonts w:ascii="Times New Roman" w:hAnsi="Times New Roman" w:cs="Times New Roman"/>
        </w:rPr>
        <w:t>to</w:t>
      </w:r>
      <w:r>
        <w:rPr>
          <w:rFonts w:ascii="Times New Roman" w:hAnsi="Times New Roman" w:cs="Times New Roman"/>
        </w:rPr>
        <w:t xml:space="preserve"> favour its own flight comparison service (Google Flights) over competing</w:t>
      </w:r>
      <w:r w:rsidRPr="00B3408D">
        <w:rPr>
          <w:rFonts w:ascii="Times New Roman" w:hAnsi="Times New Roman" w:cs="Times New Roman"/>
        </w:rPr>
        <w:t xml:space="preserve"> </w:t>
      </w:r>
      <w:r>
        <w:rPr>
          <w:rFonts w:ascii="Times New Roman" w:hAnsi="Times New Roman" w:cs="Times New Roman"/>
        </w:rPr>
        <w:t>‘</w:t>
      </w:r>
      <w:r w:rsidRPr="00B3408D">
        <w:rPr>
          <w:rFonts w:ascii="Times New Roman" w:hAnsi="Times New Roman" w:cs="Times New Roman"/>
        </w:rPr>
        <w:t>travel verticals</w:t>
      </w:r>
      <w:r>
        <w:rPr>
          <w:rFonts w:ascii="Times New Roman" w:hAnsi="Times New Roman" w:cs="Times New Roman"/>
        </w:rPr>
        <w:t>’</w:t>
      </w:r>
      <w:r>
        <w:rPr>
          <w:rStyle w:val="FootnoteReference"/>
          <w:rFonts w:ascii="Times New Roman" w:hAnsi="Times New Roman" w:cs="Times New Roman"/>
        </w:rPr>
        <w:footnoteReference w:id="122"/>
      </w:r>
      <w:r>
        <w:rPr>
          <w:rFonts w:ascii="Times New Roman" w:hAnsi="Times New Roman" w:cs="Times New Roman"/>
        </w:rPr>
        <w:t>.</w:t>
      </w:r>
      <w:r w:rsidRPr="000A4BB8">
        <w:rPr>
          <w:rFonts w:ascii="Times New Roman" w:hAnsi="Times New Roman" w:cs="Times New Roman"/>
        </w:rPr>
        <w:t xml:space="preserve"> </w:t>
      </w:r>
      <w:r>
        <w:rPr>
          <w:rFonts w:ascii="Times New Roman" w:hAnsi="Times New Roman" w:cs="Times New Roman"/>
        </w:rPr>
        <w:t>Overall, t</w:t>
      </w:r>
      <w:r w:rsidRPr="009F22D2">
        <w:rPr>
          <w:rFonts w:ascii="Times New Roman" w:hAnsi="Times New Roman" w:cs="Times New Roman"/>
        </w:rPr>
        <w:t xml:space="preserve">hese statements </w:t>
      </w:r>
      <w:r>
        <w:rPr>
          <w:rFonts w:ascii="Times New Roman" w:hAnsi="Times New Roman" w:cs="Times New Roman"/>
        </w:rPr>
        <w:t xml:space="preserve">indicate </w:t>
      </w:r>
      <w:r w:rsidRPr="009F22D2">
        <w:rPr>
          <w:rFonts w:ascii="Times New Roman" w:hAnsi="Times New Roman" w:cs="Times New Roman"/>
        </w:rPr>
        <w:t>that an important element of the Commission’s condemnation of the conduct lies in the opaqueness of Google’s prioritization and/or penalization practices, which affects the structure of competition in the market for shopping comparison services.</w:t>
      </w:r>
      <w:r>
        <w:rPr>
          <w:rFonts w:ascii="Times New Roman" w:hAnsi="Times New Roman" w:cs="Times New Roman"/>
        </w:rPr>
        <w:t xml:space="preserve"> This resonates with the gist of </w:t>
      </w:r>
      <w:r w:rsidRPr="00592FBC">
        <w:rPr>
          <w:rFonts w:ascii="Times New Roman" w:hAnsi="Times New Roman" w:cs="Times New Roman"/>
          <w:i/>
        </w:rPr>
        <w:t>Astra Zeneca</w:t>
      </w:r>
      <w:r>
        <w:rPr>
          <w:rFonts w:ascii="Times New Roman" w:hAnsi="Times New Roman" w:cs="Times New Roman"/>
        </w:rPr>
        <w:t xml:space="preserve">, where the Court found that a dominant company has to be transparent with regard to criteria which enable it to impair competition with methods falling outside the scope of competition on the merits, and </w:t>
      </w:r>
      <w:r>
        <w:rPr>
          <w:rFonts w:ascii="Times New Roman" w:eastAsia="Times New Roman" w:hAnsi="Times New Roman" w:cs="Times New Roman"/>
        </w:rPr>
        <w:t>a duty to</w:t>
      </w:r>
      <w:r w:rsidRPr="00365553">
        <w:rPr>
          <w:rFonts w:ascii="Times New Roman" w:eastAsia="Times New Roman" w:hAnsi="Times New Roman" w:cs="Times New Roman"/>
        </w:rPr>
        <w:t xml:space="preserve"> </w:t>
      </w:r>
      <w:r>
        <w:rPr>
          <w:rFonts w:ascii="Times New Roman" w:eastAsia="Times New Roman" w:hAnsi="Times New Roman" w:cs="Times New Roman"/>
        </w:rPr>
        <w:t xml:space="preserve">prevent that from happening. </w:t>
      </w:r>
    </w:p>
    <w:p w14:paraId="20563A74" w14:textId="77777777" w:rsidR="002120E3" w:rsidRPr="009F22D2" w:rsidRDefault="002120E3" w:rsidP="002120E3">
      <w:pPr>
        <w:jc w:val="both"/>
        <w:rPr>
          <w:rFonts w:ascii="Times New Roman" w:hAnsi="Times New Roman" w:cs="Times New Roman"/>
        </w:rPr>
      </w:pPr>
    </w:p>
    <w:p w14:paraId="3F45639B" w14:textId="026C0284" w:rsidR="002120E3" w:rsidRDefault="002120E3" w:rsidP="002120E3">
      <w:pPr>
        <w:jc w:val="both"/>
        <w:rPr>
          <w:rFonts w:ascii="Times New Roman" w:hAnsi="Times New Roman" w:cs="Times New Roman"/>
        </w:rPr>
      </w:pPr>
      <w:r w:rsidRPr="009F22D2">
        <w:rPr>
          <w:rFonts w:ascii="Times New Roman" w:hAnsi="Times New Roman" w:cs="Times New Roman"/>
        </w:rPr>
        <w:t xml:space="preserve">One may therefore expect that the transparency and intelligibility of algorithmic practices will play a role in determining the scope of differential treatment that may be caught under </w:t>
      </w:r>
      <w:r>
        <w:rPr>
          <w:rFonts w:ascii="Times New Roman" w:hAnsi="Times New Roman" w:cs="Times New Roman"/>
        </w:rPr>
        <w:t>A</w:t>
      </w:r>
      <w:r w:rsidRPr="009F22D2">
        <w:rPr>
          <w:rFonts w:ascii="Times New Roman" w:hAnsi="Times New Roman" w:cs="Times New Roman"/>
        </w:rPr>
        <w:t xml:space="preserve">rticle 102. </w:t>
      </w:r>
      <w:r>
        <w:rPr>
          <w:rFonts w:ascii="Times New Roman" w:hAnsi="Times New Roman" w:cs="Times New Roman"/>
        </w:rPr>
        <w:t>Nevertheless</w:t>
      </w:r>
      <w:r w:rsidRPr="009F22D2">
        <w:rPr>
          <w:rFonts w:ascii="Times New Roman" w:hAnsi="Times New Roman" w:cs="Times New Roman"/>
        </w:rPr>
        <w:t>, even admitting the relevance of those considerations, it remains to be seen the extent to which those can serve as defense to a self-favo</w:t>
      </w:r>
      <w:r>
        <w:rPr>
          <w:rFonts w:ascii="Times New Roman" w:hAnsi="Times New Roman" w:cs="Times New Roman"/>
        </w:rPr>
        <w:t>u</w:t>
      </w:r>
      <w:r w:rsidRPr="009F22D2">
        <w:rPr>
          <w:rFonts w:ascii="Times New Roman" w:hAnsi="Times New Roman" w:cs="Times New Roman"/>
        </w:rPr>
        <w:t>ring allegation</w:t>
      </w:r>
      <w:r>
        <w:rPr>
          <w:rFonts w:ascii="Times New Roman" w:hAnsi="Times New Roman" w:cs="Times New Roman"/>
        </w:rPr>
        <w:t>. O</w:t>
      </w:r>
      <w:r w:rsidRPr="009F22D2">
        <w:rPr>
          <w:rFonts w:ascii="Times New Roman" w:hAnsi="Times New Roman" w:cs="Times New Roman"/>
        </w:rPr>
        <w:t>ne could argue, for instance, that Google should not be allowed to escape scrutiny by making it crystal</w:t>
      </w:r>
      <w:r>
        <w:rPr>
          <w:rFonts w:ascii="Times New Roman" w:hAnsi="Times New Roman" w:cs="Times New Roman"/>
        </w:rPr>
        <w:t xml:space="preserve"> </w:t>
      </w:r>
      <w:r w:rsidRPr="009F22D2">
        <w:rPr>
          <w:rFonts w:ascii="Times New Roman" w:hAnsi="Times New Roman" w:cs="Times New Roman"/>
        </w:rPr>
        <w:t>clear that its search services systematically prioritize content coming from domains starting with “G</w:t>
      </w:r>
      <w:r>
        <w:rPr>
          <w:rFonts w:ascii="Times New Roman" w:hAnsi="Times New Roman" w:cs="Times New Roman"/>
        </w:rPr>
        <w:t>oo”</w:t>
      </w:r>
      <w:r w:rsidRPr="009F22D2">
        <w:rPr>
          <w:rFonts w:ascii="Times New Roman" w:hAnsi="Times New Roman" w:cs="Times New Roman"/>
        </w:rPr>
        <w:t>,</w:t>
      </w:r>
      <w:r>
        <w:rPr>
          <w:rFonts w:ascii="Times New Roman" w:hAnsi="Times New Roman" w:cs="Times New Roman"/>
        </w:rPr>
        <w:t xml:space="preserve"> </w:t>
      </w:r>
      <w:r w:rsidRPr="009F22D2">
        <w:rPr>
          <w:rFonts w:ascii="Times New Roman" w:hAnsi="Times New Roman" w:cs="Times New Roman"/>
        </w:rPr>
        <w:t xml:space="preserve">or pages displaying its official logo. Condoning such conduct would run counter to </w:t>
      </w:r>
      <w:r>
        <w:rPr>
          <w:rFonts w:ascii="Times New Roman" w:hAnsi="Times New Roman" w:cs="Times New Roman"/>
        </w:rPr>
        <w:t xml:space="preserve">the </w:t>
      </w:r>
      <w:r w:rsidRPr="009F22D2">
        <w:rPr>
          <w:rFonts w:ascii="Times New Roman" w:hAnsi="Times New Roman" w:cs="Times New Roman"/>
        </w:rPr>
        <w:t>antitrust doctrine</w:t>
      </w:r>
      <w:r>
        <w:rPr>
          <w:rFonts w:ascii="Times New Roman" w:hAnsi="Times New Roman" w:cs="Times New Roman"/>
        </w:rPr>
        <w:t>’s</w:t>
      </w:r>
      <w:r w:rsidRPr="009F22D2">
        <w:rPr>
          <w:rFonts w:ascii="Times New Roman" w:hAnsi="Times New Roman" w:cs="Times New Roman"/>
        </w:rPr>
        <w:t xml:space="preserve"> rejection of formalism, including the established principle that an abuse of dominant position is prohibited regardless of the means and procedure by which it is achieved</w:t>
      </w:r>
      <w:r w:rsidRPr="009F22D2">
        <w:rPr>
          <w:rStyle w:val="FootnoteReference"/>
          <w:rFonts w:ascii="Times New Roman" w:hAnsi="Times New Roman" w:cs="Times New Roman"/>
        </w:rPr>
        <w:footnoteReference w:id="123"/>
      </w:r>
      <w:r w:rsidRPr="009F22D2">
        <w:rPr>
          <w:rFonts w:ascii="Times New Roman" w:hAnsi="Times New Roman" w:cs="Times New Roman"/>
        </w:rPr>
        <w:t>.</w:t>
      </w:r>
      <w:r>
        <w:rPr>
          <w:rFonts w:ascii="Times New Roman" w:hAnsi="Times New Roman" w:cs="Times New Roman"/>
        </w:rPr>
        <w:t xml:space="preserve"> Following this argument, the fact that</w:t>
      </w:r>
      <w:r w:rsidRPr="00092ED9">
        <w:rPr>
          <w:rFonts w:ascii="Times New Roman" w:hAnsi="Times New Roman" w:cs="Times New Roman"/>
        </w:rPr>
        <w:t xml:space="preserve"> </w:t>
      </w:r>
      <w:r>
        <w:rPr>
          <w:rFonts w:ascii="Times New Roman" w:hAnsi="Times New Roman" w:cs="Times New Roman"/>
        </w:rPr>
        <w:t>Google has come consistently on top of the auctions run for its Shopping Unit slots as part of its remedial measures</w:t>
      </w:r>
      <w:r>
        <w:rPr>
          <w:rStyle w:val="FootnoteReference"/>
          <w:rFonts w:ascii="Times New Roman" w:hAnsi="Times New Roman" w:cs="Times New Roman"/>
        </w:rPr>
        <w:footnoteReference w:id="124"/>
      </w:r>
      <w:r>
        <w:rPr>
          <w:rFonts w:ascii="Times New Roman" w:hAnsi="Times New Roman" w:cs="Times New Roman"/>
        </w:rPr>
        <w:t xml:space="preserve"> should at least raise some eyebrow about the adequacy of those measures, highlighting the importance of the link with a clear and consistent definition of the abuse in question. </w:t>
      </w:r>
    </w:p>
    <w:p w14:paraId="640AFC76" w14:textId="77777777" w:rsidR="002120E3" w:rsidRDefault="002120E3" w:rsidP="000E0F53">
      <w:pPr>
        <w:pStyle w:val="Heading2"/>
      </w:pPr>
      <w:bookmarkStart w:id="22" w:name="_Toc390300611"/>
      <w:r>
        <w:t>3.3  Conclusion</w:t>
      </w:r>
      <w:bookmarkEnd w:id="22"/>
    </w:p>
    <w:p w14:paraId="14841BD4" w14:textId="77777777" w:rsidR="002120E3" w:rsidRDefault="002120E3" w:rsidP="002120E3">
      <w:pPr>
        <w:tabs>
          <w:tab w:val="left" w:pos="4140"/>
        </w:tabs>
        <w:jc w:val="both"/>
        <w:rPr>
          <w:rFonts w:ascii="Times New Roman" w:hAnsi="Times New Roman" w:cs="Times New Roman"/>
        </w:rPr>
      </w:pPr>
    </w:p>
    <w:p w14:paraId="5CFEBB99" w14:textId="74B221AC" w:rsidR="002120E3" w:rsidRPr="00612CBC" w:rsidRDefault="002120E3" w:rsidP="002120E3">
      <w:pPr>
        <w:jc w:val="both"/>
        <w:rPr>
          <w:rFonts w:ascii="Times New Roman" w:hAnsi="Times New Roman" w:cs="Times New Roman"/>
        </w:rPr>
      </w:pPr>
      <w:r>
        <w:rPr>
          <w:rFonts w:ascii="Times New Roman" w:hAnsi="Times New Roman" w:cs="Times New Roman"/>
        </w:rPr>
        <w:t xml:space="preserve">The eagerly awaited Commission’s decision in </w:t>
      </w:r>
      <w:r w:rsidRPr="00233227">
        <w:rPr>
          <w:rFonts w:ascii="Times New Roman" w:hAnsi="Times New Roman" w:cs="Times New Roman"/>
          <w:i/>
        </w:rPr>
        <w:t>Google Shopping</w:t>
      </w:r>
      <w:r>
        <w:rPr>
          <w:rFonts w:ascii="Times New Roman" w:hAnsi="Times New Roman" w:cs="Times New Roman"/>
        </w:rPr>
        <w:t xml:space="preserve"> should be received with mixed feelings: on one hand</w:t>
      </w:r>
      <w:r w:rsidRPr="00612CBC">
        <w:rPr>
          <w:rFonts w:ascii="Times New Roman" w:hAnsi="Times New Roman" w:cs="Times New Roman"/>
        </w:rPr>
        <w:t xml:space="preserve">, it </w:t>
      </w:r>
      <w:r>
        <w:rPr>
          <w:rFonts w:ascii="Times New Roman" w:hAnsi="Times New Roman" w:cs="Times New Roman"/>
        </w:rPr>
        <w:t>represents a milestone</w:t>
      </w:r>
      <w:r w:rsidRPr="00612CBC">
        <w:rPr>
          <w:rFonts w:ascii="Times New Roman" w:hAnsi="Times New Roman" w:cs="Times New Roman"/>
        </w:rPr>
        <w:t xml:space="preserve"> for the treatment of </w:t>
      </w:r>
      <w:r>
        <w:rPr>
          <w:rFonts w:ascii="Times New Roman" w:hAnsi="Times New Roman" w:cs="Times New Roman"/>
        </w:rPr>
        <w:t xml:space="preserve">algorithmic leveraging, offering a large </w:t>
      </w:r>
      <w:r w:rsidRPr="00612CBC">
        <w:rPr>
          <w:rFonts w:ascii="Times New Roman" w:hAnsi="Times New Roman" w:cs="Times New Roman"/>
        </w:rPr>
        <w:t>am</w:t>
      </w:r>
      <w:r>
        <w:rPr>
          <w:rFonts w:ascii="Times New Roman" w:hAnsi="Times New Roman" w:cs="Times New Roman"/>
        </w:rPr>
        <w:t xml:space="preserve">ount of evidence to illustrate that self-favouring in this context may lead to foreclosure. On the other hand, it </w:t>
      </w:r>
      <w:r w:rsidRPr="00612CBC">
        <w:rPr>
          <w:rFonts w:ascii="Times New Roman" w:hAnsi="Times New Roman" w:cs="Times New Roman"/>
        </w:rPr>
        <w:t>leaves many questions unsettled concerning the scope and</w:t>
      </w:r>
      <w:r>
        <w:rPr>
          <w:rFonts w:ascii="Times New Roman" w:hAnsi="Times New Roman" w:cs="Times New Roman"/>
        </w:rPr>
        <w:t xml:space="preserve"> limits of the</w:t>
      </w:r>
      <w:r w:rsidRPr="00612CBC">
        <w:rPr>
          <w:rFonts w:ascii="Times New Roman" w:hAnsi="Times New Roman" w:cs="Times New Roman"/>
        </w:rPr>
        <w:t xml:space="preserve"> type of abuse</w:t>
      </w:r>
      <w:r>
        <w:rPr>
          <w:rFonts w:ascii="Times New Roman" w:hAnsi="Times New Roman" w:cs="Times New Roman"/>
        </w:rPr>
        <w:t xml:space="preserve"> in question. Most notably,</w:t>
      </w:r>
      <w:r w:rsidRPr="00612CBC">
        <w:rPr>
          <w:rFonts w:ascii="Times New Roman" w:hAnsi="Times New Roman" w:cs="Times New Roman"/>
        </w:rPr>
        <w:t xml:space="preserve"> by failing to </w:t>
      </w:r>
      <w:r>
        <w:rPr>
          <w:rFonts w:ascii="Times New Roman" w:hAnsi="Times New Roman" w:cs="Times New Roman"/>
        </w:rPr>
        <w:t xml:space="preserve">properly </w:t>
      </w:r>
      <w:r w:rsidRPr="00612CBC">
        <w:rPr>
          <w:rFonts w:ascii="Times New Roman" w:hAnsi="Times New Roman" w:cs="Times New Roman"/>
        </w:rPr>
        <w:t>characterize the intent needed to fall into abusive self</w:t>
      </w:r>
      <w:r>
        <w:rPr>
          <w:rFonts w:ascii="Times New Roman" w:hAnsi="Times New Roman" w:cs="Times New Roman"/>
        </w:rPr>
        <w:t>-favouring, it lends itself to an</w:t>
      </w:r>
      <w:r w:rsidRPr="00612CBC">
        <w:rPr>
          <w:rFonts w:ascii="Times New Roman" w:hAnsi="Times New Roman" w:cs="Times New Roman"/>
        </w:rPr>
        <w:t xml:space="preserve"> interpretation that is overly restrictive, </w:t>
      </w:r>
      <w:r>
        <w:rPr>
          <w:rFonts w:ascii="Times New Roman" w:hAnsi="Times New Roman" w:cs="Times New Roman"/>
        </w:rPr>
        <w:t>and is liable to</w:t>
      </w:r>
      <w:r w:rsidRPr="00612CBC">
        <w:rPr>
          <w:rFonts w:ascii="Times New Roman" w:hAnsi="Times New Roman" w:cs="Times New Roman"/>
        </w:rPr>
        <w:t xml:space="preserve"> violate the presumption of innocence</w:t>
      </w:r>
      <w:r>
        <w:rPr>
          <w:rFonts w:ascii="Times New Roman" w:hAnsi="Times New Roman" w:cs="Times New Roman"/>
        </w:rPr>
        <w:t xml:space="preserve"> and the principle of proportionality in relation to the remedy</w:t>
      </w:r>
      <w:r w:rsidRPr="00612CBC">
        <w:rPr>
          <w:rFonts w:ascii="Times New Roman" w:hAnsi="Times New Roman" w:cs="Times New Roman"/>
        </w:rPr>
        <w:t xml:space="preserve">. </w:t>
      </w:r>
      <w:r>
        <w:rPr>
          <w:rFonts w:ascii="Times New Roman" w:hAnsi="Times New Roman" w:cs="Times New Roman"/>
        </w:rPr>
        <w:t>While it is hoped that</w:t>
      </w:r>
      <w:r w:rsidR="00BB6ACA">
        <w:rPr>
          <w:rFonts w:ascii="Times New Roman" w:hAnsi="Times New Roman" w:cs="Times New Roman"/>
        </w:rPr>
        <w:t xml:space="preserve"> the Commission will make the necessary adjustments </w:t>
      </w:r>
      <w:r>
        <w:rPr>
          <w:rFonts w:ascii="Times New Roman" w:hAnsi="Times New Roman" w:cs="Times New Roman"/>
        </w:rPr>
        <w:t>in the approval of the measures offered by Google to restore equal treatment in the relevant market, one cannot help but noting that it will be the Decision and the analysis contained therein which will set the precedent, at least while the appeal by Google to the EU General Court is pending</w:t>
      </w:r>
      <w:r>
        <w:rPr>
          <w:rStyle w:val="FootnoteReference"/>
          <w:rFonts w:ascii="Times New Roman" w:hAnsi="Times New Roman" w:cs="Times New Roman"/>
        </w:rPr>
        <w:footnoteReference w:id="125"/>
      </w:r>
      <w:r>
        <w:rPr>
          <w:rFonts w:ascii="Times New Roman" w:hAnsi="Times New Roman" w:cs="Times New Roman"/>
        </w:rPr>
        <w:t>.</w:t>
      </w:r>
    </w:p>
    <w:p w14:paraId="336FCE66" w14:textId="77777777" w:rsidR="002120E3" w:rsidRDefault="002120E3" w:rsidP="006F1E60">
      <w:pPr>
        <w:pStyle w:val="Heading1"/>
      </w:pPr>
      <w:bookmarkStart w:id="23" w:name="_Toc390300612"/>
      <w:r>
        <w:t>4</w:t>
      </w:r>
      <w:r w:rsidRPr="00612CBC">
        <w:t xml:space="preserve">. </w:t>
      </w:r>
      <w:r w:rsidRPr="0099156A">
        <w:rPr>
          <w:i/>
        </w:rPr>
        <w:t>Google Shopping</w:t>
      </w:r>
      <w:r>
        <w:t xml:space="preserve"> as a cautionary tale for antitrust intent in an era of algorithms and big data: the need for limiting principles</w:t>
      </w:r>
      <w:bookmarkEnd w:id="23"/>
    </w:p>
    <w:p w14:paraId="634DF585" w14:textId="77777777" w:rsidR="002120E3" w:rsidRDefault="002120E3" w:rsidP="002120E3">
      <w:pPr>
        <w:jc w:val="both"/>
        <w:rPr>
          <w:rFonts w:ascii="Times New Roman" w:hAnsi="Times New Roman" w:cs="Times New Roman"/>
          <w:b/>
        </w:rPr>
      </w:pPr>
    </w:p>
    <w:p w14:paraId="40D0E0AF" w14:textId="77777777" w:rsidR="002120E3" w:rsidRDefault="002120E3" w:rsidP="002120E3">
      <w:pPr>
        <w:jc w:val="both"/>
        <w:rPr>
          <w:rFonts w:ascii="Times New Roman" w:hAnsi="Times New Roman" w:cs="Times New Roman"/>
        </w:rPr>
      </w:pPr>
      <w:r w:rsidRPr="009C65CB">
        <w:rPr>
          <w:rFonts w:ascii="Times New Roman" w:hAnsi="Times New Roman" w:cs="Times New Roman"/>
          <w:i/>
        </w:rPr>
        <w:t>Google Shopping</w:t>
      </w:r>
      <w:r>
        <w:rPr>
          <w:rFonts w:ascii="Times New Roman" w:hAnsi="Times New Roman" w:cs="Times New Roman"/>
        </w:rPr>
        <w:t xml:space="preserve"> is a good test case for the future of competition enforcement, as it gives us a preview of some of the problems that we are likely to encounter with the increasing automation of a range of human activities and the consequent delegation of responsibilities to the machines. There have already been multiple instances over the last decade of algorithms generating problematic and presumably unanticipated results, typically remedied by the designers or controllers of those algorithms in response to public backlash or court order</w:t>
      </w:r>
      <w:r>
        <w:rPr>
          <w:rStyle w:val="FootnoteReference"/>
          <w:rFonts w:ascii="Times New Roman" w:hAnsi="Times New Roman" w:cs="Times New Roman"/>
        </w:rPr>
        <w:footnoteReference w:id="126"/>
      </w:r>
      <w:r>
        <w:rPr>
          <w:rFonts w:ascii="Times New Roman" w:hAnsi="Times New Roman" w:cs="Times New Roman"/>
        </w:rPr>
        <w:t xml:space="preserve">. The clear tendency in these situations is to attempt to escape scrutiny by demonstrating that the action was the result of complex algorithmic processing, which would have been hard to predict </w:t>
      </w:r>
      <w:r w:rsidRPr="00753831">
        <w:rPr>
          <w:rFonts w:ascii="Times New Roman" w:hAnsi="Times New Roman" w:cs="Times New Roman"/>
          <w:i/>
        </w:rPr>
        <w:t>ex ante</w:t>
      </w:r>
      <w:r>
        <w:rPr>
          <w:rFonts w:ascii="Times New Roman" w:hAnsi="Times New Roman" w:cs="Times New Roman"/>
        </w:rPr>
        <w:t xml:space="preserve">.  </w:t>
      </w:r>
    </w:p>
    <w:p w14:paraId="28486C99" w14:textId="77777777" w:rsidR="002120E3" w:rsidRDefault="002120E3" w:rsidP="002120E3">
      <w:pPr>
        <w:jc w:val="both"/>
        <w:rPr>
          <w:rFonts w:ascii="Times New Roman" w:hAnsi="Times New Roman" w:cs="Times New Roman"/>
        </w:rPr>
      </w:pPr>
    </w:p>
    <w:p w14:paraId="7D7AE6F2" w14:textId="77777777" w:rsidR="002120E3" w:rsidRDefault="002120E3" w:rsidP="002120E3">
      <w:pPr>
        <w:jc w:val="both"/>
        <w:rPr>
          <w:rFonts w:ascii="Times New Roman" w:hAnsi="Times New Roman" w:cs="Times New Roman"/>
        </w:rPr>
      </w:pPr>
      <w:r>
        <w:rPr>
          <w:rFonts w:ascii="Times New Roman" w:hAnsi="Times New Roman" w:cs="Times New Roman"/>
        </w:rPr>
        <w:t xml:space="preserve">Antitrust is a relatively newcomer in this field, but it is clear that in order to maintain and promote effective competition, we need to be able to extend the rules of liability to situations where the principal is one step removed from the agent. This implies that it is particularly important to define exactly what constitutes valid antitrust intent in this context, how it can be proved and to </w:t>
      </w:r>
      <w:r w:rsidRPr="00602DDC">
        <w:rPr>
          <w:rFonts w:ascii="Times New Roman" w:hAnsi="Times New Roman" w:cs="Times New Roman"/>
        </w:rPr>
        <w:t xml:space="preserve">what extent it must be proven. </w:t>
      </w:r>
      <w:r>
        <w:rPr>
          <w:rFonts w:ascii="Times New Roman" w:hAnsi="Times New Roman" w:cs="Times New Roman"/>
        </w:rPr>
        <w:t>Importantly, the</w:t>
      </w:r>
      <w:r w:rsidRPr="004B6163">
        <w:rPr>
          <w:rFonts w:ascii="Times New Roman" w:hAnsi="Times New Roman" w:cs="Times New Roman"/>
        </w:rPr>
        <w:t xml:space="preserve"> discussion of antitrust intent </w:t>
      </w:r>
      <w:r>
        <w:rPr>
          <w:rFonts w:ascii="Times New Roman" w:hAnsi="Times New Roman" w:cs="Times New Roman"/>
        </w:rPr>
        <w:t xml:space="preserve">in article 102 TFEU </w:t>
      </w:r>
      <w:r w:rsidRPr="004B6163">
        <w:rPr>
          <w:rFonts w:ascii="Times New Roman" w:hAnsi="Times New Roman" w:cs="Times New Roman"/>
        </w:rPr>
        <w:t xml:space="preserve">exposed a </w:t>
      </w:r>
      <w:r>
        <w:rPr>
          <w:rFonts w:ascii="Times New Roman" w:hAnsi="Times New Roman" w:cs="Times New Roman"/>
        </w:rPr>
        <w:t xml:space="preserve">couple of problems which are likely to surface in an era of algorithms and big data. </w:t>
      </w:r>
    </w:p>
    <w:p w14:paraId="6EFAC90C" w14:textId="77777777" w:rsidR="002120E3" w:rsidRDefault="002120E3" w:rsidP="002120E3">
      <w:pPr>
        <w:jc w:val="both"/>
        <w:rPr>
          <w:rFonts w:ascii="Times New Roman" w:hAnsi="Times New Roman" w:cs="Times New Roman"/>
        </w:rPr>
      </w:pPr>
    </w:p>
    <w:p w14:paraId="25FFCA5F" w14:textId="643BD8D9" w:rsidR="002120E3" w:rsidRPr="00612CBC" w:rsidRDefault="002120E3" w:rsidP="002120E3">
      <w:pPr>
        <w:jc w:val="both"/>
        <w:rPr>
          <w:rFonts w:ascii="Times New Roman" w:hAnsi="Times New Roman" w:cs="Times New Roman"/>
        </w:rPr>
      </w:pPr>
      <w:r>
        <w:rPr>
          <w:rFonts w:ascii="Times New Roman" w:hAnsi="Times New Roman" w:cs="Times New Roman"/>
        </w:rPr>
        <w:t xml:space="preserve">First </w:t>
      </w:r>
      <w:r w:rsidRPr="00C05B65">
        <w:rPr>
          <w:rFonts w:ascii="Times New Roman" w:hAnsi="Times New Roman" w:cs="Times New Roman"/>
        </w:rPr>
        <w:t xml:space="preserve">of all, </w:t>
      </w:r>
      <w:r>
        <w:rPr>
          <w:rFonts w:ascii="Times New Roman" w:hAnsi="Times New Roman" w:cs="Times New Roman"/>
        </w:rPr>
        <w:t>the</w:t>
      </w:r>
      <w:r w:rsidRPr="00531417">
        <w:rPr>
          <w:rFonts w:ascii="Times New Roman" w:hAnsi="Times New Roman" w:cs="Times New Roman"/>
        </w:rPr>
        <w:t xml:space="preserve"> pervasive reliance on algorithmic technologies, big</w:t>
      </w:r>
      <w:r>
        <w:rPr>
          <w:rFonts w:ascii="Times New Roman" w:hAnsi="Times New Roman" w:cs="Times New Roman"/>
        </w:rPr>
        <w:t xml:space="preserve"> data and predictive analytics may significantl</w:t>
      </w:r>
      <w:r w:rsidRPr="00531417">
        <w:rPr>
          <w:rFonts w:ascii="Times New Roman" w:hAnsi="Times New Roman" w:cs="Times New Roman"/>
        </w:rPr>
        <w:t>y impact the processes of abstraction and inference</w:t>
      </w:r>
      <w:r>
        <w:rPr>
          <w:rFonts w:ascii="Times New Roman" w:hAnsi="Times New Roman" w:cs="Times New Roman"/>
        </w:rPr>
        <w:t>s</w:t>
      </w:r>
      <w:r w:rsidRPr="00531417">
        <w:rPr>
          <w:rFonts w:ascii="Times New Roman" w:hAnsi="Times New Roman" w:cs="Times New Roman"/>
        </w:rPr>
        <w:t xml:space="preserve"> which </w:t>
      </w:r>
      <w:r>
        <w:rPr>
          <w:rFonts w:ascii="Times New Roman" w:hAnsi="Times New Roman" w:cs="Times New Roman"/>
        </w:rPr>
        <w:t>decision-makers</w:t>
      </w:r>
      <w:r w:rsidRPr="00531417">
        <w:rPr>
          <w:rFonts w:ascii="Times New Roman" w:hAnsi="Times New Roman" w:cs="Times New Roman"/>
        </w:rPr>
        <w:t xml:space="preserve"> used to rely upon, and which may form the basis for the definition of objective intent. </w:t>
      </w:r>
      <w:r>
        <w:rPr>
          <w:rFonts w:ascii="Times New Roman" w:hAnsi="Times New Roman" w:cs="Times New Roman"/>
        </w:rPr>
        <w:t xml:space="preserve">The most important consequence of that is that </w:t>
      </w:r>
      <w:r w:rsidRPr="00531417">
        <w:rPr>
          <w:rFonts w:ascii="Times New Roman" w:hAnsi="Times New Roman" w:cs="Times New Roman"/>
        </w:rPr>
        <w:t>the processes of prediction for dominant companies</w:t>
      </w:r>
      <w:r>
        <w:rPr>
          <w:rFonts w:ascii="Times New Roman" w:hAnsi="Times New Roman" w:cs="Times New Roman"/>
        </w:rPr>
        <w:t xml:space="preserve"> might be significantly more advanced and sophisticated than those of </w:t>
      </w:r>
      <w:r w:rsidRPr="00531417">
        <w:rPr>
          <w:rFonts w:ascii="Times New Roman" w:hAnsi="Times New Roman" w:cs="Times New Roman"/>
        </w:rPr>
        <w:t>other market participants, both consumers and competitors, as well as competition authorities</w:t>
      </w:r>
      <w:r w:rsidRPr="00531417">
        <w:rPr>
          <w:rStyle w:val="FootnoteReference"/>
          <w:rFonts w:ascii="Times New Roman" w:hAnsi="Times New Roman" w:cs="Times New Roman"/>
        </w:rPr>
        <w:footnoteReference w:id="127"/>
      </w:r>
      <w:r w:rsidRPr="00531417">
        <w:rPr>
          <w:rFonts w:ascii="Times New Roman" w:hAnsi="Times New Roman" w:cs="Times New Roman"/>
        </w:rPr>
        <w:t>.</w:t>
      </w:r>
      <w:r>
        <w:rPr>
          <w:rFonts w:ascii="Times New Roman" w:hAnsi="Times New Roman" w:cs="Times New Roman"/>
        </w:rPr>
        <w:t xml:space="preserve"> This suggests that perhaps a greater role should be conceived for </w:t>
      </w:r>
      <w:r w:rsidRPr="001F1F02">
        <w:rPr>
          <w:rFonts w:ascii="Times New Roman" w:hAnsi="Times New Roman" w:cs="Times New Roman"/>
          <w:i/>
        </w:rPr>
        <w:t>subjective</w:t>
      </w:r>
      <w:r>
        <w:rPr>
          <w:rFonts w:ascii="Times New Roman" w:hAnsi="Times New Roman" w:cs="Times New Roman"/>
        </w:rPr>
        <w:t xml:space="preserve"> standards of liability, which would also be facilitated by the increased availability of records. The use of a</w:t>
      </w:r>
      <w:r w:rsidR="00E564CA">
        <w:rPr>
          <w:rFonts w:ascii="Times New Roman" w:hAnsi="Times New Roman" w:cs="Times New Roman"/>
        </w:rPr>
        <w:t>n</w:t>
      </w:r>
      <w:r>
        <w:rPr>
          <w:rFonts w:ascii="Times New Roman" w:hAnsi="Times New Roman" w:cs="Times New Roman"/>
        </w:rPr>
        <w:t xml:space="preserve"> intention-based standard, as opposed to negligence, would enable authorities to judge dominant firms on the basis of their own superior knowledge, rather than one of the reasonable (average) person.  Unfortunately, </w:t>
      </w:r>
      <w:r w:rsidRPr="00C05B65">
        <w:rPr>
          <w:rFonts w:ascii="Times New Roman" w:hAnsi="Times New Roman" w:cs="Times New Roman"/>
        </w:rPr>
        <w:t>the</w:t>
      </w:r>
      <w:r>
        <w:rPr>
          <w:rFonts w:ascii="Times New Roman" w:hAnsi="Times New Roman" w:cs="Times New Roman"/>
        </w:rPr>
        <w:t xml:space="preserve"> problem with that idea is that the</w:t>
      </w:r>
      <w:r w:rsidRPr="00C05B65">
        <w:rPr>
          <w:rFonts w:ascii="Times New Roman" w:hAnsi="Times New Roman" w:cs="Times New Roman"/>
        </w:rPr>
        <w:t xml:space="preserve"> weight that can be attached t</w:t>
      </w:r>
      <w:r>
        <w:rPr>
          <w:rFonts w:ascii="Times New Roman" w:hAnsi="Times New Roman" w:cs="Times New Roman"/>
        </w:rPr>
        <w:t>o subjective intent is elusive: despite the absence of incohate offences against competition under EU law, courts have never explicitly clarified the extent to which subjective intent</w:t>
      </w:r>
      <w:r w:rsidRPr="00C05B65">
        <w:rPr>
          <w:rFonts w:ascii="Times New Roman" w:hAnsi="Times New Roman" w:cs="Times New Roman"/>
        </w:rPr>
        <w:t xml:space="preserve"> must be linked </w:t>
      </w:r>
      <w:r>
        <w:rPr>
          <w:rFonts w:ascii="Times New Roman" w:hAnsi="Times New Roman" w:cs="Times New Roman"/>
        </w:rPr>
        <w:t>to</w:t>
      </w:r>
      <w:r w:rsidRPr="00C05B65">
        <w:rPr>
          <w:rFonts w:ascii="Times New Roman" w:hAnsi="Times New Roman" w:cs="Times New Roman"/>
        </w:rPr>
        <w:t xml:space="preserve"> an anticompetitive effect. </w:t>
      </w:r>
      <w:r>
        <w:rPr>
          <w:rFonts w:ascii="Times New Roman" w:hAnsi="Times New Roman" w:cs="Times New Roman"/>
        </w:rPr>
        <w:t>Should a misconceived attempt to abuse a dominant position be punished? T</w:t>
      </w:r>
      <w:r w:rsidRPr="00C05B65">
        <w:rPr>
          <w:rFonts w:ascii="Times New Roman" w:hAnsi="Times New Roman" w:cs="Times New Roman"/>
        </w:rPr>
        <w:t xml:space="preserve">he case-law has consistently based abuses on the concurrence of a subjective and objective component, which it </w:t>
      </w:r>
      <w:r>
        <w:rPr>
          <w:rFonts w:ascii="Times New Roman" w:hAnsi="Times New Roman" w:cs="Times New Roman"/>
        </w:rPr>
        <w:t>is</w:t>
      </w:r>
      <w:r w:rsidRPr="00C05B65">
        <w:rPr>
          <w:rFonts w:ascii="Times New Roman" w:hAnsi="Times New Roman" w:cs="Times New Roman"/>
        </w:rPr>
        <w:t xml:space="preserve"> argued here that should </w:t>
      </w:r>
      <w:r>
        <w:rPr>
          <w:rFonts w:ascii="Times New Roman" w:hAnsi="Times New Roman" w:cs="Times New Roman"/>
        </w:rPr>
        <w:t xml:space="preserve">become </w:t>
      </w:r>
      <w:r w:rsidR="00DF3BC0">
        <w:rPr>
          <w:rFonts w:ascii="Times New Roman" w:hAnsi="Times New Roman" w:cs="Times New Roman"/>
        </w:rPr>
        <w:t>a</w:t>
      </w:r>
      <w:r w:rsidRPr="00C05B65">
        <w:rPr>
          <w:rFonts w:ascii="Times New Roman" w:hAnsi="Times New Roman" w:cs="Times New Roman"/>
        </w:rPr>
        <w:t xml:space="preserve"> guiding principle for future cases.</w:t>
      </w:r>
      <w:r>
        <w:rPr>
          <w:rFonts w:ascii="Times New Roman" w:hAnsi="Times New Roman" w:cs="Times New Roman"/>
        </w:rPr>
        <w:t xml:space="preserve"> </w:t>
      </w:r>
    </w:p>
    <w:p w14:paraId="61035F79" w14:textId="77777777" w:rsidR="002120E3" w:rsidRDefault="002120E3" w:rsidP="002120E3">
      <w:pPr>
        <w:jc w:val="both"/>
        <w:rPr>
          <w:rFonts w:ascii="Times New Roman" w:hAnsi="Times New Roman" w:cs="Times New Roman"/>
        </w:rPr>
      </w:pPr>
    </w:p>
    <w:p w14:paraId="5972914D" w14:textId="77777777" w:rsidR="002120E3" w:rsidRDefault="002120E3" w:rsidP="002120E3">
      <w:pPr>
        <w:jc w:val="both"/>
        <w:rPr>
          <w:rFonts w:ascii="Times New Roman" w:hAnsi="Times New Roman" w:cs="Times New Roman"/>
        </w:rPr>
      </w:pPr>
      <w:r>
        <w:rPr>
          <w:rFonts w:ascii="Times New Roman" w:hAnsi="Times New Roman" w:cs="Times New Roman"/>
        </w:rPr>
        <w:t>Secondly, it is crucial to clarify what sort of methods of proof and inference would be deemed “subjective”, and therefore considered only as additional and supporting evidence: tracing the impact of an algorithm to the intent of its originator is likely to be the key and sometimes only question for establishing liability, for which we must have an answer</w:t>
      </w:r>
      <w:r w:rsidRPr="00602DDC">
        <w:rPr>
          <w:rFonts w:ascii="Times New Roman" w:hAnsi="Times New Roman" w:cs="Times New Roman"/>
        </w:rPr>
        <w:t>.  To complicate that, the distinction between “subjective” and “objective” may be significantly different from that between “direct” and “indirect” evidence set out in the Guidance Paper. And as we know from previous experience, it is questionable that the Paper will be followed</w:t>
      </w:r>
      <w:r>
        <w:rPr>
          <w:rFonts w:ascii="Times New Roman" w:hAnsi="Times New Roman" w:cs="Times New Roman"/>
        </w:rPr>
        <w:t xml:space="preserve"> at national level when it goes beyond the </w:t>
      </w:r>
      <w:r w:rsidRPr="00F67889">
        <w:rPr>
          <w:rFonts w:ascii="Times New Roman" w:hAnsi="Times New Roman" w:cs="Times New Roman"/>
          <w:i/>
        </w:rPr>
        <w:t>acquis</w:t>
      </w:r>
      <w:r>
        <w:rPr>
          <w:rStyle w:val="FootnoteReference"/>
          <w:rFonts w:ascii="Times New Roman" w:hAnsi="Times New Roman" w:cs="Times New Roman"/>
          <w:i/>
        </w:rPr>
        <w:footnoteReference w:id="128"/>
      </w:r>
      <w:r>
        <w:rPr>
          <w:rFonts w:ascii="Times New Roman" w:hAnsi="Times New Roman" w:cs="Times New Roman"/>
        </w:rPr>
        <w:t xml:space="preserve">.  </w:t>
      </w:r>
    </w:p>
    <w:p w14:paraId="1B3D29D7" w14:textId="77777777" w:rsidR="002120E3" w:rsidRDefault="002120E3" w:rsidP="002120E3">
      <w:pPr>
        <w:jc w:val="both"/>
        <w:rPr>
          <w:rFonts w:ascii="Times New Roman" w:hAnsi="Times New Roman" w:cs="Times New Roman"/>
        </w:rPr>
      </w:pPr>
    </w:p>
    <w:p w14:paraId="147AE20B" w14:textId="77777777" w:rsidR="002120E3" w:rsidRPr="00602DDC" w:rsidRDefault="002120E3" w:rsidP="002120E3">
      <w:pPr>
        <w:jc w:val="both"/>
        <w:rPr>
          <w:rFonts w:ascii="Times New Roman" w:hAnsi="Times New Roman" w:cs="Times New Roman"/>
        </w:rPr>
      </w:pPr>
      <w:r>
        <w:rPr>
          <w:rFonts w:ascii="Times New Roman" w:hAnsi="Times New Roman" w:cs="Times New Roman"/>
        </w:rPr>
        <w:t>Third and relatedly, the process of inference of intent from algorithmic action must have human fallacy as a backstop. We cannot expect developers or controllers of algorithms to prognosticate any possible anticompetitive effect that may result from their actions, as this would certainty hinder the deployment of innovative algorithms. However, we might want to hold them accountable (if not liable) for those choices by requiring transparency and explainability of automated decisions, as is currently done in the field of data protection law</w:t>
      </w:r>
      <w:r>
        <w:rPr>
          <w:rStyle w:val="FootnoteReference"/>
          <w:rFonts w:ascii="Times New Roman" w:hAnsi="Times New Roman" w:cs="Times New Roman"/>
        </w:rPr>
        <w:footnoteReference w:id="129"/>
      </w:r>
      <w:r>
        <w:rPr>
          <w:rFonts w:ascii="Times New Roman" w:hAnsi="Times New Roman" w:cs="Times New Roman"/>
        </w:rPr>
        <w:t>. This is indeed the most pressing question: to what extent</w:t>
      </w:r>
      <w:r w:rsidRPr="00602DDC">
        <w:rPr>
          <w:rFonts w:ascii="Times New Roman" w:hAnsi="Times New Roman" w:cs="Times New Roman"/>
        </w:rPr>
        <w:t xml:space="preserve"> </w:t>
      </w:r>
      <w:r>
        <w:rPr>
          <w:rFonts w:ascii="Times New Roman" w:hAnsi="Times New Roman" w:cs="Times New Roman"/>
        </w:rPr>
        <w:t>can</w:t>
      </w:r>
      <w:r w:rsidRPr="00602DDC">
        <w:rPr>
          <w:rFonts w:ascii="Times New Roman" w:hAnsi="Times New Roman" w:cs="Times New Roman"/>
        </w:rPr>
        <w:t xml:space="preserve"> objective antitrust intent can be inferred from a set of actions performed by an algorithm, such that they can be linked to</w:t>
      </w:r>
      <w:r>
        <w:rPr>
          <w:rFonts w:ascii="Times New Roman" w:hAnsi="Times New Roman" w:cs="Times New Roman"/>
        </w:rPr>
        <w:t xml:space="preserve"> negligence in design and control? </w:t>
      </w:r>
      <w:r w:rsidRPr="00602DDC">
        <w:rPr>
          <w:rFonts w:ascii="Times New Roman" w:hAnsi="Times New Roman" w:cs="Times New Roman"/>
        </w:rPr>
        <w:t>On one hand, antitrust intent can serve as a safeguard against the imputation to an algorithmic controller or designer of any possible impact an algorithm can generate on the market</w:t>
      </w:r>
      <w:r>
        <w:rPr>
          <w:rFonts w:ascii="Times New Roman" w:hAnsi="Times New Roman" w:cs="Times New Roman"/>
        </w:rPr>
        <w:t xml:space="preserve"> (see the principle identified in section 2.1, and formalized in section 4.1 below)</w:t>
      </w:r>
      <w:r w:rsidRPr="00602DDC">
        <w:rPr>
          <w:rFonts w:ascii="Times New Roman" w:hAnsi="Times New Roman" w:cs="Times New Roman"/>
        </w:rPr>
        <w:t xml:space="preserve">. On the other hand, an insufficiently clear definition of its role can be chilling investment and innovation in the development of predominantly beneficial technologies, simply because they might conceivably produce anticompetitive outcomes. </w:t>
      </w:r>
      <w:r>
        <w:rPr>
          <w:rFonts w:ascii="Times New Roman" w:hAnsi="Times New Roman" w:cs="Times New Roman"/>
        </w:rPr>
        <w:t>This is why this paper proposes the establishment of a “safe harbor” (see below, section 4.2), which would enable undertaking to continue their investment and innovation in relation to algorithmic technologies as long as they comply with some fundamental principles.</w:t>
      </w:r>
    </w:p>
    <w:p w14:paraId="493E77AB" w14:textId="77777777" w:rsidR="002120E3" w:rsidRDefault="002120E3" w:rsidP="002120E3">
      <w:pPr>
        <w:jc w:val="both"/>
        <w:rPr>
          <w:rFonts w:ascii="Times New Roman" w:hAnsi="Times New Roman" w:cs="Times New Roman"/>
        </w:rPr>
      </w:pPr>
    </w:p>
    <w:p w14:paraId="7C81B362" w14:textId="77777777" w:rsidR="002120E3" w:rsidRPr="00612CBC" w:rsidRDefault="002120E3" w:rsidP="006F1E60">
      <w:pPr>
        <w:pStyle w:val="Heading2"/>
      </w:pPr>
      <w:bookmarkStart w:id="24" w:name="_Toc390300613"/>
      <w:r>
        <w:t>4</w:t>
      </w:r>
      <w:r w:rsidRPr="00612CBC">
        <w:t>.1 Offering a limiting principle: the case for “qualified intent”</w:t>
      </w:r>
      <w:bookmarkEnd w:id="24"/>
      <w:r w:rsidRPr="00612CBC">
        <w:t xml:space="preserve"> </w:t>
      </w:r>
    </w:p>
    <w:p w14:paraId="16CBB5C2" w14:textId="77777777" w:rsidR="002120E3" w:rsidRPr="00612CBC" w:rsidRDefault="002120E3" w:rsidP="002120E3">
      <w:pPr>
        <w:jc w:val="both"/>
        <w:rPr>
          <w:rFonts w:ascii="Times New Roman" w:hAnsi="Times New Roman" w:cs="Times New Roman"/>
        </w:rPr>
      </w:pPr>
      <w:r w:rsidRPr="00612CBC">
        <w:rPr>
          <w:rFonts w:ascii="Times New Roman" w:hAnsi="Times New Roman" w:cs="Times New Roman"/>
        </w:rPr>
        <w:t xml:space="preserve"> </w:t>
      </w:r>
    </w:p>
    <w:p w14:paraId="20089065" w14:textId="77777777" w:rsidR="002120E3" w:rsidRDefault="002120E3" w:rsidP="002120E3">
      <w:pPr>
        <w:jc w:val="both"/>
        <w:rPr>
          <w:rFonts w:ascii="Times New Roman" w:hAnsi="Times New Roman" w:cs="Times New Roman"/>
        </w:rPr>
      </w:pPr>
      <w:r w:rsidRPr="00612CBC">
        <w:rPr>
          <w:rFonts w:ascii="Times New Roman" w:hAnsi="Times New Roman" w:cs="Times New Roman"/>
        </w:rPr>
        <w:t xml:space="preserve">As illustrated, the reach of the concept of preferential treatment as laid out by the European Commission in the </w:t>
      </w:r>
      <w:r w:rsidRPr="00612CBC">
        <w:rPr>
          <w:rFonts w:ascii="Times New Roman" w:hAnsi="Times New Roman" w:cs="Times New Roman"/>
          <w:i/>
        </w:rPr>
        <w:t>Google Shopping</w:t>
      </w:r>
      <w:r w:rsidRPr="00612CBC">
        <w:rPr>
          <w:rFonts w:ascii="Times New Roman" w:hAnsi="Times New Roman" w:cs="Times New Roman"/>
        </w:rPr>
        <w:t xml:space="preserve"> decision is potentially quite broad, and likely to generate adverse consequences for investment and innovation. What is needed </w:t>
      </w:r>
      <w:r>
        <w:rPr>
          <w:rFonts w:ascii="Times New Roman" w:hAnsi="Times New Roman" w:cs="Times New Roman"/>
        </w:rPr>
        <w:t xml:space="preserve">for a workable concept of preferential treatment </w:t>
      </w:r>
      <w:r w:rsidRPr="00612CBC">
        <w:rPr>
          <w:rFonts w:ascii="Times New Roman" w:hAnsi="Times New Roman" w:cs="Times New Roman"/>
        </w:rPr>
        <w:t>is a limiting principle</w:t>
      </w:r>
      <w:r>
        <w:rPr>
          <w:rFonts w:ascii="Times New Roman" w:hAnsi="Times New Roman" w:cs="Times New Roman"/>
        </w:rPr>
        <w:t xml:space="preserve"> </w:t>
      </w:r>
      <w:r w:rsidRPr="00612CBC">
        <w:rPr>
          <w:rFonts w:ascii="Times New Roman" w:hAnsi="Times New Roman" w:cs="Times New Roman"/>
        </w:rPr>
        <w:t>which provides legal certainty for undertakings offering algorithmic selections or ranking services</w:t>
      </w:r>
      <w:r>
        <w:rPr>
          <w:rFonts w:ascii="Times New Roman" w:hAnsi="Times New Roman" w:cs="Times New Roman"/>
        </w:rPr>
        <w:t xml:space="preserve">. </w:t>
      </w:r>
    </w:p>
    <w:p w14:paraId="03984005" w14:textId="77777777" w:rsidR="002120E3" w:rsidRDefault="002120E3" w:rsidP="002120E3">
      <w:pPr>
        <w:jc w:val="both"/>
        <w:rPr>
          <w:rFonts w:ascii="Times New Roman" w:hAnsi="Times New Roman" w:cs="Times New Roman"/>
        </w:rPr>
      </w:pPr>
    </w:p>
    <w:p w14:paraId="02DCC4AE" w14:textId="77777777" w:rsidR="002120E3" w:rsidRDefault="002120E3" w:rsidP="002120E3">
      <w:pPr>
        <w:jc w:val="both"/>
        <w:rPr>
          <w:rFonts w:ascii="Times New Roman" w:hAnsi="Times New Roman" w:cs="Times New Roman"/>
        </w:rPr>
      </w:pPr>
      <w:r w:rsidRPr="00612CBC">
        <w:rPr>
          <w:rFonts w:ascii="Times New Roman" w:hAnsi="Times New Roman" w:cs="Times New Roman"/>
        </w:rPr>
        <w:t xml:space="preserve">It is submitted that a valid limiting principle to the scope of self-favoring can be found in a more careful and systematic treatment of intent in antitrust violations, with particular consideration for its role in establishing liability for algorithmic decisions. This article therefore proposes a “qualified intent” doctrine, drawing from the “qualified effects” test used to establish extraterritorial jurisdiction in several EU antitrust cases, and recently endorsed by the CJEU in </w:t>
      </w:r>
      <w:r w:rsidRPr="007E7CAF">
        <w:rPr>
          <w:rFonts w:ascii="Times New Roman" w:hAnsi="Times New Roman" w:cs="Times New Roman"/>
          <w:i/>
        </w:rPr>
        <w:t>Intel</w:t>
      </w:r>
      <w:r w:rsidRPr="00612CBC">
        <w:rPr>
          <w:rStyle w:val="FootnoteReference"/>
          <w:rFonts w:ascii="Times New Roman" w:hAnsi="Times New Roman" w:cs="Times New Roman"/>
        </w:rPr>
        <w:footnoteReference w:id="130"/>
      </w:r>
      <w:r w:rsidRPr="00612CBC">
        <w:rPr>
          <w:rFonts w:ascii="Times New Roman" w:hAnsi="Times New Roman" w:cs="Times New Roman"/>
        </w:rPr>
        <w:t xml:space="preserve">. The qualified effects test allows the extension of jurisdiction outside the common EU market when it is </w:t>
      </w:r>
      <w:r w:rsidRPr="00612CBC">
        <w:rPr>
          <w:rFonts w:ascii="Times New Roman" w:hAnsi="Times New Roman" w:cs="Times New Roman"/>
          <w:i/>
        </w:rPr>
        <w:t>foreseeable</w:t>
      </w:r>
      <w:r w:rsidRPr="00612CBC">
        <w:rPr>
          <w:rFonts w:ascii="Times New Roman" w:hAnsi="Times New Roman" w:cs="Times New Roman"/>
        </w:rPr>
        <w:t xml:space="preserve"> that the conduct in question will have an </w:t>
      </w:r>
      <w:r w:rsidRPr="00612CBC">
        <w:rPr>
          <w:rFonts w:ascii="Times New Roman" w:hAnsi="Times New Roman" w:cs="Times New Roman"/>
          <w:i/>
        </w:rPr>
        <w:t>immediate and substantial effect</w:t>
      </w:r>
      <w:r w:rsidRPr="00612CBC">
        <w:rPr>
          <w:rFonts w:ascii="Times New Roman" w:hAnsi="Times New Roman" w:cs="Times New Roman"/>
        </w:rPr>
        <w:t xml:space="preserve"> in the European Union. According to that test, it is sufficient to take account of the probable effects of conduct on competition in order for the foreseeability criterion to be satisfied</w:t>
      </w:r>
      <w:r w:rsidRPr="00612CBC">
        <w:rPr>
          <w:rStyle w:val="FootnoteReference"/>
          <w:rFonts w:ascii="Times New Roman" w:hAnsi="Times New Roman" w:cs="Times New Roman"/>
        </w:rPr>
        <w:footnoteReference w:id="131"/>
      </w:r>
      <w:r w:rsidRPr="00612CBC">
        <w:rPr>
          <w:rFonts w:ascii="Times New Roman" w:hAnsi="Times New Roman" w:cs="Times New Roman"/>
        </w:rPr>
        <w:t>; in turn, while the criterion of immediacy has not been comprehensively addressed, it has been held that the mere capability of producing an immediate effect is sufficient, when considering a conduct as integral part of an overall strategy to foreclose market access</w:t>
      </w:r>
      <w:r w:rsidRPr="00612CBC">
        <w:rPr>
          <w:rStyle w:val="FootnoteReference"/>
          <w:rFonts w:ascii="Times New Roman" w:hAnsi="Times New Roman" w:cs="Times New Roman"/>
        </w:rPr>
        <w:footnoteReference w:id="132"/>
      </w:r>
      <w:r w:rsidRPr="00612CBC">
        <w:rPr>
          <w:rFonts w:ascii="Times New Roman" w:hAnsi="Times New Roman" w:cs="Times New Roman"/>
        </w:rPr>
        <w:t>. Lastly, the substantiality criterion has been held to apply to each part of the conduct considering the overall strategy, for otherwise that would lead to an artificial fragmentation of comprehensive anticompetitive conduct.</w:t>
      </w:r>
      <w:r w:rsidRPr="00612CBC">
        <w:rPr>
          <w:rStyle w:val="FootnoteReference"/>
          <w:rFonts w:ascii="Times New Roman" w:hAnsi="Times New Roman" w:cs="Times New Roman"/>
        </w:rPr>
        <w:footnoteReference w:id="133"/>
      </w:r>
      <w:r>
        <w:rPr>
          <w:rFonts w:ascii="Times New Roman" w:hAnsi="Times New Roman" w:cs="Times New Roman"/>
        </w:rPr>
        <w:t xml:space="preserve"> Translating this into</w:t>
      </w:r>
      <w:r w:rsidRPr="00612CBC">
        <w:rPr>
          <w:rFonts w:ascii="Times New Roman" w:hAnsi="Times New Roman" w:cs="Times New Roman"/>
        </w:rPr>
        <w:t xml:space="preserve"> the intent context, it is argued that the requisite intent should be grounded on three basic principles: (1) the anticompetitive outcome is foreseeable for the dominant company, based on its knowledge or </w:t>
      </w:r>
      <w:r>
        <w:rPr>
          <w:rFonts w:ascii="Times New Roman" w:hAnsi="Times New Roman" w:cs="Times New Roman"/>
        </w:rPr>
        <w:t>reckless</w:t>
      </w:r>
      <w:r w:rsidRPr="00612CBC">
        <w:rPr>
          <w:rFonts w:ascii="Times New Roman" w:hAnsi="Times New Roman" w:cs="Times New Roman"/>
        </w:rPr>
        <w:t xml:space="preserve"> disregard of the consequences of the action;  (2) that outcome is an immediate consequence of the do</w:t>
      </w:r>
      <w:r>
        <w:rPr>
          <w:rFonts w:ascii="Times New Roman" w:hAnsi="Times New Roman" w:cs="Times New Roman"/>
        </w:rPr>
        <w:t xml:space="preserve">minant company’s purported conduct, meaning that its materialization does not require intervening actions by competitors or consumers that depart from the </w:t>
      </w:r>
      <w:r w:rsidRPr="00D112A8">
        <w:rPr>
          <w:rFonts w:ascii="Times New Roman" w:hAnsi="Times New Roman" w:cs="Times New Roman"/>
          <w:i/>
        </w:rPr>
        <w:t>status quo</w:t>
      </w:r>
      <w:r w:rsidRPr="00612CBC">
        <w:rPr>
          <w:rFonts w:ascii="Times New Roman" w:hAnsi="Times New Roman" w:cs="Times New Roman"/>
        </w:rPr>
        <w:t xml:space="preserve">;  (3) it is substantial, in the sense that the intent is grounded upon a set of facts </w:t>
      </w:r>
      <w:r>
        <w:rPr>
          <w:rFonts w:ascii="Times New Roman" w:hAnsi="Times New Roman" w:cs="Times New Roman"/>
        </w:rPr>
        <w:t xml:space="preserve">which, in </w:t>
      </w:r>
      <w:r w:rsidRPr="00612CBC">
        <w:rPr>
          <w:rFonts w:ascii="Times New Roman" w:hAnsi="Times New Roman" w:cs="Times New Roman"/>
        </w:rPr>
        <w:t xml:space="preserve"> </w:t>
      </w:r>
      <w:r>
        <w:rPr>
          <w:rFonts w:ascii="Times New Roman" w:hAnsi="Times New Roman" w:cs="Times New Roman"/>
        </w:rPr>
        <w:t xml:space="preserve">the context of the entire body of evidence, </w:t>
      </w:r>
      <w:r w:rsidRPr="00612CBC">
        <w:rPr>
          <w:rFonts w:ascii="Times New Roman" w:hAnsi="Times New Roman" w:cs="Times New Roman"/>
        </w:rPr>
        <w:t>make the achievement of the anticompetitive outcome more likely than not.</w:t>
      </w:r>
    </w:p>
    <w:p w14:paraId="6A71F7E9" w14:textId="77777777" w:rsidR="002120E3" w:rsidRDefault="002120E3" w:rsidP="002120E3">
      <w:pPr>
        <w:jc w:val="both"/>
        <w:rPr>
          <w:rFonts w:ascii="Times New Roman" w:hAnsi="Times New Roman" w:cs="Times New Roman"/>
        </w:rPr>
      </w:pPr>
      <w:r w:rsidRPr="00612CBC">
        <w:rPr>
          <w:rFonts w:ascii="Times New Roman" w:hAnsi="Times New Roman" w:cs="Times New Roman"/>
        </w:rPr>
        <w:t xml:space="preserve"> </w:t>
      </w:r>
    </w:p>
    <w:p w14:paraId="3140A866" w14:textId="77777777" w:rsidR="002120E3" w:rsidRDefault="002120E3" w:rsidP="002120E3">
      <w:pPr>
        <w:jc w:val="both"/>
        <w:rPr>
          <w:rFonts w:ascii="Times New Roman" w:hAnsi="Times New Roman" w:cs="Times New Roman"/>
        </w:rPr>
      </w:pPr>
      <w:r>
        <w:rPr>
          <w:rFonts w:ascii="Times New Roman" w:hAnsi="Times New Roman" w:cs="Times New Roman"/>
        </w:rPr>
        <w:t>To a large extent, this test is a rationalization of existing case-law, in particular with regard to conditions n. 2 and 3. To clarify, the concept of “</w:t>
      </w:r>
      <w:r w:rsidRPr="000D7035">
        <w:rPr>
          <w:rFonts w:ascii="Times New Roman" w:hAnsi="Times New Roman" w:cs="Times New Roman"/>
          <w:i/>
        </w:rPr>
        <w:t>status quo</w:t>
      </w:r>
      <w:r>
        <w:rPr>
          <w:rFonts w:ascii="Times New Roman" w:hAnsi="Times New Roman" w:cs="Times New Roman"/>
        </w:rPr>
        <w:t xml:space="preserve">” in condition n. 3 could be best illustrated by reference to the idea of chain of causation in </w:t>
      </w:r>
      <w:r w:rsidRPr="00927C54">
        <w:rPr>
          <w:rFonts w:ascii="Times New Roman" w:hAnsi="Times New Roman" w:cs="Times New Roman"/>
          <w:i/>
        </w:rPr>
        <w:t>dolus eventualis</w:t>
      </w:r>
      <w:r>
        <w:rPr>
          <w:rFonts w:ascii="Times New Roman" w:hAnsi="Times New Roman" w:cs="Times New Roman"/>
        </w:rPr>
        <w:t xml:space="preserve">, where responsibility for events caused by an act supplemented by an intervention by a third party can be attributed to the perpetrator where circumstances suggest that the intervention was a foreseeable risk, and the perpetrator could not have been unaware of the consequences. More significant is the suggestion provided in condition n. 1, which link the foreseeability of the event to the knowledge or reckless disregard of the perpetrator: here, the change is subtle as it simply moves from a standard of “knowledge or negligence” to a standard of “knowledge or reckless disregard”. The consequence of such move is that the inquiry becomes subjective, rather than objective, thereby enabling authorities to take into account the superior knowledge of certain dominant firms over a reasonable market participant. </w:t>
      </w:r>
    </w:p>
    <w:p w14:paraId="18891A1D" w14:textId="77777777" w:rsidR="002120E3" w:rsidRPr="00A14A0F" w:rsidRDefault="002120E3" w:rsidP="002120E3">
      <w:pPr>
        <w:jc w:val="both"/>
        <w:rPr>
          <w:rFonts w:ascii="Times New Roman" w:eastAsia="Times New Roman" w:hAnsi="Times New Roman" w:cs="Times New Roman"/>
        </w:rPr>
      </w:pPr>
      <w:r>
        <w:rPr>
          <w:rFonts w:ascii="Times New Roman" w:hAnsi="Times New Roman" w:cs="Times New Roman"/>
        </w:rPr>
        <w:t xml:space="preserve">From a systemic perspective, these three conditions </w:t>
      </w:r>
      <w:r w:rsidRPr="00A14A0F">
        <w:rPr>
          <w:rFonts w:ascii="Times New Roman" w:hAnsi="Times New Roman" w:cs="Times New Roman"/>
        </w:rPr>
        <w:t>would allow the application of the self-favoring abuse in the algorithmic context to b</w:t>
      </w:r>
      <w:r>
        <w:rPr>
          <w:rFonts w:ascii="Times New Roman" w:hAnsi="Times New Roman" w:cs="Times New Roman"/>
        </w:rPr>
        <w:t>e compatible with the principle</w:t>
      </w:r>
      <w:r w:rsidRPr="00A14A0F">
        <w:rPr>
          <w:rFonts w:ascii="Times New Roman" w:hAnsi="Times New Roman" w:cs="Times New Roman"/>
        </w:rPr>
        <w:t xml:space="preserve"> of proportionality</w:t>
      </w:r>
      <w:r w:rsidRPr="00A14A0F">
        <w:rPr>
          <w:rStyle w:val="FootnoteReference"/>
          <w:rFonts w:ascii="Times New Roman" w:eastAsia="Times New Roman" w:hAnsi="Times New Roman" w:cs="Times New Roman"/>
        </w:rPr>
        <w:footnoteReference w:id="134"/>
      </w:r>
      <w:r w:rsidRPr="00A14A0F">
        <w:rPr>
          <w:rFonts w:ascii="Times New Roman" w:hAnsi="Times New Roman" w:cs="Times New Roman"/>
        </w:rPr>
        <w:t>, the principle of legal certainty</w:t>
      </w:r>
      <w:r w:rsidRPr="00A14A0F">
        <w:rPr>
          <w:rStyle w:val="FootnoteReference"/>
          <w:rFonts w:ascii="Times New Roman" w:hAnsi="Times New Roman" w:cs="Times New Roman"/>
        </w:rPr>
        <w:footnoteReference w:id="135"/>
      </w:r>
      <w:r w:rsidRPr="00A14A0F">
        <w:rPr>
          <w:rFonts w:ascii="Times New Roman" w:hAnsi="Times New Roman" w:cs="Times New Roman"/>
        </w:rPr>
        <w:t>,</w:t>
      </w:r>
      <w:r>
        <w:rPr>
          <w:rFonts w:ascii="Times New Roman" w:hAnsi="Times New Roman" w:cs="Times New Roman"/>
        </w:rPr>
        <w:t xml:space="preserve"> and both</w:t>
      </w:r>
      <w:r w:rsidRPr="00A14A0F">
        <w:rPr>
          <w:rFonts w:ascii="Times New Roman" w:hAnsi="Times New Roman" w:cs="Times New Roman"/>
        </w:rPr>
        <w:t xml:space="preserve"> the principle of legality and the presumption of innocence in relation to the imposition of sanctions</w:t>
      </w:r>
      <w:r w:rsidRPr="00A14A0F">
        <w:rPr>
          <w:rStyle w:val="FootnoteReference"/>
          <w:rFonts w:ascii="Times New Roman" w:hAnsi="Times New Roman" w:cs="Times New Roman"/>
        </w:rPr>
        <w:footnoteReference w:id="136"/>
      </w:r>
      <w:r w:rsidRPr="00A14A0F">
        <w:rPr>
          <w:rFonts w:ascii="Times New Roman" w:eastAsia="Times New Roman" w:hAnsi="Times New Roman" w:cs="Times New Roman"/>
        </w:rPr>
        <w:t>. In particular, the principle of proportionality prevents the imposition of a prohibition that makes compliance for an undertaking impractical, with the result of deterring that undertaking from engaging into a broader set of conducts than the one the legislator aims to prevent. Clearly, an alternative measure exists which would achieve the objective of preventing algorithmic leveraging, but would not restrict freedom to conduct business, and indeed deter beneficial conduct in the first place: the legislator could establish a requirement of intent linked to a clear process of “algorithmic due diligence”, giving the dominant undertaking a benchmark against which their conduct can be measured. This also satisfies the principle of legal certainty, which require foreseeability in the application of the law</w:t>
      </w:r>
      <w:r w:rsidRPr="00A14A0F">
        <w:rPr>
          <w:rStyle w:val="FootnoteReference"/>
          <w:rFonts w:ascii="Times New Roman" w:eastAsia="Times New Roman" w:hAnsi="Times New Roman" w:cs="Times New Roman"/>
        </w:rPr>
        <w:footnoteReference w:id="137"/>
      </w:r>
      <w:r w:rsidRPr="00A14A0F">
        <w:rPr>
          <w:rFonts w:ascii="Times New Roman" w:eastAsia="Times New Roman" w:hAnsi="Times New Roman" w:cs="Times New Roman"/>
        </w:rPr>
        <w:t xml:space="preserve">, and the principle of legality and the presumption of innocence, </w:t>
      </w:r>
      <w:r>
        <w:rPr>
          <w:rFonts w:ascii="Times New Roman" w:eastAsia="Times New Roman" w:hAnsi="Times New Roman" w:cs="Times New Roman"/>
        </w:rPr>
        <w:t>according to which</w:t>
      </w:r>
      <w:r w:rsidRPr="00A14A0F">
        <w:rPr>
          <w:rFonts w:ascii="Times New Roman" w:eastAsia="Times New Roman" w:hAnsi="Times New Roman" w:cs="Times New Roman"/>
        </w:rPr>
        <w:t xml:space="preserve"> any doubts as to the question of guilt are resolved in favor of the accused</w:t>
      </w:r>
      <w:r w:rsidRPr="00A14A0F">
        <w:rPr>
          <w:rStyle w:val="FootnoteReference"/>
          <w:rFonts w:ascii="Times New Roman" w:eastAsia="Times New Roman" w:hAnsi="Times New Roman" w:cs="Times New Roman"/>
        </w:rPr>
        <w:footnoteReference w:id="138"/>
      </w:r>
      <w:r w:rsidRPr="00A14A0F">
        <w:rPr>
          <w:rFonts w:ascii="Times New Roman" w:eastAsia="Times New Roman" w:hAnsi="Times New Roman" w:cs="Times New Roman"/>
        </w:rPr>
        <w:t>.</w:t>
      </w:r>
      <w:r>
        <w:rPr>
          <w:rFonts w:ascii="Times New Roman" w:eastAsia="Times New Roman" w:hAnsi="Times New Roman" w:cs="Times New Roman"/>
        </w:rPr>
        <w:t xml:space="preserve"> The next section provides </w:t>
      </w:r>
      <w:r w:rsidRPr="00A14A0F">
        <w:rPr>
          <w:rFonts w:ascii="Times New Roman" w:eastAsia="Times New Roman" w:hAnsi="Times New Roman" w:cs="Times New Roman"/>
        </w:rPr>
        <w:t xml:space="preserve">a concrete suggestion as to how that process could be formulated, including a further adjustment which appears necessary to ensure the effectiveness of competition enforcement in a world of a fast-moving (and self-learning) algorithms. </w:t>
      </w:r>
    </w:p>
    <w:p w14:paraId="5EBB81D5" w14:textId="77777777" w:rsidR="002120E3" w:rsidRDefault="002120E3" w:rsidP="002120E3">
      <w:pPr>
        <w:jc w:val="both"/>
        <w:rPr>
          <w:rFonts w:ascii="Times New Roman" w:hAnsi="Times New Roman" w:cs="Times New Roman"/>
          <w:b/>
        </w:rPr>
      </w:pPr>
    </w:p>
    <w:p w14:paraId="5A70A42A" w14:textId="77777777" w:rsidR="002120E3" w:rsidRPr="00E003CF" w:rsidRDefault="002120E3" w:rsidP="006F1E60">
      <w:pPr>
        <w:pStyle w:val="Heading2"/>
      </w:pPr>
      <w:bookmarkStart w:id="25" w:name="_Toc390300614"/>
      <w:r>
        <w:t>4. 2 T</w:t>
      </w:r>
      <w:r w:rsidRPr="00E003CF">
        <w:t xml:space="preserve">owards </w:t>
      </w:r>
      <w:r>
        <w:t>a negligence-based safe harbor</w:t>
      </w:r>
      <w:r w:rsidRPr="00E003CF">
        <w:t xml:space="preserve"> for </w:t>
      </w:r>
      <w:r>
        <w:t>gatekeeping</w:t>
      </w:r>
      <w:r w:rsidRPr="00E003CF">
        <w:t xml:space="preserve"> algorithms?</w:t>
      </w:r>
      <w:bookmarkEnd w:id="25"/>
    </w:p>
    <w:p w14:paraId="2E56CCA8" w14:textId="77777777" w:rsidR="002120E3" w:rsidRDefault="002120E3" w:rsidP="002120E3">
      <w:pPr>
        <w:jc w:val="both"/>
        <w:rPr>
          <w:rFonts w:ascii="Times New Roman" w:hAnsi="Times New Roman" w:cs="Times New Roman"/>
        </w:rPr>
      </w:pPr>
    </w:p>
    <w:p w14:paraId="52F60400" w14:textId="77777777" w:rsidR="002120E3" w:rsidRDefault="002120E3" w:rsidP="002120E3">
      <w:pPr>
        <w:jc w:val="both"/>
        <w:rPr>
          <w:rFonts w:ascii="Times New Roman" w:hAnsi="Times New Roman" w:cs="Times New Roman"/>
        </w:rPr>
      </w:pPr>
      <w:r w:rsidRPr="00537D85">
        <w:rPr>
          <w:rFonts w:ascii="Times New Roman" w:hAnsi="Times New Roman" w:cs="Times New Roman"/>
        </w:rPr>
        <w:t>As discussed so far, much of the controversy over the imputation of liability for algorithmic conduct stems from the absence of a clear duty of care with regard the effects generated by certain kind of algorithmic tools. Accordingly, the proposal advanced in this section is to establish just that, with a view to qualifying the standard of diligence that is expected from dominant firms offering algorith</w:t>
      </w:r>
      <w:r>
        <w:rPr>
          <w:rFonts w:ascii="Times New Roman" w:hAnsi="Times New Roman" w:cs="Times New Roman"/>
        </w:rPr>
        <w:t xml:space="preserve">mic </w:t>
      </w:r>
      <w:r w:rsidRPr="00537D85">
        <w:rPr>
          <w:rFonts w:ascii="Times New Roman" w:hAnsi="Times New Roman" w:cs="Times New Roman"/>
        </w:rPr>
        <w:t>services.  The proposal builds on the Commission’s qualification of Google’s conduct as “active”, i.e. not simply refusing to give competing comparison shopping services access to a portion of its general search results pages, but engineering preferential treatment</w:t>
      </w:r>
      <w:bookmarkStart w:id="26" w:name="_Ref383025729"/>
      <w:r w:rsidRPr="00537D85">
        <w:rPr>
          <w:rFonts w:ascii="Times New Roman" w:hAnsi="Times New Roman" w:cs="Times New Roman"/>
        </w:rPr>
        <w:t xml:space="preserve"> in the design of the algorithm (specifically, exempting Google Shopping from demotions and “hardcoding” its position in the ranking).</w:t>
      </w:r>
      <w:r w:rsidRPr="00537D85">
        <w:rPr>
          <w:rStyle w:val="FootnoteReference"/>
          <w:rFonts w:ascii="Times New Roman" w:hAnsi="Times New Roman" w:cs="Times New Roman"/>
        </w:rPr>
        <w:footnoteReference w:id="139"/>
      </w:r>
      <w:bookmarkEnd w:id="26"/>
      <w:r w:rsidRPr="00537D85">
        <w:rPr>
          <w:rFonts w:ascii="Times New Roman" w:hAnsi="Times New Roman" w:cs="Times New Roman"/>
        </w:rPr>
        <w:t xml:space="preserve"> This raises the question of how undertaking ought to interpret the active/passive nature distinction moving forward: what is the diving line? </w:t>
      </w:r>
    </w:p>
    <w:p w14:paraId="43044BF7" w14:textId="77777777" w:rsidR="002120E3" w:rsidRDefault="002120E3" w:rsidP="002120E3">
      <w:pPr>
        <w:jc w:val="both"/>
        <w:rPr>
          <w:rFonts w:ascii="Times New Roman" w:hAnsi="Times New Roman" w:cs="Times New Roman"/>
        </w:rPr>
      </w:pPr>
    </w:p>
    <w:p w14:paraId="16E32603" w14:textId="77777777" w:rsidR="002120E3" w:rsidRDefault="002120E3" w:rsidP="002120E3">
      <w:pPr>
        <w:jc w:val="both"/>
        <w:rPr>
          <w:rFonts w:ascii="Times New Roman" w:hAnsi="Times New Roman" w:cs="Times New Roman"/>
        </w:rPr>
      </w:pPr>
      <w:r w:rsidRPr="00537D85">
        <w:rPr>
          <w:rFonts w:ascii="Times New Roman" w:hAnsi="Times New Roman" w:cs="Times New Roman"/>
        </w:rPr>
        <w:t>Of course, the likely interpretation is that the Commission meant that abusive refusal to deal is a passive con</w:t>
      </w:r>
      <w:r>
        <w:rPr>
          <w:rFonts w:ascii="Times New Roman" w:hAnsi="Times New Roman" w:cs="Times New Roman"/>
        </w:rPr>
        <w:t xml:space="preserve">duct, in the sense that it requires a prior request by a competitor to be granted access, whereas preferential placement is a conduct that is initiated and completed by action of the dominant company alone. However, a deeper and more conceptual distinction would be one between results that are a foreseeable consequence of the algorithmic design choices made by the dominant firm, and results that are generated automatically without its knowledge or control. This distinction would more accurately reflect the criteria deemed relevant for the attribution of liability for machine-generated result: not only because it would promote responsibility in design and control over algorithmic processes in line with developments in other areas of law, but also because in a world of multiple and machine-to-machine interactions the potential speed and automatic nature of acts such as requesting and granting access could blur the distinction between ranking and access. </w:t>
      </w:r>
    </w:p>
    <w:p w14:paraId="23360E6B" w14:textId="77777777" w:rsidR="002120E3" w:rsidRDefault="002120E3" w:rsidP="002120E3">
      <w:pPr>
        <w:jc w:val="both"/>
        <w:rPr>
          <w:rFonts w:ascii="Times New Roman" w:hAnsi="Times New Roman" w:cs="Times New Roman"/>
        </w:rPr>
      </w:pPr>
    </w:p>
    <w:p w14:paraId="6BD3E3BA" w14:textId="77777777" w:rsidR="002120E3" w:rsidRDefault="002120E3" w:rsidP="002120E3">
      <w:pPr>
        <w:jc w:val="both"/>
        <w:rPr>
          <w:rFonts w:ascii="Times New Roman" w:hAnsi="Times New Roman" w:cs="Times New Roman"/>
        </w:rPr>
      </w:pPr>
      <w:r>
        <w:rPr>
          <w:rFonts w:ascii="Times New Roman" w:hAnsi="Times New Roman" w:cs="Times New Roman"/>
        </w:rPr>
        <w:t xml:space="preserve">A useful reference in marking the line between “active” and “passive” in the context of algorithmic is the “safe harbor” provided by article 14 of </w:t>
      </w:r>
      <w:r w:rsidRPr="00526F8A">
        <w:rPr>
          <w:rFonts w:ascii="Times New Roman" w:hAnsi="Times New Roman" w:cs="Times New Roman"/>
        </w:rPr>
        <w:t xml:space="preserve">the E-commerce directive, which grants a content host immunity from liability under European law for the information stored </w:t>
      </w:r>
      <w:r>
        <w:rPr>
          <w:rFonts w:ascii="Times New Roman" w:hAnsi="Times New Roman" w:cs="Times New Roman"/>
        </w:rPr>
        <w:t>provided</w:t>
      </w:r>
      <w:r w:rsidRPr="00526F8A">
        <w:rPr>
          <w:rFonts w:ascii="Times New Roman" w:hAnsi="Times New Roman" w:cs="Times New Roman"/>
        </w:rPr>
        <w:t xml:space="preserve"> that: “(a) it does not have actual knowledge of illegal activity or information and, as regards claims for damages, is not aware of facts or circumstances from which the illegal activity or information is apparent; and (b) upon obtaining such knowledge or awareness, acts expeditiously to remove or to disable access to the information”</w:t>
      </w:r>
      <w:r w:rsidRPr="00526F8A">
        <w:rPr>
          <w:rStyle w:val="FootnoteReference"/>
          <w:rFonts w:ascii="Times New Roman" w:hAnsi="Times New Roman" w:cs="Times New Roman"/>
        </w:rPr>
        <w:t xml:space="preserve"> </w:t>
      </w:r>
      <w:r w:rsidRPr="009F22D2">
        <w:rPr>
          <w:rStyle w:val="FootnoteReference"/>
          <w:rFonts w:ascii="Times New Roman" w:hAnsi="Times New Roman" w:cs="Times New Roman"/>
        </w:rPr>
        <w:footnoteReference w:id="140"/>
      </w:r>
      <w:r w:rsidRPr="00526F8A">
        <w:rPr>
          <w:rFonts w:ascii="Times New Roman" w:hAnsi="Times New Roman" w:cs="Times New Roman"/>
        </w:rPr>
        <w:t>.</w:t>
      </w:r>
      <w:r>
        <w:rPr>
          <w:rFonts w:ascii="Times New Roman" w:hAnsi="Times New Roman" w:cs="Times New Roman"/>
        </w:rPr>
        <w:t xml:space="preserve"> The CJEU’s reading of the safe harbor, based on Recital 42 of the Directive, is that this requires an </w:t>
      </w:r>
      <w:r w:rsidRPr="00531E96">
        <w:rPr>
          <w:rFonts w:ascii="Times New Roman" w:hAnsi="Times New Roman" w:cs="Times New Roman"/>
        </w:rPr>
        <w:t>activity of a mere technical, automatic and passive nature, which implies that the information society service provider has neither knowledge of nor control over the information which is transmitted or stored</w:t>
      </w:r>
      <w:bookmarkStart w:id="27" w:name="_Ref390287340"/>
      <w:r>
        <w:rPr>
          <w:rStyle w:val="FootnoteReference"/>
          <w:rFonts w:ascii="Times New Roman" w:hAnsi="Times New Roman" w:cs="Times New Roman"/>
        </w:rPr>
        <w:footnoteReference w:id="141"/>
      </w:r>
      <w:bookmarkEnd w:id="27"/>
      <w:r w:rsidRPr="00531E96">
        <w:rPr>
          <w:rFonts w:ascii="Times New Roman" w:hAnsi="Times New Roman" w:cs="Times New Roman"/>
        </w:rPr>
        <w:t>.</w:t>
      </w:r>
      <w:r>
        <w:rPr>
          <w:rFonts w:ascii="Times New Roman" w:hAnsi="Times New Roman" w:cs="Times New Roman"/>
        </w:rPr>
        <w:t xml:space="preserve"> </w:t>
      </w:r>
    </w:p>
    <w:p w14:paraId="3AD45400" w14:textId="77777777" w:rsidR="002120E3" w:rsidRDefault="002120E3" w:rsidP="002120E3">
      <w:pPr>
        <w:jc w:val="both"/>
        <w:rPr>
          <w:rFonts w:ascii="Times New Roman" w:hAnsi="Times New Roman" w:cs="Times New Roman"/>
        </w:rPr>
      </w:pPr>
    </w:p>
    <w:p w14:paraId="7EA76088" w14:textId="1A00BD3E" w:rsidR="002120E3" w:rsidRDefault="002120E3" w:rsidP="002120E3">
      <w:pPr>
        <w:jc w:val="both"/>
        <w:rPr>
          <w:rFonts w:ascii="Times New Roman" w:hAnsi="Times New Roman" w:cs="Times New Roman"/>
        </w:rPr>
      </w:pPr>
      <w:r>
        <w:rPr>
          <w:rFonts w:ascii="Times New Roman" w:hAnsi="Times New Roman" w:cs="Times New Roman"/>
        </w:rPr>
        <w:t>Those conditions could then be used to design, with appropriate institutional and procedural safeguards (above all, a fair and independent dispute resolution procedure), a framework of ‘notice and explanation’ for undertaking that consider themselves to be adversely affected by the algorithm in their ability to compete in the market. This framework would grant the algorithmic operator immunity from liability for any differential treatment which puts an undertaking competitive disadvantage (</w:t>
      </w:r>
      <w:r w:rsidRPr="002549F7">
        <w:rPr>
          <w:rFonts w:ascii="Times New Roman" w:hAnsi="Times New Roman" w:cs="Times New Roman"/>
          <w:i/>
        </w:rPr>
        <w:t>vis a vis</w:t>
      </w:r>
      <w:r>
        <w:rPr>
          <w:rFonts w:ascii="Times New Roman" w:hAnsi="Times New Roman" w:cs="Times New Roman"/>
        </w:rPr>
        <w:t xml:space="preserve"> the operator himself or a third party) as long as a dedicated procedure was put in place to receive such notices and respond within an appropriate timeframe. The affected undertaking, if unconvinced by the explanation, could then submit that together with its substantiated claim to an independent body, which could order the readjustment of the ranking of that undertaking but also establish the allocation of litigation costs, as well as impose penalties for baseless complaints. I am not simply re-branding the persuasive proposal of a search engine court made by Brancha and Pasquale exactly 10 years ago</w:t>
      </w:r>
      <w:r>
        <w:rPr>
          <w:rStyle w:val="FootnoteReference"/>
          <w:rFonts w:ascii="Times New Roman" w:hAnsi="Times New Roman" w:cs="Times New Roman"/>
        </w:rPr>
        <w:footnoteReference w:id="142"/>
      </w:r>
      <w:r>
        <w:rPr>
          <w:rFonts w:ascii="Times New Roman" w:hAnsi="Times New Roman" w:cs="Times New Roman"/>
        </w:rPr>
        <w:t xml:space="preserve">, but suggesting that this could be a broader mechanism </w:t>
      </w:r>
      <w:r w:rsidR="00CF0D97">
        <w:rPr>
          <w:rFonts w:ascii="Times New Roman" w:hAnsi="Times New Roman" w:cs="Times New Roman"/>
        </w:rPr>
        <w:t>which can be promoted through</w:t>
      </w:r>
      <w:r w:rsidRPr="00612CBC">
        <w:rPr>
          <w:rFonts w:ascii="Times New Roman" w:hAnsi="Times New Roman" w:cs="Times New Roman"/>
        </w:rPr>
        <w:t xml:space="preserve"> </w:t>
      </w:r>
      <w:r w:rsidR="00CF0D97">
        <w:rPr>
          <w:rFonts w:ascii="Times New Roman" w:hAnsi="Times New Roman" w:cs="Times New Roman"/>
        </w:rPr>
        <w:t>a</w:t>
      </w:r>
      <w:r>
        <w:rPr>
          <w:rFonts w:ascii="Times New Roman" w:hAnsi="Times New Roman" w:cs="Times New Roman"/>
        </w:rPr>
        <w:t xml:space="preserve"> </w:t>
      </w:r>
      <w:r w:rsidR="00CF0D97" w:rsidRPr="00612CBC">
        <w:rPr>
          <w:rFonts w:ascii="Times New Roman" w:hAnsi="Times New Roman" w:cs="Times New Roman"/>
        </w:rPr>
        <w:t>safe harbor</w:t>
      </w:r>
      <w:r w:rsidR="00CF0D97" w:rsidRPr="00612CBC">
        <w:rPr>
          <w:rStyle w:val="FootnoteReference"/>
          <w:rFonts w:ascii="Times New Roman" w:hAnsi="Times New Roman" w:cs="Times New Roman"/>
        </w:rPr>
        <w:footnoteReference w:id="143"/>
      </w:r>
      <w:r w:rsidR="00CF0D97">
        <w:rPr>
          <w:rFonts w:ascii="Times New Roman" w:hAnsi="Times New Roman" w:cs="Times New Roman"/>
        </w:rPr>
        <w:t xml:space="preserve"> </w:t>
      </w:r>
      <w:r>
        <w:rPr>
          <w:rFonts w:ascii="Times New Roman" w:hAnsi="Times New Roman" w:cs="Times New Roman"/>
        </w:rPr>
        <w:t xml:space="preserve">for the types of gatekeeping algorithms discussed in this paper. </w:t>
      </w:r>
    </w:p>
    <w:p w14:paraId="762F4E1E" w14:textId="77777777" w:rsidR="002120E3" w:rsidRDefault="002120E3" w:rsidP="002120E3">
      <w:pPr>
        <w:jc w:val="both"/>
        <w:rPr>
          <w:rFonts w:ascii="Times New Roman" w:hAnsi="Times New Roman" w:cs="Times New Roman"/>
        </w:rPr>
      </w:pPr>
    </w:p>
    <w:p w14:paraId="0FD4D9E6" w14:textId="77777777" w:rsidR="002120E3" w:rsidRDefault="002120E3" w:rsidP="002120E3">
      <w:pPr>
        <w:jc w:val="both"/>
        <w:rPr>
          <w:rFonts w:ascii="Times New Roman" w:hAnsi="Times New Roman" w:cs="Times New Roman"/>
        </w:rPr>
      </w:pPr>
      <w:r>
        <w:rPr>
          <w:rFonts w:ascii="Times New Roman" w:hAnsi="Times New Roman" w:cs="Times New Roman"/>
        </w:rPr>
        <w:t xml:space="preserve">It should be noted that article 14 of the E-commerce directive is useful also in one more respect, and that is in establishing a connection between the safe harbor and the element that we have been invoking so far, a diligence standard. Specifically, the Court has stated that knowledge of illegal activity or information can be inferred from the awareness of facts on the basis of which </w:t>
      </w:r>
      <w:r w:rsidRPr="00DC08BE">
        <w:rPr>
          <w:rFonts w:ascii="Times New Roman" w:hAnsi="Times New Roman" w:cs="Times New Roman"/>
        </w:rPr>
        <w:t xml:space="preserve">a “diligent economic </w:t>
      </w:r>
      <w:r>
        <w:rPr>
          <w:rFonts w:ascii="Times New Roman" w:hAnsi="Times New Roman" w:cs="Times New Roman"/>
        </w:rPr>
        <w:t xml:space="preserve">operator” should have identified the illegality in </w:t>
      </w:r>
      <w:r w:rsidRPr="00DC08BE">
        <w:rPr>
          <w:rFonts w:ascii="Times New Roman" w:hAnsi="Times New Roman" w:cs="Times New Roman"/>
        </w:rPr>
        <w:t>question</w:t>
      </w:r>
      <w:r>
        <w:rPr>
          <w:rFonts w:ascii="Times New Roman" w:hAnsi="Times New Roman" w:cs="Times New Roman"/>
        </w:rPr>
        <w:t xml:space="preserve"> </w:t>
      </w:r>
      <w:r w:rsidRPr="00F56766">
        <w:rPr>
          <w:rFonts w:ascii="Times New Roman" w:hAnsi="Times New Roman" w:cs="Times New Roman"/>
        </w:rPr>
        <w:t>and acted in accordance with Article 14(1)(b) of Directive</w:t>
      </w:r>
      <w:r>
        <w:rPr>
          <w:rFonts w:ascii="Times New Roman" w:hAnsi="Times New Roman" w:cs="Times New Roman"/>
        </w:rPr>
        <w:t xml:space="preserve"> (taken the content down).</w:t>
      </w:r>
      <w:r>
        <w:rPr>
          <w:rStyle w:val="FootnoteReference"/>
          <w:rFonts w:ascii="Times New Roman" w:hAnsi="Times New Roman" w:cs="Times New Roman"/>
        </w:rPr>
        <w:footnoteReference w:id="144"/>
      </w:r>
      <w:r>
        <w:rPr>
          <w:rFonts w:ascii="Times New Roman" w:hAnsi="Times New Roman" w:cs="Times New Roman"/>
        </w:rPr>
        <w:t xml:space="preserve"> Translating that insight into our model, algorithmic operators would not be entirely immune from scrutiny if they were somehow aware of facts, irrespective of a notice, that would make the detrimental impact apparent. To make that more specific, the safe harbor could include among its conditions the adherence to a due diligence procedure for the design of algorithms that can effectively impact consumer choice through the selection or ranking of content. Such procedure could for instance rely on established techniques to detect the existence of bias against various classes of market players</w:t>
      </w:r>
      <w:r>
        <w:rPr>
          <w:rStyle w:val="FootnoteReference"/>
          <w:rFonts w:ascii="Times New Roman" w:hAnsi="Times New Roman" w:cs="Times New Roman"/>
        </w:rPr>
        <w:footnoteReference w:id="145"/>
      </w:r>
      <w:r>
        <w:rPr>
          <w:rFonts w:ascii="Times New Roman" w:hAnsi="Times New Roman" w:cs="Times New Roman"/>
        </w:rPr>
        <w:t>, maintain a record of that testing for inspection by a competition or judicial authority (or the independent body proposed in this section), and even define a threshold of adverse impact warranting a change of the existing rules or criteria. Interestingly, the market is already developing such tools in specific domains</w:t>
      </w:r>
      <w:r>
        <w:rPr>
          <w:rStyle w:val="FootnoteReference"/>
          <w:rFonts w:ascii="Times New Roman" w:hAnsi="Times New Roman" w:cs="Times New Roman"/>
        </w:rPr>
        <w:footnoteReference w:id="146"/>
      </w:r>
      <w:r>
        <w:rPr>
          <w:rFonts w:ascii="Times New Roman" w:hAnsi="Times New Roman" w:cs="Times New Roman"/>
        </w:rPr>
        <w:t xml:space="preserve">, so it may not be too far down the road that we start to see bias detection being provided as a service in the industry, and becoming part of the regular due diligence procedure before putting impactful algorithms into commerce. </w:t>
      </w:r>
    </w:p>
    <w:p w14:paraId="73B80FEA" w14:textId="77777777" w:rsidR="002120E3" w:rsidRDefault="002120E3" w:rsidP="002120E3">
      <w:pPr>
        <w:jc w:val="both"/>
        <w:rPr>
          <w:rFonts w:ascii="Times New Roman" w:hAnsi="Times New Roman" w:cs="Times New Roman"/>
        </w:rPr>
      </w:pPr>
    </w:p>
    <w:p w14:paraId="77476928" w14:textId="7272ED79" w:rsidR="002120E3" w:rsidRDefault="002120E3" w:rsidP="006F1E60">
      <w:pPr>
        <w:pStyle w:val="Heading2"/>
      </w:pPr>
      <w:bookmarkStart w:id="28" w:name="_Toc390300615"/>
      <w:r w:rsidRPr="00A9267A">
        <w:t>4.3 Conclusion</w:t>
      </w:r>
      <w:bookmarkEnd w:id="28"/>
      <w:r w:rsidR="00627284">
        <w:t>s</w:t>
      </w:r>
    </w:p>
    <w:p w14:paraId="099A2C21" w14:textId="77777777" w:rsidR="002120E3" w:rsidRDefault="002120E3" w:rsidP="002120E3">
      <w:pPr>
        <w:jc w:val="both"/>
        <w:rPr>
          <w:rFonts w:ascii="Times New Roman" w:hAnsi="Times New Roman" w:cs="Times New Roman"/>
        </w:rPr>
      </w:pPr>
    </w:p>
    <w:p w14:paraId="7A9BA68E" w14:textId="77777777" w:rsidR="002120E3" w:rsidRDefault="002120E3" w:rsidP="002120E3">
      <w:pPr>
        <w:jc w:val="both"/>
        <w:rPr>
          <w:rFonts w:ascii="Times New Roman" w:hAnsi="Times New Roman" w:cs="Times New Roman"/>
        </w:rPr>
      </w:pPr>
      <w:r>
        <w:rPr>
          <w:rFonts w:ascii="Times New Roman" w:hAnsi="Times New Roman" w:cs="Times New Roman"/>
        </w:rPr>
        <w:t xml:space="preserve">After the examination in sections 2 and 3 of the use of antitrust intent in EU competition cases and in the </w:t>
      </w:r>
      <w:r w:rsidRPr="0022066A">
        <w:rPr>
          <w:rFonts w:ascii="Times New Roman" w:hAnsi="Times New Roman" w:cs="Times New Roman"/>
          <w:i/>
        </w:rPr>
        <w:t>Google Shopping</w:t>
      </w:r>
      <w:r>
        <w:rPr>
          <w:rFonts w:ascii="Times New Roman" w:hAnsi="Times New Roman" w:cs="Times New Roman"/>
        </w:rPr>
        <w:t xml:space="preserve"> decision more specifically, section 4 pondered the consequences of that decision for providers of algorithmic gatekeeping services, and attempted to offer suggestions to guide the resolution of future cases that are bound to arise in this area. Two suggestions have been offered in particular: one aimed to fix the problem of reliance on subjective intent which is disjointed from any possible anticompetitive effect, and the other purported to address the issue of identification of the standard of care on the basis of which objective intent can be established.</w:t>
      </w:r>
    </w:p>
    <w:p w14:paraId="40519B1C" w14:textId="77777777" w:rsidR="002120E3" w:rsidRDefault="002120E3" w:rsidP="002120E3">
      <w:pPr>
        <w:jc w:val="both"/>
        <w:rPr>
          <w:rFonts w:ascii="Times New Roman" w:hAnsi="Times New Roman" w:cs="Times New Roman"/>
        </w:rPr>
      </w:pPr>
    </w:p>
    <w:p w14:paraId="15B84F06" w14:textId="6CCC5E15" w:rsidR="002120E3" w:rsidRDefault="002120E3" w:rsidP="002120E3">
      <w:pPr>
        <w:jc w:val="both"/>
        <w:rPr>
          <w:rFonts w:ascii="Times New Roman" w:hAnsi="Times New Roman" w:cs="Times New Roman"/>
        </w:rPr>
      </w:pPr>
      <w:r>
        <w:rPr>
          <w:rFonts w:ascii="Times New Roman" w:hAnsi="Times New Roman" w:cs="Times New Roman"/>
        </w:rPr>
        <w:t xml:space="preserve">The first problem is </w:t>
      </w:r>
      <w:r w:rsidR="00202A33">
        <w:rPr>
          <w:rFonts w:ascii="Times New Roman" w:hAnsi="Times New Roman" w:cs="Times New Roman"/>
        </w:rPr>
        <w:t>easier</w:t>
      </w:r>
      <w:r>
        <w:rPr>
          <w:rFonts w:ascii="Times New Roman" w:hAnsi="Times New Roman" w:cs="Times New Roman"/>
        </w:rPr>
        <w:t xml:space="preserve"> to solve, due to the case-law shedding </w:t>
      </w:r>
      <w:r w:rsidR="00202A33">
        <w:rPr>
          <w:rFonts w:ascii="Times New Roman" w:hAnsi="Times New Roman" w:cs="Times New Roman"/>
        </w:rPr>
        <w:t xml:space="preserve">the </w:t>
      </w:r>
      <w:r>
        <w:rPr>
          <w:rFonts w:ascii="Times New Roman" w:hAnsi="Times New Roman" w:cs="Times New Roman"/>
        </w:rPr>
        <w:t xml:space="preserve">light </w:t>
      </w:r>
      <w:r w:rsidR="00202A33">
        <w:rPr>
          <w:rFonts w:ascii="Times New Roman" w:hAnsi="Times New Roman" w:cs="Times New Roman"/>
        </w:rPr>
        <w:t>in</w:t>
      </w:r>
      <w:r>
        <w:rPr>
          <w:rFonts w:ascii="Times New Roman" w:hAnsi="Times New Roman" w:cs="Times New Roman"/>
        </w:rPr>
        <w:t xml:space="preserve">to the right path; in this sense, the proposal simply captures the rationale of the existing cases and recommends following a three-pronged test, which asks whether the anticompetitive effect for the purported conduct is foreseeable, immediate and substantial. Importantly, the parameter of foreseeability would be linked to a subjective, rather than an objective </w:t>
      </w:r>
      <w:r w:rsidR="00202A33">
        <w:rPr>
          <w:rFonts w:ascii="Times New Roman" w:hAnsi="Times New Roman" w:cs="Times New Roman"/>
        </w:rPr>
        <w:t>test</w:t>
      </w:r>
      <w:r>
        <w:rPr>
          <w:rFonts w:ascii="Times New Roman" w:hAnsi="Times New Roman" w:cs="Times New Roman"/>
        </w:rPr>
        <w:t xml:space="preserve">, enabling authorities to elevate the standard of prognosis for a purported conduct to the sophisticated level of that particular dominant firm, rather than a potentially less knowledgeable market participant. </w:t>
      </w:r>
    </w:p>
    <w:p w14:paraId="5ABC6874" w14:textId="77777777" w:rsidR="002120E3" w:rsidRDefault="002120E3" w:rsidP="002120E3">
      <w:pPr>
        <w:jc w:val="both"/>
        <w:rPr>
          <w:rFonts w:ascii="Times New Roman" w:hAnsi="Times New Roman" w:cs="Times New Roman"/>
        </w:rPr>
      </w:pPr>
    </w:p>
    <w:p w14:paraId="09000ABA" w14:textId="4F646492" w:rsidR="002120E3" w:rsidRDefault="002120E3" w:rsidP="002120E3">
      <w:pPr>
        <w:jc w:val="both"/>
        <w:rPr>
          <w:rFonts w:ascii="Times New Roman" w:hAnsi="Times New Roman" w:cs="Times New Roman"/>
        </w:rPr>
      </w:pPr>
      <w:r>
        <w:rPr>
          <w:rFonts w:ascii="Times New Roman" w:hAnsi="Times New Roman" w:cs="Times New Roman"/>
        </w:rPr>
        <w:t xml:space="preserve">With regard to the second problem, it is clear that the designation of a specific standard of care is a complex question that goes beyond the scope of the paper. However, the suggestion presented here concerned a procedure which aims to reconcile the need to secure effective competition enforcement with administrability, and the imperative not to prohibit or chill legitimate business conduct. The dilemma before us </w:t>
      </w:r>
      <w:r w:rsidR="001364D1">
        <w:rPr>
          <w:rFonts w:ascii="Times New Roman" w:hAnsi="Times New Roman" w:cs="Times New Roman"/>
        </w:rPr>
        <w:t>i</w:t>
      </w:r>
      <w:r>
        <w:rPr>
          <w:rFonts w:ascii="Times New Roman" w:hAnsi="Times New Roman" w:cs="Times New Roman"/>
        </w:rPr>
        <w:t>s, of course, what would an optimal framework look like from that tri-dimensional perspective?</w:t>
      </w:r>
    </w:p>
    <w:p w14:paraId="61A83A37" w14:textId="77777777" w:rsidR="002120E3" w:rsidRDefault="002120E3" w:rsidP="002120E3">
      <w:pPr>
        <w:jc w:val="both"/>
        <w:rPr>
          <w:rFonts w:ascii="Times New Roman" w:hAnsi="Times New Roman" w:cs="Times New Roman"/>
        </w:rPr>
      </w:pPr>
    </w:p>
    <w:p w14:paraId="0DCE361C" w14:textId="597312B3" w:rsidR="002120E3" w:rsidRPr="00B115C5" w:rsidRDefault="002120E3" w:rsidP="002120E3">
      <w:pPr>
        <w:jc w:val="both"/>
        <w:rPr>
          <w:rFonts w:ascii="Times New Roman" w:hAnsi="Times New Roman" w:cs="Times New Roman"/>
        </w:rPr>
      </w:pPr>
      <w:r>
        <w:rPr>
          <w:rFonts w:ascii="Times New Roman" w:hAnsi="Times New Roman" w:cs="Times New Roman"/>
        </w:rPr>
        <w:t xml:space="preserve">It is useful to remind at this point some of the work of Stacey Dorgan, who has identified four different ways in which the law can approach design choices: absolute non-interference (i.e., accepting any kind of design choice as legitimate as long as it produces an improvement); the metric of economic rationality (e.g., the “no economic sense” test, which is argued to be the basis for the establishment of objective intent); second-guessing the merits of any particular choice under a cost-benefit analysis (which she calls the “competitive effects balancing” test); and finally, </w:t>
      </w:r>
      <w:r w:rsidR="001364D1">
        <w:rPr>
          <w:rFonts w:ascii="Times New Roman" w:hAnsi="Times New Roman" w:cs="Times New Roman"/>
        </w:rPr>
        <w:t xml:space="preserve">a </w:t>
      </w:r>
      <w:r>
        <w:rPr>
          <w:rFonts w:ascii="Times New Roman" w:hAnsi="Times New Roman" w:cs="Times New Roman"/>
        </w:rPr>
        <w:t xml:space="preserve">subjective intent inquiry, where any </w:t>
      </w:r>
      <w:r w:rsidRPr="00B115C5">
        <w:rPr>
          <w:rFonts w:ascii="Times New Roman" w:hAnsi="Times New Roman" w:cs="Times New Roman"/>
        </w:rPr>
        <w:t>evidence of such intent can be used to qualify a given design choice as anti-competitive</w:t>
      </w:r>
      <w:r w:rsidRPr="00B115C5">
        <w:rPr>
          <w:rStyle w:val="FootnoteReference"/>
          <w:rFonts w:ascii="Times New Roman" w:hAnsi="Times New Roman" w:cs="Times New Roman"/>
        </w:rPr>
        <w:footnoteReference w:id="147"/>
      </w:r>
      <w:r w:rsidRPr="00B115C5">
        <w:rPr>
          <w:rFonts w:ascii="Times New Roman" w:hAnsi="Times New Roman" w:cs="Times New Roman"/>
        </w:rPr>
        <w:t>. Dorgan suggests that courts should be open to examining the relative effects of different aspects of a product modification, rather than remaining anchored on wooden benchmarks</w:t>
      </w:r>
      <w:r w:rsidRPr="00B115C5">
        <w:rPr>
          <w:rStyle w:val="FootnoteReference"/>
          <w:rFonts w:ascii="Times New Roman" w:hAnsi="Times New Roman" w:cs="Times New Roman"/>
        </w:rPr>
        <w:footnoteReference w:id="148"/>
      </w:r>
      <w:r w:rsidRPr="00B115C5">
        <w:rPr>
          <w:rFonts w:ascii="Times New Roman" w:hAnsi="Times New Roman" w:cs="Times New Roman"/>
        </w:rPr>
        <w:t xml:space="preserve">. </w:t>
      </w:r>
    </w:p>
    <w:p w14:paraId="3AFE99C1" w14:textId="77777777" w:rsidR="002120E3" w:rsidRPr="00B115C5" w:rsidRDefault="002120E3" w:rsidP="002120E3">
      <w:pPr>
        <w:jc w:val="both"/>
        <w:rPr>
          <w:rFonts w:ascii="Times New Roman" w:hAnsi="Times New Roman" w:cs="Times New Roman"/>
        </w:rPr>
      </w:pPr>
    </w:p>
    <w:p w14:paraId="545D42D3" w14:textId="055E0710" w:rsidR="002120E3" w:rsidRDefault="002120E3" w:rsidP="002120E3">
      <w:pPr>
        <w:jc w:val="both"/>
        <w:rPr>
          <w:rFonts w:ascii="Times New Roman" w:hAnsi="Times New Roman" w:cs="Times New Roman"/>
        </w:rPr>
      </w:pPr>
      <w:r w:rsidRPr="00B115C5">
        <w:rPr>
          <w:rFonts w:ascii="Times New Roman" w:hAnsi="Times New Roman" w:cs="Times New Roman"/>
        </w:rPr>
        <w:t>This principle is indeed sound,</w:t>
      </w:r>
      <w:r>
        <w:rPr>
          <w:rFonts w:ascii="Times New Roman" w:hAnsi="Times New Roman" w:cs="Times New Roman"/>
        </w:rPr>
        <w:t xml:space="preserve"> which is why we cannot accept a test based simply on absolute non-interference, no economic sense, or full examination of the merits in each particular case. For this reason, the assessment of algorithmic choices should follow a structured test, with a shifting burden of proof. Furthermore, the utility of a court-based system or even a </w:t>
      </w:r>
      <w:r w:rsidR="00A07A0C">
        <w:rPr>
          <w:rFonts w:ascii="Times New Roman" w:hAnsi="Times New Roman" w:cs="Times New Roman"/>
        </w:rPr>
        <w:t>traditional</w:t>
      </w:r>
      <w:r>
        <w:rPr>
          <w:rFonts w:ascii="Times New Roman" w:hAnsi="Times New Roman" w:cs="Times New Roman"/>
        </w:rPr>
        <w:t xml:space="preserve"> administrative proceeding to adjudicate these claims in a fast-moving environment as the one we are discussing in this contribution appears limited - note that the complaints in the </w:t>
      </w:r>
      <w:r w:rsidRPr="00B115C5">
        <w:rPr>
          <w:rFonts w:ascii="Times New Roman" w:hAnsi="Times New Roman" w:cs="Times New Roman"/>
          <w:i/>
        </w:rPr>
        <w:t>Google Shopping</w:t>
      </w:r>
      <w:r>
        <w:rPr>
          <w:rFonts w:ascii="Times New Roman" w:hAnsi="Times New Roman" w:cs="Times New Roman"/>
        </w:rPr>
        <w:t xml:space="preserve"> case were lodged with the European Commission in November 2009, the investigation was officially launched in December 2010</w:t>
      </w:r>
      <w:r w:rsidR="00A07A0C">
        <w:rPr>
          <w:rFonts w:ascii="Times New Roman" w:hAnsi="Times New Roman" w:cs="Times New Roman"/>
        </w:rPr>
        <w:t>, and the decision was only taken in June 2017</w:t>
      </w:r>
      <w:r>
        <w:rPr>
          <w:rFonts w:ascii="Times New Roman" w:hAnsi="Times New Roman" w:cs="Times New Roman"/>
        </w:rPr>
        <w:t xml:space="preserve">.  Accordingly, the proposal advanced in this Section is to establish an alternative dispute resolution system that is able to look at the merits of complaints. At the same time, the proposal includes a first screening </w:t>
      </w:r>
      <w:r w:rsidR="00A07A0C">
        <w:rPr>
          <w:rFonts w:ascii="Times New Roman" w:hAnsi="Times New Roman" w:cs="Times New Roman"/>
        </w:rPr>
        <w:t>mechanism</w:t>
      </w:r>
      <w:r>
        <w:rPr>
          <w:rFonts w:ascii="Times New Roman" w:hAnsi="Times New Roman" w:cs="Times New Roman"/>
        </w:rPr>
        <w:t xml:space="preserve"> enabling applicants to receive an explanation by the dominant company for any algorithmic choice that has impacted on their competitive position</w:t>
      </w:r>
      <w:r w:rsidR="00A07A0C">
        <w:rPr>
          <w:rFonts w:ascii="Times New Roman" w:hAnsi="Times New Roman" w:cs="Times New Roman"/>
        </w:rPr>
        <w:t>, which would filter out any objectively justified discrimination</w:t>
      </w:r>
      <w:r>
        <w:rPr>
          <w:rFonts w:ascii="Times New Roman" w:hAnsi="Times New Roman" w:cs="Times New Roman"/>
        </w:rPr>
        <w:t>. Interestingly, as this paper was being written the EU has brought to light a proposed Regulation on Fairness in Platform to Business Relations</w:t>
      </w:r>
      <w:r>
        <w:rPr>
          <w:rStyle w:val="FootnoteReference"/>
          <w:rFonts w:ascii="Times New Roman" w:hAnsi="Times New Roman" w:cs="Times New Roman"/>
        </w:rPr>
        <w:footnoteReference w:id="149"/>
      </w:r>
      <w:r>
        <w:rPr>
          <w:rFonts w:ascii="Times New Roman" w:hAnsi="Times New Roman" w:cs="Times New Roman"/>
        </w:rPr>
        <w:t>, which would require platforms both to provide an explanation for removal or demotion, and to institute a mechanism of alternative dispute resolution.</w:t>
      </w:r>
    </w:p>
    <w:p w14:paraId="18D97DF5" w14:textId="77777777" w:rsidR="002120E3" w:rsidRDefault="002120E3" w:rsidP="002120E3">
      <w:pPr>
        <w:jc w:val="both"/>
        <w:rPr>
          <w:rFonts w:ascii="Times New Roman" w:hAnsi="Times New Roman" w:cs="Times New Roman"/>
        </w:rPr>
      </w:pPr>
    </w:p>
    <w:p w14:paraId="6AC1E9A8" w14:textId="73CD16FB" w:rsidR="002120E3" w:rsidRDefault="002120E3" w:rsidP="002120E3">
      <w:pPr>
        <w:jc w:val="both"/>
        <w:rPr>
          <w:rFonts w:ascii="Times New Roman" w:hAnsi="Times New Roman" w:cs="Times New Roman"/>
        </w:rPr>
      </w:pPr>
      <w:r>
        <w:rPr>
          <w:rFonts w:ascii="Times New Roman" w:hAnsi="Times New Roman" w:cs="Times New Roman"/>
        </w:rPr>
        <w:t>While that proposal is being considered by EU policy-makers, the procedure suggested here provides an additional suggestion building upon the well-established model of notice and takedown, which has served as a useful compromise between platforms and content creators for almost two decades. This model is not without its flaws, though, and for this reason it has been suggested to integrate it with an additional due diligence procedure to test algorithmic changes before they are released to the public. In our proposal, antitrust liability for algorithmic result is limited only for those providers that are compliant with this framework, i.e. (1) are able demonstrate the testing of possible bias in their algorithms; (2) have in place a dedicated procedure to receive notices of discriminatory treatment and respond timely with an explanation; and (3) submit to an independent dispute resolution system to resolve any controversy arising from such notices. It should also be noted that the resources and expertise necessary for adherence to this framework may well be used in other areas, for instance to deal with content removal</w:t>
      </w:r>
      <w:r w:rsidR="00B5313D">
        <w:rPr>
          <w:rFonts w:ascii="Times New Roman" w:hAnsi="Times New Roman" w:cs="Times New Roman"/>
        </w:rPr>
        <w:t xml:space="preserve"> and liability for third party content</w:t>
      </w:r>
      <w:r>
        <w:rPr>
          <w:rFonts w:ascii="Times New Roman" w:hAnsi="Times New Roman" w:cs="Times New Roman"/>
        </w:rPr>
        <w:t>.</w:t>
      </w:r>
    </w:p>
    <w:p w14:paraId="2C2DC114" w14:textId="77777777" w:rsidR="002120E3" w:rsidRDefault="002120E3" w:rsidP="002120E3">
      <w:pPr>
        <w:jc w:val="both"/>
        <w:rPr>
          <w:rFonts w:ascii="Times New Roman" w:hAnsi="Times New Roman" w:cs="Times New Roman"/>
        </w:rPr>
      </w:pPr>
    </w:p>
    <w:p w14:paraId="7254D715" w14:textId="3A166311" w:rsidR="002120E3" w:rsidRDefault="002120E3" w:rsidP="002120E3">
      <w:pPr>
        <w:jc w:val="both"/>
        <w:rPr>
          <w:rFonts w:ascii="Times New Roman" w:hAnsi="Times New Roman" w:cs="Times New Roman"/>
        </w:rPr>
      </w:pPr>
      <w:r>
        <w:rPr>
          <w:rFonts w:ascii="Times New Roman" w:hAnsi="Times New Roman" w:cs="Times New Roman"/>
        </w:rPr>
        <w:t>Accountability for the results of algorithmic agents is one of the key regulatory challenges of the day, and it is here to stay. With that in mind, t</w:t>
      </w:r>
      <w:r w:rsidRPr="009F22D2">
        <w:rPr>
          <w:rFonts w:ascii="Times New Roman" w:hAnsi="Times New Roman" w:cs="Times New Roman"/>
        </w:rPr>
        <w:t>he global antitrust community has a responsibility to clarify the scope of th</w:t>
      </w:r>
      <w:r>
        <w:rPr>
          <w:rFonts w:ascii="Times New Roman" w:hAnsi="Times New Roman" w:cs="Times New Roman"/>
        </w:rPr>
        <w:t>e</w:t>
      </w:r>
      <w:r w:rsidRPr="009F22D2">
        <w:rPr>
          <w:rFonts w:ascii="Times New Roman" w:hAnsi="Times New Roman" w:cs="Times New Roman"/>
        </w:rPr>
        <w:t xml:space="preserve"> nascent antitrust duty to police one’s own algorithm</w:t>
      </w:r>
      <w:r>
        <w:rPr>
          <w:rFonts w:ascii="Times New Roman" w:hAnsi="Times New Roman" w:cs="Times New Roman"/>
        </w:rPr>
        <w:t xml:space="preserve">. This exercise should aim at ensuring </w:t>
      </w:r>
      <w:r w:rsidRPr="009F22D2">
        <w:rPr>
          <w:rFonts w:ascii="Times New Roman" w:hAnsi="Times New Roman" w:cs="Times New Roman"/>
        </w:rPr>
        <w:t xml:space="preserve">a sufficient protection against </w:t>
      </w:r>
      <w:r>
        <w:rPr>
          <w:rFonts w:ascii="Times New Roman" w:hAnsi="Times New Roman" w:cs="Times New Roman"/>
        </w:rPr>
        <w:t xml:space="preserve">unfair </w:t>
      </w:r>
      <w:r w:rsidRPr="009F22D2">
        <w:rPr>
          <w:rFonts w:ascii="Times New Roman" w:hAnsi="Times New Roman" w:cs="Times New Roman"/>
        </w:rPr>
        <w:t>manipulation</w:t>
      </w:r>
      <w:r>
        <w:rPr>
          <w:rFonts w:ascii="Times New Roman" w:hAnsi="Times New Roman" w:cs="Times New Roman"/>
        </w:rPr>
        <w:t xml:space="preserve"> </w:t>
      </w:r>
      <w:r w:rsidRPr="009F22D2">
        <w:rPr>
          <w:rFonts w:ascii="Times New Roman" w:hAnsi="Times New Roman" w:cs="Times New Roman"/>
        </w:rPr>
        <w:t>without undermining the incentives to invest and innova</w:t>
      </w:r>
      <w:r w:rsidR="00B5313D">
        <w:rPr>
          <w:rFonts w:ascii="Times New Roman" w:hAnsi="Times New Roman" w:cs="Times New Roman"/>
        </w:rPr>
        <w:t>te in algorithmic technologies. A</w:t>
      </w:r>
      <w:r>
        <w:rPr>
          <w:rFonts w:ascii="Times New Roman" w:hAnsi="Times New Roman" w:cs="Times New Roman"/>
        </w:rPr>
        <w:t xml:space="preserve"> carefully designed safe harbor is the best way </w:t>
      </w:r>
      <w:r w:rsidR="00B5313D">
        <w:rPr>
          <w:rFonts w:ascii="Times New Roman" w:hAnsi="Times New Roman" w:cs="Times New Roman"/>
        </w:rPr>
        <w:t>to achieve</w:t>
      </w:r>
      <w:r>
        <w:rPr>
          <w:rFonts w:ascii="Times New Roman" w:hAnsi="Times New Roman" w:cs="Times New Roman"/>
        </w:rPr>
        <w:t xml:space="preserve"> that balance. </w:t>
      </w:r>
    </w:p>
    <w:p w14:paraId="3BCC3106" w14:textId="77777777" w:rsidR="002120E3" w:rsidRDefault="002120E3" w:rsidP="002120E3">
      <w:pPr>
        <w:jc w:val="both"/>
        <w:rPr>
          <w:rFonts w:ascii="Times New Roman" w:hAnsi="Times New Roman" w:cs="Times New Roman"/>
        </w:rPr>
      </w:pPr>
    </w:p>
    <w:p w14:paraId="23817857" w14:textId="77777777" w:rsidR="002120E3" w:rsidRPr="00612CBC" w:rsidRDefault="002120E3" w:rsidP="002120E3">
      <w:pPr>
        <w:jc w:val="both"/>
        <w:rPr>
          <w:rFonts w:ascii="Times New Roman" w:hAnsi="Times New Roman" w:cs="Times New Roman"/>
        </w:rPr>
      </w:pPr>
    </w:p>
    <w:p w14:paraId="38F26E2F" w14:textId="77777777" w:rsidR="002120E3" w:rsidRPr="00612CBC" w:rsidRDefault="002120E3" w:rsidP="002120E3">
      <w:pPr>
        <w:jc w:val="both"/>
        <w:rPr>
          <w:rFonts w:ascii="Times New Roman" w:hAnsi="Times New Roman" w:cs="Times New Roman"/>
        </w:rPr>
      </w:pPr>
    </w:p>
    <w:p w14:paraId="4779CCFA" w14:textId="77777777" w:rsidR="002120E3" w:rsidRPr="00612CBC" w:rsidRDefault="002120E3" w:rsidP="002120E3">
      <w:pPr>
        <w:jc w:val="both"/>
        <w:rPr>
          <w:rFonts w:ascii="Times New Roman" w:hAnsi="Times New Roman" w:cs="Times New Roman"/>
          <w:i/>
          <w:u w:val="single"/>
        </w:rPr>
      </w:pPr>
    </w:p>
    <w:p w14:paraId="26B96CBC" w14:textId="77777777" w:rsidR="00242972" w:rsidRDefault="00242972" w:rsidP="002120E3">
      <w:pPr>
        <w:pStyle w:val="Heading1"/>
        <w:tabs>
          <w:tab w:val="left" w:pos="6570"/>
        </w:tabs>
      </w:pPr>
    </w:p>
    <w:sectPr w:rsidR="00242972" w:rsidSect="00242972">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8CC50" w14:textId="77777777" w:rsidR="00DF3BC0" w:rsidRDefault="00DF3BC0" w:rsidP="002120E3">
      <w:r>
        <w:separator/>
      </w:r>
    </w:p>
  </w:endnote>
  <w:endnote w:type="continuationSeparator" w:id="0">
    <w:p w14:paraId="61D0A549" w14:textId="77777777" w:rsidR="00DF3BC0" w:rsidRDefault="00DF3BC0" w:rsidP="0021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D40F0" w14:textId="77777777" w:rsidR="00DF3BC0" w:rsidRDefault="00DF3BC0" w:rsidP="002120E3">
      <w:r>
        <w:separator/>
      </w:r>
    </w:p>
  </w:footnote>
  <w:footnote w:type="continuationSeparator" w:id="0">
    <w:p w14:paraId="7347B31A" w14:textId="77777777" w:rsidR="00DF3BC0" w:rsidRDefault="00DF3BC0" w:rsidP="002120E3">
      <w:r>
        <w:continuationSeparator/>
      </w:r>
    </w:p>
  </w:footnote>
  <w:footnote w:id="1">
    <w:p w14:paraId="79954920" w14:textId="6DFB0F9F" w:rsidR="00DF3BC0" w:rsidRPr="006F1E60" w:rsidRDefault="00DF3BC0" w:rsidP="00A06D5A">
      <w:pPr>
        <w:pStyle w:val="FootnoteText"/>
        <w:jc w:val="both"/>
        <w:rPr>
          <w:rFonts w:ascii="Times New Roman" w:hAnsi="Times New Roman" w:cs="Times New Roman"/>
          <w:sz w:val="20"/>
          <w:szCs w:val="20"/>
        </w:rPr>
      </w:pPr>
      <w:bookmarkStart w:id="3" w:name="_GoBack"/>
      <w:r w:rsidRPr="006F1E60">
        <w:rPr>
          <w:rFonts w:ascii="Times New Roman" w:hAnsi="Times New Roman" w:cs="Times New Roman"/>
          <w:sz w:val="20"/>
          <w:szCs w:val="20"/>
        </w:rPr>
        <w:t>* Lecturer in Competition and Information Law, Sussex Law School. Comments welcome at n.zingales@sussex.ac.uk</w:t>
      </w:r>
      <w:r>
        <w:rPr>
          <w:rFonts w:ascii="Times New Roman" w:hAnsi="Times New Roman" w:cs="Times New Roman"/>
          <w:sz w:val="20"/>
          <w:szCs w:val="20"/>
        </w:rPr>
        <w:t>.</w:t>
      </w:r>
    </w:p>
    <w:p w14:paraId="6F235027"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e.g. Frank Easterbrook, Monopolization: Past, Present and Future’, 61 Antitrust Law Journal 99 (1992); Herbert Hovenkamp, ‘The Monopolization Offense’, 61 Ohio State Law Journal 1035 (2000); Ronald A. Cass and Keith N. Hylton, ‘ Antitrust Intent’, 74 Southern California Law Review (2001), 657; Marina Lao, ‘Reclaiming a Role for Intent Evidence in Monopolization Analysis’, 54 American University Law Review (2004) 151; Geoffrey A. Manne and E. Marcellus Williamson, ‘Hot Docs vs. Cold Economics: The Use and Misuse of Business Documents in Antitrust Enforcement and Adjudication’, 47 Arizona Law Review 609 (2005); Antonio Bavasso, ‘The Role of Intent under Article 82 EC: From “Flushing the Turkeys” to “Spotting Lionesses in Regent Park”, European Competition Law Review  616 (2005); Maria João Melicias, ‘The Use and Abuse of Intent Evidence in Antirust Analysis’, 33 World Competition 569 (2010); Maurice E. Stucke, ‘Is Intent Relevant?’ Journal of Law, Economics and Policy 801 (2012); Colm O’Grady, ‘The Role of Exclusionary Intent in the Enforcement of Article 102 TFEU’. World Competition 37, no. 4 (2014): 459–486; Pınar Akman, ‘The Role of Intent in the EU Case Law on Abuse of Dominance’, 39 European Law Review 316 (2014); Pinar Akman, ‘The tests of illegality under Articles 101 and 102’, 61 (1) The Antitrust Bulletin (2016), 84-104. Pier Luigi Parcu and Maria Luisa Stasi, ‘The role of intent in the assessment of conduct under Article 102 TFEU’, in Pier Luigi Parcu, Giorgio Monti and Marco Botta (eds.), </w:t>
      </w:r>
      <w:r w:rsidRPr="006F1E60">
        <w:rPr>
          <w:rFonts w:ascii="Times New Roman" w:hAnsi="Times New Roman" w:cs="Times New Roman"/>
          <w:i/>
          <w:sz w:val="20"/>
          <w:szCs w:val="20"/>
        </w:rPr>
        <w:t>Abuse of Dominance in EU Competition Law</w:t>
      </w:r>
      <w:r w:rsidRPr="006F1E60">
        <w:rPr>
          <w:rFonts w:ascii="Times New Roman" w:hAnsi="Times New Roman" w:cs="Times New Roman"/>
          <w:sz w:val="20"/>
          <w:szCs w:val="20"/>
        </w:rPr>
        <w:t xml:space="preserve"> (Edward Elgar, 2017).</w:t>
      </w:r>
    </w:p>
  </w:footnote>
  <w:footnote w:id="2">
    <w:p w14:paraId="38C6C801"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e.g. Stucke, supra n. 1, 852.</w:t>
      </w:r>
    </w:p>
  </w:footnote>
  <w:footnote w:id="3">
    <w:p w14:paraId="3CF38E21"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e.g. Lao, supra n. </w:t>
      </w:r>
      <w:r w:rsidRPr="006F1E60">
        <w:rPr>
          <w:rFonts w:ascii="Times New Roman" w:hAnsi="Times New Roman" w:cs="Times New Roman"/>
          <w:sz w:val="20"/>
          <w:szCs w:val="20"/>
        </w:rPr>
        <w:fldChar w:fldCharType="begin"/>
      </w:r>
      <w:r w:rsidRPr="006F1E60">
        <w:rPr>
          <w:rFonts w:ascii="Times New Roman" w:hAnsi="Times New Roman" w:cs="Times New Roman"/>
          <w:sz w:val="20"/>
          <w:szCs w:val="20"/>
        </w:rPr>
        <w:instrText xml:space="preserve"> NOTEREF _Ref389682656 \h </w:instrText>
      </w:r>
      <w:r w:rsidRPr="006F1E60">
        <w:rPr>
          <w:rFonts w:ascii="Times New Roman" w:hAnsi="Times New Roman" w:cs="Times New Roman"/>
          <w:sz w:val="20"/>
          <w:szCs w:val="20"/>
        </w:rPr>
      </w:r>
      <w:r w:rsidRPr="006F1E60">
        <w:rPr>
          <w:rFonts w:ascii="Times New Roman" w:hAnsi="Times New Roman" w:cs="Times New Roman"/>
          <w:sz w:val="20"/>
          <w:szCs w:val="20"/>
        </w:rPr>
        <w:fldChar w:fldCharType="separate"/>
      </w:r>
      <w:r w:rsidR="00BC68CA">
        <w:rPr>
          <w:rFonts w:ascii="Times New Roman" w:hAnsi="Times New Roman" w:cs="Times New Roman"/>
          <w:sz w:val="20"/>
          <w:szCs w:val="20"/>
        </w:rPr>
        <w:t>1</w:t>
      </w:r>
      <w:r w:rsidRPr="006F1E60">
        <w:rPr>
          <w:rFonts w:ascii="Times New Roman" w:hAnsi="Times New Roman" w:cs="Times New Roman"/>
          <w:sz w:val="20"/>
          <w:szCs w:val="20"/>
        </w:rPr>
        <w:fldChar w:fldCharType="end"/>
      </w:r>
      <w:r w:rsidRPr="006F1E60">
        <w:rPr>
          <w:rFonts w:ascii="Times New Roman" w:hAnsi="Times New Roman" w:cs="Times New Roman"/>
          <w:sz w:val="20"/>
          <w:szCs w:val="20"/>
        </w:rPr>
        <w:t xml:space="preserve">, 156. </w:t>
      </w:r>
    </w:p>
  </w:footnote>
  <w:footnote w:id="4">
    <w:p w14:paraId="66A05191"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The extent to which this insight is applicable in the EU, which presents a different legal provision and a different enforcement model, appears to be rather underexplored. While this paper is not aimed to address this question, the implications of the conclusions reached here about the proper use of intent in article 102 cases may be taken as useful departure point for that discussion. </w:t>
      </w:r>
    </w:p>
  </w:footnote>
  <w:footnote w:id="5">
    <w:p w14:paraId="2F660FC1" w14:textId="6DA4FFED"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Putting it in Richard Posner’s words: “it is the essence of the competitive process that all firms, including dominant ones, seek to prevail over their competitors on – and force them off – the market”. See</w:t>
      </w:r>
      <w:r w:rsidRPr="006F1E60">
        <w:rPr>
          <w:rFonts w:ascii="Times New Roman" w:hAnsi="Times New Roman" w:cs="Times New Roman"/>
          <w:i/>
          <w:sz w:val="20"/>
          <w:szCs w:val="20"/>
        </w:rPr>
        <w:t xml:space="preserve"> Olympia Equip. Leasing Co. v. Western Union Tel. Co</w:t>
      </w:r>
      <w:r w:rsidRPr="006F1E60">
        <w:rPr>
          <w:rFonts w:ascii="Times New Roman" w:hAnsi="Times New Roman" w:cs="Times New Roman"/>
          <w:sz w:val="20"/>
          <w:szCs w:val="20"/>
        </w:rPr>
        <w:t>., 797 F.2d 370, 373 (7th Cir. 1986)</w:t>
      </w:r>
      <w:r>
        <w:rPr>
          <w:rFonts w:ascii="Times New Roman" w:hAnsi="Times New Roman" w:cs="Times New Roman"/>
          <w:sz w:val="20"/>
          <w:szCs w:val="20"/>
        </w:rPr>
        <w:t>.</w:t>
      </w:r>
    </w:p>
  </w:footnote>
  <w:footnote w:id="6">
    <w:p w14:paraId="79771E0D" w14:textId="340699EA"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Using Posner’s words once again: “In most situations eliminatory intent, notably, when inferred from documentary evidence, may lead to legal errors for its arbitrariness, that is, because it may be over-inclusive, since it may be too easy to find. Depending on the degree of legal sophistication of the concerned undertakings it may also be under-inclusive, since it can be too easy to hide”. Richard Posner, </w:t>
      </w:r>
      <w:r w:rsidRPr="006F1E60">
        <w:rPr>
          <w:rFonts w:ascii="Times New Roman" w:hAnsi="Times New Roman" w:cs="Times New Roman"/>
          <w:i/>
          <w:sz w:val="20"/>
          <w:szCs w:val="20"/>
        </w:rPr>
        <w:t>Antitrust Law</w:t>
      </w:r>
      <w:r w:rsidRPr="006F1E60">
        <w:rPr>
          <w:rFonts w:ascii="Times New Roman" w:hAnsi="Times New Roman" w:cs="Times New Roman"/>
          <w:sz w:val="20"/>
          <w:szCs w:val="20"/>
        </w:rPr>
        <w:t>, 201</w:t>
      </w:r>
      <w:r>
        <w:rPr>
          <w:rFonts w:ascii="Times New Roman" w:hAnsi="Times New Roman" w:cs="Times New Roman"/>
          <w:sz w:val="20"/>
          <w:szCs w:val="20"/>
        </w:rPr>
        <w:t>4 (Chicago Press</w:t>
      </w:r>
      <w:r w:rsidRPr="006F1E60">
        <w:rPr>
          <w:rFonts w:ascii="Times New Roman" w:hAnsi="Times New Roman" w:cs="Times New Roman"/>
          <w:sz w:val="20"/>
          <w:szCs w:val="20"/>
        </w:rPr>
        <w:t xml:space="preserve"> 2001). </w:t>
      </w:r>
    </w:p>
  </w:footnote>
  <w:footnote w:id="7">
    <w:p w14:paraId="69C8C8BD"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Say, for instance, finding relevant a clear intent to engage in predatory pricing to undercut competitor A when the predator is unaware of the existence of a more efficient competitor B, who will outlive predation and gain market share to the expense of both the predator and competitor A. Or a selective price cut directed at the wrong target.</w:t>
      </w:r>
    </w:p>
  </w:footnote>
  <w:footnote w:id="8">
    <w:p w14:paraId="56C9E9C7"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This can be contrasted with the legal framework under US law, where conduct can fall foul of antitrust roles even in inchoate form (as conspiracy or attempt to monopolize).</w:t>
      </w:r>
    </w:p>
  </w:footnote>
  <w:footnote w:id="9">
    <w:p w14:paraId="1B1A5F72"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Case 85/76 </w:t>
      </w:r>
      <w:r w:rsidRPr="006F1E60">
        <w:rPr>
          <w:rFonts w:ascii="Times New Roman" w:hAnsi="Times New Roman" w:cs="Times New Roman"/>
          <w:i/>
          <w:sz w:val="20"/>
          <w:szCs w:val="20"/>
        </w:rPr>
        <w:t>Hoffmann-La Roche &amp; Co AG v. EC Commission</w:t>
      </w:r>
      <w:r w:rsidRPr="006F1E60">
        <w:rPr>
          <w:rFonts w:ascii="Times New Roman" w:hAnsi="Times New Roman" w:cs="Times New Roman"/>
          <w:sz w:val="20"/>
          <w:szCs w:val="20"/>
        </w:rPr>
        <w:t>, ECR 461(1979), para. 91 (emphasis added).</w:t>
      </w:r>
    </w:p>
  </w:footnote>
  <w:footnote w:id="10">
    <w:p w14:paraId="5DCC5E52"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This is generally the case for competition law; however, the broader reference is one of an analogy between ourselves and others on the basis of experience, which has been called “homo psychologicus”. See Jeoren Blomsma, </w:t>
      </w:r>
      <w:r w:rsidRPr="006F1E60">
        <w:rPr>
          <w:rFonts w:ascii="Times New Roman" w:hAnsi="Times New Roman" w:cs="Times New Roman"/>
          <w:i/>
          <w:sz w:val="20"/>
          <w:szCs w:val="20"/>
        </w:rPr>
        <w:t>Mens rea and defences in criminal law</w:t>
      </w:r>
      <w:r w:rsidRPr="006F1E60">
        <w:rPr>
          <w:rFonts w:ascii="Times New Roman" w:hAnsi="Times New Roman" w:cs="Times New Roman"/>
          <w:sz w:val="20"/>
          <w:szCs w:val="20"/>
        </w:rPr>
        <w:t xml:space="preserve"> (Intersentia 2012), 57.</w:t>
      </w:r>
    </w:p>
  </w:footnote>
  <w:footnote w:id="11">
    <w:p w14:paraId="044B5BB1" w14:textId="5F7E1A92"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in this regard Unilateral Conduct Working Group, ‘Objectives and Principles of Unilateral Conduct Laws’, International Competition Network (2012), at http://www.internationalcompetitionnetwork</w:t>
      </w:r>
      <w:r>
        <w:rPr>
          <w:rFonts w:ascii="Times New Roman" w:hAnsi="Times New Roman" w:cs="Times New Roman"/>
          <w:sz w:val="20"/>
          <w:szCs w:val="20"/>
        </w:rPr>
        <w:t>.org/uploads/library/doc827.pdf</w:t>
      </w:r>
      <w:r w:rsidRPr="006F1E60">
        <w:rPr>
          <w:rFonts w:ascii="Times New Roman" w:hAnsi="Times New Roman" w:cs="Times New Roman"/>
          <w:sz w:val="20"/>
          <w:szCs w:val="20"/>
        </w:rPr>
        <w:t xml:space="preserve">; see also Erik Osterud, </w:t>
      </w:r>
      <w:r w:rsidRPr="006F1E60">
        <w:rPr>
          <w:rFonts w:ascii="Times New Roman" w:hAnsi="Times New Roman" w:cs="Times New Roman"/>
          <w:i/>
          <w:sz w:val="20"/>
          <w:szCs w:val="20"/>
        </w:rPr>
        <w:t xml:space="preserve">Identifying Exclusionary Abuses by Dominant Undertakings under EU Competition Law: the Spectrum of Tests </w:t>
      </w:r>
      <w:r>
        <w:rPr>
          <w:rFonts w:ascii="Times New Roman" w:hAnsi="Times New Roman" w:cs="Times New Roman"/>
          <w:sz w:val="20"/>
          <w:szCs w:val="20"/>
        </w:rPr>
        <w:t>(Kluwer Law</w:t>
      </w:r>
      <w:r w:rsidRPr="006F1E60">
        <w:rPr>
          <w:rFonts w:ascii="Times New Roman" w:hAnsi="Times New Roman" w:cs="Times New Roman"/>
          <w:sz w:val="20"/>
          <w:szCs w:val="20"/>
        </w:rPr>
        <w:t xml:space="preserve"> 2010). </w:t>
      </w:r>
    </w:p>
  </w:footnote>
  <w:footnote w:id="12">
    <w:p w14:paraId="5A0937FE"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R v Woollin</w:t>
      </w:r>
      <w:r w:rsidRPr="006F1E60">
        <w:rPr>
          <w:rFonts w:ascii="Times New Roman" w:hAnsi="Times New Roman" w:cs="Times New Roman"/>
          <w:sz w:val="20"/>
          <w:szCs w:val="20"/>
        </w:rPr>
        <w:t xml:space="preserve"> [1999] 1 A.C. 82; [1998] 3 W.L.R. 382; [1998] 4 All E.R. 103</w:t>
      </w:r>
    </w:p>
  </w:footnote>
  <w:footnote w:id="13">
    <w:p w14:paraId="2EB5E8EF" w14:textId="184EBD65"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in this sense the work of Anthony Duff, summarized by John Gardner and Heike Jung, ‘Making Sense of </w:t>
      </w:r>
      <w:r w:rsidRPr="006F1E60">
        <w:rPr>
          <w:rFonts w:ascii="Times New Roman" w:hAnsi="Times New Roman" w:cs="Times New Roman"/>
          <w:i/>
          <w:sz w:val="20"/>
          <w:szCs w:val="20"/>
        </w:rPr>
        <w:t>Mens Rea</w:t>
      </w:r>
      <w:r>
        <w:rPr>
          <w:rFonts w:ascii="Times New Roman" w:hAnsi="Times New Roman" w:cs="Times New Roman"/>
          <w:sz w:val="20"/>
          <w:szCs w:val="20"/>
        </w:rPr>
        <w:t>: Antony Duff’s Account”</w:t>
      </w:r>
      <w:r w:rsidRPr="006F1E60">
        <w:rPr>
          <w:rFonts w:ascii="Times New Roman" w:hAnsi="Times New Roman" w:cs="Times New Roman"/>
          <w:sz w:val="20"/>
          <w:szCs w:val="20"/>
        </w:rPr>
        <w:t xml:space="preserve"> 11 (4) Oxford Journal of Legal Studies (1991) 559-588.</w:t>
      </w:r>
    </w:p>
  </w:footnote>
  <w:footnote w:id="14">
    <w:p w14:paraId="4675F211" w14:textId="6F49A244" w:rsidR="00DF3BC0" w:rsidRPr="00DB2E5A" w:rsidRDefault="00DF3BC0" w:rsidP="00A06D5A">
      <w:pPr>
        <w:jc w:val="both"/>
        <w:rPr>
          <w:rFonts w:ascii="Times New Roman" w:hAnsi="Times New Roman" w:cs="Times New Roman"/>
          <w:i/>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Despite the characterization of negligence as a type of liability, for instance, the German system sees it as a type of intent, although with an objective element (</w:t>
      </w:r>
      <w:r w:rsidRPr="00792878">
        <w:rPr>
          <w:rFonts w:ascii="Times New Roman" w:hAnsi="Times New Roman" w:cs="Times New Roman"/>
          <w:i/>
          <w:sz w:val="20"/>
          <w:szCs w:val="20"/>
        </w:rPr>
        <w:t>Tatbestandt</w:t>
      </w:r>
      <w:r w:rsidRPr="006F1E60">
        <w:rPr>
          <w:rFonts w:ascii="Times New Roman" w:hAnsi="Times New Roman" w:cs="Times New Roman"/>
          <w:sz w:val="20"/>
          <w:szCs w:val="20"/>
        </w:rPr>
        <w:t xml:space="preserve">). See Michael Bohlander, </w:t>
      </w:r>
      <w:r w:rsidRPr="006F1E60">
        <w:rPr>
          <w:rFonts w:ascii="Times New Roman" w:hAnsi="Times New Roman" w:cs="Times New Roman"/>
          <w:i/>
          <w:sz w:val="20"/>
          <w:szCs w:val="20"/>
        </w:rPr>
        <w:t xml:space="preserve">Principles of German Criminal Law </w:t>
      </w:r>
      <w:r>
        <w:rPr>
          <w:rFonts w:ascii="Times New Roman" w:hAnsi="Times New Roman" w:cs="Times New Roman"/>
          <w:sz w:val="20"/>
          <w:szCs w:val="20"/>
        </w:rPr>
        <w:t>(Hart Publishing</w:t>
      </w:r>
      <w:r w:rsidRPr="006F1E60">
        <w:rPr>
          <w:rFonts w:ascii="Times New Roman" w:hAnsi="Times New Roman" w:cs="Times New Roman"/>
          <w:sz w:val="20"/>
          <w:szCs w:val="20"/>
        </w:rPr>
        <w:t xml:space="preserve"> 2008), pp. 59-60.</w:t>
      </w:r>
    </w:p>
  </w:footnote>
  <w:footnote w:id="15">
    <w:p w14:paraId="35D45782"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Hoffman La Roche</w:t>
      </w:r>
      <w:r w:rsidRPr="006F1E60">
        <w:rPr>
          <w:rFonts w:ascii="Times New Roman" w:hAnsi="Times New Roman" w:cs="Times New Roman"/>
          <w:sz w:val="20"/>
          <w:szCs w:val="20"/>
        </w:rPr>
        <w:t xml:space="preserve">, supra note </w:t>
      </w:r>
      <w:r w:rsidRPr="006F1E60">
        <w:rPr>
          <w:rFonts w:ascii="Times New Roman" w:hAnsi="Times New Roman" w:cs="Times New Roman"/>
          <w:sz w:val="20"/>
          <w:szCs w:val="20"/>
        </w:rPr>
        <w:fldChar w:fldCharType="begin"/>
      </w:r>
      <w:r w:rsidRPr="006F1E60">
        <w:rPr>
          <w:rFonts w:ascii="Times New Roman" w:hAnsi="Times New Roman" w:cs="Times New Roman"/>
          <w:sz w:val="20"/>
          <w:szCs w:val="20"/>
        </w:rPr>
        <w:instrText xml:space="preserve"> NOTEREF _Ref382917638 </w:instrText>
      </w:r>
      <w:r w:rsidRPr="006F1E60">
        <w:rPr>
          <w:rFonts w:ascii="Times New Roman" w:hAnsi="Times New Roman" w:cs="Times New Roman"/>
          <w:sz w:val="20"/>
          <w:szCs w:val="20"/>
        </w:rPr>
        <w:fldChar w:fldCharType="separate"/>
      </w:r>
      <w:r w:rsidR="00BC68CA">
        <w:rPr>
          <w:rFonts w:ascii="Times New Roman" w:hAnsi="Times New Roman" w:cs="Times New Roman"/>
          <w:sz w:val="20"/>
          <w:szCs w:val="20"/>
        </w:rPr>
        <w:t>9</w:t>
      </w:r>
      <w:r w:rsidRPr="006F1E60">
        <w:rPr>
          <w:rFonts w:ascii="Times New Roman" w:hAnsi="Times New Roman" w:cs="Times New Roman"/>
          <w:sz w:val="20"/>
          <w:szCs w:val="20"/>
        </w:rPr>
        <w:fldChar w:fldCharType="end"/>
      </w:r>
      <w:r w:rsidRPr="006F1E60">
        <w:rPr>
          <w:rFonts w:ascii="Times New Roman" w:hAnsi="Times New Roman" w:cs="Times New Roman"/>
          <w:sz w:val="20"/>
          <w:szCs w:val="20"/>
        </w:rPr>
        <w:t xml:space="preserve">, para. 91 </w:t>
      </w:r>
    </w:p>
  </w:footnote>
  <w:footnote w:id="16">
    <w:p w14:paraId="2E2DEE32"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Id., para. 90.</w:t>
      </w:r>
    </w:p>
  </w:footnote>
  <w:footnote w:id="17">
    <w:p w14:paraId="3317B115" w14:textId="7B57C3CB"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Id., para. 91 </w:t>
      </w:r>
      <w:r w:rsidRPr="006F1E60">
        <w:rPr>
          <w:rFonts w:ascii="Times New Roman" w:hAnsi="Times New Roman" w:cs="Times New Roman"/>
          <w:sz w:val="20"/>
          <w:szCs w:val="20"/>
        </w:rPr>
        <w:t>(emphasis added).</w:t>
      </w:r>
    </w:p>
  </w:footnote>
  <w:footnote w:id="18">
    <w:p w14:paraId="2EF13FF5"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A close reading of paragraph 91 seems to suggest that the free will of consumers in a particular transaction could be trumped by the ability of the dominant firm to influence the structure of the market in a way that constrains consumers more generally. </w:t>
      </w:r>
    </w:p>
  </w:footnote>
  <w:footnote w:id="19">
    <w:p w14:paraId="782F5EDC"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Or, as illustrated in </w:t>
      </w:r>
      <w:r w:rsidRPr="006F1E60">
        <w:rPr>
          <w:rFonts w:ascii="Times New Roman" w:hAnsi="Times New Roman" w:cs="Times New Roman"/>
          <w:i/>
          <w:sz w:val="20"/>
          <w:szCs w:val="20"/>
        </w:rPr>
        <w:t>France Telecom</w:t>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infra</w:t>
      </w:r>
      <w:r w:rsidRPr="006F1E60">
        <w:rPr>
          <w:rFonts w:ascii="Times New Roman" w:hAnsi="Times New Roman" w:cs="Times New Roman"/>
          <w:sz w:val="20"/>
          <w:szCs w:val="20"/>
        </w:rPr>
        <w:t xml:space="preserve">, section 2.2.), of factors that are inherently subjective. </w:t>
      </w:r>
    </w:p>
  </w:footnote>
  <w:footnote w:id="20">
    <w:p w14:paraId="4C571B5A"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Case 6-72, </w:t>
      </w:r>
      <w:r w:rsidRPr="006F1E60">
        <w:rPr>
          <w:rFonts w:ascii="Times New Roman" w:hAnsi="Times New Roman" w:cs="Times New Roman"/>
          <w:i/>
          <w:sz w:val="20"/>
          <w:szCs w:val="20"/>
        </w:rPr>
        <w:t>Europemballage Corporation and Continental Can Company Inc. v Commission of the European Communities</w:t>
      </w:r>
      <w:r w:rsidRPr="006F1E60">
        <w:rPr>
          <w:rFonts w:ascii="Times New Roman" w:hAnsi="Times New Roman" w:cs="Times New Roman"/>
          <w:sz w:val="20"/>
          <w:szCs w:val="20"/>
        </w:rPr>
        <w:t>, ECLI:EU:C:1973:22.</w:t>
      </w:r>
    </w:p>
  </w:footnote>
  <w:footnote w:id="21">
    <w:p w14:paraId="44C1283B" w14:textId="7C827C02"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eastAsia="Times New Roman" w:hAnsi="Times New Roman" w:cs="Times New Roman"/>
          <w:i/>
          <w:iCs/>
          <w:sz w:val="20"/>
          <w:szCs w:val="20"/>
        </w:rPr>
        <w:t xml:space="preserve">A. Menarini Diagnostics S.R.L. v. Italy, no. 43509/08, 27 September 2011, </w:t>
      </w:r>
      <w:r w:rsidRPr="006F1E60">
        <w:rPr>
          <w:rFonts w:ascii="Times New Roman" w:eastAsia="Times New Roman" w:hAnsi="Times New Roman" w:cs="Times New Roman"/>
          <w:iCs/>
          <w:sz w:val="20"/>
          <w:szCs w:val="20"/>
        </w:rPr>
        <w:t>para. 42</w:t>
      </w:r>
      <w:r>
        <w:rPr>
          <w:rFonts w:ascii="Times New Roman" w:eastAsia="Times New Roman" w:hAnsi="Times New Roman" w:cs="Times New Roman"/>
          <w:iCs/>
          <w:sz w:val="20"/>
          <w:szCs w:val="20"/>
        </w:rPr>
        <w:t>.</w:t>
      </w:r>
    </w:p>
  </w:footnote>
  <w:footnote w:id="22">
    <w:p w14:paraId="413145C9" w14:textId="77777777" w:rsidR="00DF3BC0" w:rsidRPr="006F1E60" w:rsidRDefault="00DF3BC0" w:rsidP="00A06D5A">
      <w:pPr>
        <w:jc w:val="both"/>
        <w:rPr>
          <w:rFonts w:ascii="Times New Roman" w:eastAsia="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eastAsia="Times New Roman" w:hAnsi="Times New Roman" w:cs="Times New Roman"/>
          <w:sz w:val="20"/>
          <w:szCs w:val="20"/>
          <w:shd w:val="clear" w:color="auto" w:fill="FFFFFF"/>
        </w:rPr>
        <w:t>Joined Cases C-189/02 P, C-202/02 P, C-205/02 P to C-208/02 P and C-213/02 P </w:t>
      </w:r>
      <w:r w:rsidRPr="006F1E60">
        <w:rPr>
          <w:rFonts w:ascii="Times New Roman" w:eastAsia="Times New Roman" w:hAnsi="Times New Roman" w:cs="Times New Roman"/>
          <w:i/>
          <w:iCs/>
          <w:sz w:val="20"/>
          <w:szCs w:val="20"/>
          <w:shd w:val="clear" w:color="auto" w:fill="FFFFFF"/>
        </w:rPr>
        <w:t>Dansk Rørindustri and Others </w:t>
      </w:r>
      <w:r w:rsidRPr="006F1E60">
        <w:rPr>
          <w:rFonts w:ascii="Times New Roman" w:eastAsia="Times New Roman" w:hAnsi="Times New Roman" w:cs="Times New Roman"/>
          <w:sz w:val="20"/>
          <w:szCs w:val="20"/>
          <w:shd w:val="clear" w:color="auto" w:fill="FFFFFF"/>
        </w:rPr>
        <w:t>v </w:t>
      </w:r>
      <w:r w:rsidRPr="006F1E60">
        <w:rPr>
          <w:rFonts w:ascii="Times New Roman" w:eastAsia="Times New Roman" w:hAnsi="Times New Roman" w:cs="Times New Roman"/>
          <w:i/>
          <w:iCs/>
          <w:sz w:val="20"/>
          <w:szCs w:val="20"/>
          <w:shd w:val="clear" w:color="auto" w:fill="FFFFFF"/>
        </w:rPr>
        <w:t>Commission</w:t>
      </w:r>
      <w:r w:rsidRPr="006F1E60">
        <w:rPr>
          <w:rFonts w:ascii="Times New Roman" w:eastAsia="Times New Roman" w:hAnsi="Times New Roman" w:cs="Times New Roman"/>
          <w:sz w:val="20"/>
          <w:szCs w:val="20"/>
          <w:shd w:val="clear" w:color="auto" w:fill="FFFFFF"/>
        </w:rPr>
        <w:t> [2005] ECR I</w:t>
      </w:r>
      <w:r w:rsidRPr="006F1E60">
        <w:rPr>
          <w:rFonts w:ascii="Times New Roman" w:eastAsia="Times New Roman" w:hAnsi="Times New Roman" w:cs="Times New Roman"/>
          <w:sz w:val="20"/>
          <w:szCs w:val="20"/>
          <w:shd w:val="clear" w:color="auto" w:fill="FFFFFF"/>
        </w:rPr>
        <w:noBreakHyphen/>
        <w:t>5425, paras. 215-223.</w:t>
      </w:r>
      <w:r w:rsidRPr="006F1E60">
        <w:rPr>
          <w:rFonts w:ascii="Times New Roman" w:eastAsia="Times New Roman" w:hAnsi="Times New Roman" w:cs="Times New Roman"/>
          <w:color w:val="333333"/>
          <w:sz w:val="20"/>
          <w:szCs w:val="20"/>
          <w:shd w:val="clear" w:color="auto" w:fill="FFFFFF"/>
        </w:rPr>
        <w:t xml:space="preserve"> </w:t>
      </w:r>
    </w:p>
  </w:footnote>
  <w:footnote w:id="23">
    <w:p w14:paraId="1A4F0E82"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According to the Oxford dictionary, “recourse to” refers to the “the use of someone or something as a source of help in a difficult situation”. The version in the original language (German) uses “durche die Verwendung”, which can be translated with the less purposive phrasing of “through the utilization”, or simply “by using”. Whatever version is to be preferred, the concept appears to indicate a preordinate act to utilize certain methods of competition, not so much in the sense that it forms part of a competitive strategy but rather meaning that it was not carried out under duress or by mistake, while intending to do something else.  </w:t>
      </w:r>
    </w:p>
  </w:footnote>
  <w:footnote w:id="24">
    <w:p w14:paraId="65EC4693" w14:textId="084E5D58"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Cristina de Maglie, ‘Models of Corporate Crimina</w:t>
      </w:r>
      <w:r>
        <w:rPr>
          <w:rFonts w:ascii="Times New Roman" w:hAnsi="Times New Roman" w:cs="Times New Roman"/>
          <w:sz w:val="20"/>
          <w:szCs w:val="20"/>
        </w:rPr>
        <w:t>l Liability in Comparative Law’</w:t>
      </w:r>
      <w:r w:rsidRPr="006F1E60">
        <w:rPr>
          <w:rFonts w:ascii="Times New Roman" w:hAnsi="Times New Roman" w:cs="Times New Roman"/>
          <w:sz w:val="20"/>
          <w:szCs w:val="20"/>
        </w:rPr>
        <w:t xml:space="preserve"> 4 (3) Washington University Global Studies Law Review (2005).</w:t>
      </w:r>
    </w:p>
  </w:footnote>
  <w:footnote w:id="25">
    <w:p w14:paraId="345C5BD5" w14:textId="0A898F68"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Pr>
          <w:rFonts w:ascii="Times New Roman" w:hAnsi="Times New Roman" w:cs="Times New Roman"/>
          <w:sz w:val="20"/>
          <w:szCs w:val="20"/>
        </w:rPr>
        <w:t xml:space="preserve">Joined cases </w:t>
      </w:r>
      <w:r w:rsidRPr="006F1E60">
        <w:rPr>
          <w:rFonts w:ascii="Times New Roman" w:hAnsi="Times New Roman" w:cs="Times New Roman"/>
          <w:sz w:val="20"/>
          <w:szCs w:val="20"/>
        </w:rPr>
        <w:t xml:space="preserve">100/80 to 103/80, </w:t>
      </w:r>
      <w:r w:rsidRPr="006F1E60">
        <w:rPr>
          <w:rFonts w:ascii="Times New Roman" w:hAnsi="Times New Roman" w:cs="Times New Roman"/>
          <w:i/>
          <w:sz w:val="20"/>
          <w:szCs w:val="20"/>
        </w:rPr>
        <w:t>Musique Diffusion française and Others v Commission</w:t>
      </w:r>
      <w:r>
        <w:rPr>
          <w:rFonts w:ascii="Times New Roman" w:hAnsi="Times New Roman" w:cs="Times New Roman"/>
          <w:sz w:val="20"/>
          <w:szCs w:val="20"/>
        </w:rPr>
        <w:t xml:space="preserve"> </w:t>
      </w:r>
      <w:r w:rsidRPr="006F1E60">
        <w:rPr>
          <w:rFonts w:ascii="Times New Roman" w:hAnsi="Times New Roman" w:cs="Times New Roman"/>
          <w:sz w:val="20"/>
          <w:szCs w:val="20"/>
        </w:rPr>
        <w:t>EU:</w:t>
      </w:r>
      <w:r>
        <w:rPr>
          <w:rFonts w:ascii="Times New Roman" w:hAnsi="Times New Roman" w:cs="Times New Roman"/>
          <w:sz w:val="20"/>
          <w:szCs w:val="20"/>
        </w:rPr>
        <w:t>C:1983:158</w:t>
      </w:r>
      <w:r w:rsidRPr="006F1E60">
        <w:rPr>
          <w:rFonts w:ascii="Times New Roman" w:hAnsi="Times New Roman" w:cs="Times New Roman"/>
          <w:sz w:val="20"/>
          <w:szCs w:val="20"/>
        </w:rPr>
        <w:t>, para. 97.</w:t>
      </w:r>
    </w:p>
  </w:footnote>
  <w:footnote w:id="26">
    <w:p w14:paraId="563BB978" w14:textId="415FA5DA"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C-542/14, </w:t>
      </w:r>
      <w:r w:rsidRPr="006F1E60">
        <w:rPr>
          <w:rFonts w:ascii="Times New Roman" w:hAnsi="Times New Roman" w:cs="Times New Roman"/>
          <w:i/>
          <w:sz w:val="20"/>
          <w:szCs w:val="20"/>
        </w:rPr>
        <w:t>SIA ‘VM Remonts’(formerly SIA ‘DIV un KO’) and Others v Konkurences padomem</w:t>
      </w:r>
      <w:r w:rsidRPr="006F1E60">
        <w:rPr>
          <w:rFonts w:ascii="Times New Roman" w:hAnsi="Times New Roman" w:cs="Times New Roman"/>
          <w:sz w:val="20"/>
          <w:szCs w:val="20"/>
        </w:rPr>
        <w:t xml:space="preserve"> ECLI:EU:C:2016:578, para. 33.</w:t>
      </w:r>
    </w:p>
  </w:footnote>
  <w:footnote w:id="27">
    <w:p w14:paraId="4C47082F" w14:textId="0E42BCFC"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C-280/08 P, </w:t>
      </w:r>
      <w:r w:rsidRPr="006F1E60">
        <w:rPr>
          <w:rFonts w:ascii="Times New Roman" w:hAnsi="Times New Roman" w:cs="Times New Roman"/>
          <w:i/>
          <w:sz w:val="20"/>
          <w:szCs w:val="20"/>
        </w:rPr>
        <w:t>Deutsche Telekom v Commission</w:t>
      </w:r>
      <w:r w:rsidRPr="006F1E60">
        <w:rPr>
          <w:rFonts w:ascii="Times New Roman" w:hAnsi="Times New Roman" w:cs="Times New Roman"/>
          <w:sz w:val="20"/>
          <w:szCs w:val="20"/>
        </w:rPr>
        <w:t xml:space="preserve"> EU:C:2010:603, para 124; C-295/12 P, </w:t>
      </w:r>
      <w:r w:rsidRPr="00740F7B">
        <w:rPr>
          <w:rFonts w:ascii="Times New Roman" w:hAnsi="Times New Roman" w:cs="Times New Roman"/>
          <w:i/>
          <w:sz w:val="20"/>
          <w:szCs w:val="20"/>
        </w:rPr>
        <w:t>Telefonica v Commission</w:t>
      </w:r>
      <w:r w:rsidRPr="006F1E60">
        <w:rPr>
          <w:rFonts w:ascii="Times New Roman" w:hAnsi="Times New Roman" w:cs="Times New Roman"/>
          <w:sz w:val="20"/>
          <w:szCs w:val="20"/>
        </w:rPr>
        <w:t xml:space="preserve"> EU:C:20</w:t>
      </w:r>
      <w:r>
        <w:rPr>
          <w:rFonts w:ascii="Times New Roman" w:hAnsi="Times New Roman" w:cs="Times New Roman"/>
          <w:sz w:val="20"/>
          <w:szCs w:val="20"/>
        </w:rPr>
        <w:t>14:2062,</w:t>
      </w:r>
      <w:r w:rsidRPr="006F1E60">
        <w:rPr>
          <w:rFonts w:ascii="Times New Roman" w:hAnsi="Times New Roman" w:cs="Times New Roman"/>
          <w:sz w:val="20"/>
          <w:szCs w:val="20"/>
        </w:rPr>
        <w:t xml:space="preserve"> para 156.</w:t>
      </w:r>
    </w:p>
  </w:footnote>
  <w:footnote w:id="28">
    <w:p w14:paraId="5C11D9E0"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Note that this is quite apart from the need to show a direct link of causality between a dominant position and an alleged abuse (for example, implying that the abuse must occur in the same market where dominance exists), which was explicitly rejected both in </w:t>
      </w:r>
      <w:r w:rsidRPr="006F1E60">
        <w:rPr>
          <w:rFonts w:ascii="Times New Roman" w:hAnsi="Times New Roman" w:cs="Times New Roman"/>
          <w:i/>
          <w:sz w:val="20"/>
          <w:szCs w:val="20"/>
        </w:rPr>
        <w:t>Continental Can</w:t>
      </w:r>
      <w:r w:rsidRPr="006F1E60">
        <w:rPr>
          <w:rFonts w:ascii="Times New Roman" w:hAnsi="Times New Roman" w:cs="Times New Roman"/>
          <w:sz w:val="20"/>
          <w:szCs w:val="20"/>
        </w:rPr>
        <w:t xml:space="preserve"> and in </w:t>
      </w:r>
      <w:r w:rsidRPr="006F1E60">
        <w:rPr>
          <w:rFonts w:ascii="Times New Roman" w:hAnsi="Times New Roman" w:cs="Times New Roman"/>
          <w:i/>
          <w:sz w:val="20"/>
          <w:szCs w:val="20"/>
        </w:rPr>
        <w:t>Hoffman La Roche.</w:t>
      </w:r>
    </w:p>
  </w:footnote>
  <w:footnote w:id="29">
    <w:p w14:paraId="33E0484F" w14:textId="53932F96"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Along these lines, see Akman, ‘The illegality tests’ supra n. 1</w:t>
      </w:r>
      <w:r>
        <w:rPr>
          <w:rFonts w:ascii="Times New Roman" w:hAnsi="Times New Roman" w:cs="Times New Roman"/>
          <w:sz w:val="20"/>
          <w:szCs w:val="20"/>
        </w:rPr>
        <w:t>.</w:t>
      </w:r>
    </w:p>
  </w:footnote>
  <w:footnote w:id="30">
    <w:p w14:paraId="3E42C1AF" w14:textId="593D262F" w:rsidR="00DF3BC0" w:rsidRPr="006F1E60" w:rsidRDefault="00DF3BC0" w:rsidP="00A06D5A">
      <w:pPr>
        <w:jc w:val="both"/>
        <w:rPr>
          <w:rFonts w:ascii="Times New Roman" w:eastAsia="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Case C-62/86, </w:t>
      </w:r>
      <w:r w:rsidRPr="006F1E60">
        <w:rPr>
          <w:rFonts w:ascii="Times New Roman" w:hAnsi="Times New Roman" w:cs="Times New Roman"/>
          <w:i/>
          <w:sz w:val="20"/>
          <w:szCs w:val="20"/>
        </w:rPr>
        <w:t>Akzo Chemie BV v Commission</w:t>
      </w:r>
      <w:r>
        <w:rPr>
          <w:rFonts w:ascii="Times New Roman" w:hAnsi="Times New Roman" w:cs="Times New Roman"/>
          <w:sz w:val="20"/>
          <w:szCs w:val="20"/>
        </w:rPr>
        <w:t xml:space="preserve"> </w:t>
      </w:r>
      <w:r w:rsidRPr="006F1E60">
        <w:rPr>
          <w:rFonts w:ascii="Times New Roman" w:eastAsia="Times New Roman" w:hAnsi="Times New Roman" w:cs="Times New Roman"/>
          <w:sz w:val="20"/>
          <w:szCs w:val="20"/>
          <w:shd w:val="clear" w:color="auto" w:fill="FFFFFF"/>
        </w:rPr>
        <w:t>ECLI:EU:C:1991:286</w:t>
      </w:r>
      <w:r w:rsidRPr="006F1E60">
        <w:rPr>
          <w:rFonts w:ascii="Times New Roman" w:hAnsi="Times New Roman" w:cs="Times New Roman"/>
          <w:sz w:val="20"/>
          <w:szCs w:val="20"/>
        </w:rPr>
        <w:t>.</w:t>
      </w:r>
    </w:p>
  </w:footnote>
  <w:footnote w:id="31">
    <w:p w14:paraId="220D3F40"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Id.,</w:t>
      </w:r>
      <w:r w:rsidRPr="006F1E60">
        <w:rPr>
          <w:rFonts w:ascii="Times New Roman" w:hAnsi="Times New Roman" w:cs="Times New Roman"/>
          <w:sz w:val="20"/>
          <w:szCs w:val="20"/>
        </w:rPr>
        <w:t xml:space="preserve"> para. 102.</w:t>
      </w:r>
    </w:p>
  </w:footnote>
  <w:footnote w:id="32">
    <w:p w14:paraId="71404A92"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Note that this likely awareness, based on general experience, does not turn the intent in question from subjective into objective: it concerns knowledge and acceptance of the consequence of an intended action, rather than the presumed intention (negligence) in connection with a conduct displayed in the market. </w:t>
      </w:r>
    </w:p>
  </w:footnote>
  <w:footnote w:id="33">
    <w:p w14:paraId="4A79B874"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Case T-83/91, </w:t>
      </w:r>
      <w:r w:rsidRPr="006F1E60">
        <w:rPr>
          <w:rFonts w:ascii="Times New Roman" w:hAnsi="Times New Roman" w:cs="Times New Roman"/>
          <w:i/>
          <w:sz w:val="20"/>
          <w:szCs w:val="20"/>
        </w:rPr>
        <w:t>Tetra Pak v Commission</w:t>
      </w:r>
      <w:r w:rsidRPr="006F1E60">
        <w:rPr>
          <w:rFonts w:ascii="Times New Roman" w:hAnsi="Times New Roman" w:cs="Times New Roman"/>
          <w:sz w:val="20"/>
          <w:szCs w:val="20"/>
        </w:rPr>
        <w:t xml:space="preserve"> [1994] ECR II-00755.</w:t>
      </w:r>
    </w:p>
  </w:footnote>
  <w:footnote w:id="34">
    <w:p w14:paraId="3AA605E5"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Id.</w:t>
      </w:r>
      <w:r w:rsidRPr="006F1E60">
        <w:rPr>
          <w:rFonts w:ascii="Times New Roman" w:hAnsi="Times New Roman" w:cs="Times New Roman"/>
          <w:sz w:val="20"/>
          <w:szCs w:val="20"/>
        </w:rPr>
        <w:t>, para. 151.</w:t>
      </w:r>
    </w:p>
  </w:footnote>
  <w:footnote w:id="35">
    <w:p w14:paraId="0E3CEE2C"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Manne, supra n. </w:t>
      </w:r>
      <w:r w:rsidRPr="006F1E60">
        <w:rPr>
          <w:rFonts w:ascii="Times New Roman" w:hAnsi="Times New Roman" w:cs="Times New Roman"/>
          <w:sz w:val="20"/>
          <w:szCs w:val="20"/>
        </w:rPr>
        <w:fldChar w:fldCharType="begin"/>
      </w:r>
      <w:r w:rsidRPr="006F1E60">
        <w:rPr>
          <w:rFonts w:ascii="Times New Roman" w:hAnsi="Times New Roman" w:cs="Times New Roman"/>
          <w:sz w:val="20"/>
          <w:szCs w:val="20"/>
        </w:rPr>
        <w:instrText xml:space="preserve"> NOTEREF _Ref389682656 \h </w:instrText>
      </w:r>
      <w:r w:rsidRPr="006F1E60">
        <w:rPr>
          <w:rFonts w:ascii="Times New Roman" w:hAnsi="Times New Roman" w:cs="Times New Roman"/>
          <w:sz w:val="20"/>
          <w:szCs w:val="20"/>
        </w:rPr>
      </w:r>
      <w:r w:rsidRPr="006F1E60">
        <w:rPr>
          <w:rFonts w:ascii="Times New Roman" w:hAnsi="Times New Roman" w:cs="Times New Roman"/>
          <w:sz w:val="20"/>
          <w:szCs w:val="20"/>
        </w:rPr>
        <w:fldChar w:fldCharType="separate"/>
      </w:r>
      <w:r w:rsidR="00BC68CA">
        <w:rPr>
          <w:rFonts w:ascii="Times New Roman" w:hAnsi="Times New Roman" w:cs="Times New Roman"/>
          <w:sz w:val="20"/>
          <w:szCs w:val="20"/>
        </w:rPr>
        <w:t>1</w:t>
      </w:r>
      <w:r w:rsidRPr="006F1E60">
        <w:rPr>
          <w:rFonts w:ascii="Times New Roman" w:hAnsi="Times New Roman" w:cs="Times New Roman"/>
          <w:sz w:val="20"/>
          <w:szCs w:val="20"/>
        </w:rPr>
        <w:fldChar w:fldCharType="end"/>
      </w:r>
      <w:r w:rsidRPr="006F1E60">
        <w:rPr>
          <w:rFonts w:ascii="Times New Roman" w:hAnsi="Times New Roman" w:cs="Times New Roman"/>
          <w:sz w:val="20"/>
          <w:szCs w:val="20"/>
        </w:rPr>
        <w:t>, 652-654.</w:t>
      </w:r>
    </w:p>
  </w:footnote>
  <w:footnote w:id="36">
    <w:p w14:paraId="5289C881" w14:textId="19EEB923"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Case C-637/13 P, </w:t>
      </w:r>
      <w:r w:rsidRPr="006F1E60">
        <w:rPr>
          <w:rFonts w:ascii="Times New Roman" w:hAnsi="Times New Roman" w:cs="Times New Roman"/>
          <w:i/>
          <w:sz w:val="20"/>
          <w:szCs w:val="20"/>
        </w:rPr>
        <w:t>Laufen Austria AG v European Commission</w:t>
      </w:r>
      <w:r w:rsidRPr="006F1E60">
        <w:rPr>
          <w:rFonts w:ascii="Times New Roman" w:hAnsi="Times New Roman" w:cs="Times New Roman"/>
          <w:sz w:val="20"/>
          <w:szCs w:val="20"/>
        </w:rPr>
        <w:t xml:space="preserve"> ECLI:EU:C:2017:51, para. 68.</w:t>
      </w:r>
    </w:p>
  </w:footnote>
  <w:footnote w:id="37">
    <w:p w14:paraId="0ADDD163"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Joined cases C-89/85, C-104/85, C-114/85, C-116/85, C-117/85, C-125/85, C-126/85, C-127/85, C-128/85 and C-129/85, </w:t>
      </w:r>
      <w:r w:rsidRPr="006F1E60">
        <w:rPr>
          <w:rFonts w:ascii="Times New Roman" w:hAnsi="Times New Roman" w:cs="Times New Roman"/>
          <w:i/>
          <w:sz w:val="20"/>
          <w:szCs w:val="20"/>
        </w:rPr>
        <w:t xml:space="preserve">A. Ahlström Osakeyhtiö and others v Commission </w:t>
      </w:r>
      <w:r w:rsidRPr="006F1E60">
        <w:rPr>
          <w:rFonts w:ascii="Times New Roman" w:hAnsi="Times New Roman" w:cs="Times New Roman"/>
          <w:sz w:val="20"/>
          <w:szCs w:val="20"/>
        </w:rPr>
        <w:t>[1993] ECR I-01307, para. 127.</w:t>
      </w:r>
    </w:p>
  </w:footnote>
  <w:footnote w:id="38">
    <w:p w14:paraId="7AB6723E"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Cases T-24/93 to T-26/93 and T-28/93 </w:t>
      </w:r>
      <w:r w:rsidRPr="006F1E60">
        <w:rPr>
          <w:rFonts w:ascii="Times New Roman" w:hAnsi="Times New Roman" w:cs="Times New Roman"/>
          <w:i/>
          <w:sz w:val="20"/>
          <w:szCs w:val="20"/>
        </w:rPr>
        <w:t>Compagnie Maritime Belge Transports and Others v Commission</w:t>
      </w:r>
      <w:r w:rsidRPr="006F1E60">
        <w:rPr>
          <w:rFonts w:ascii="Times New Roman" w:hAnsi="Times New Roman" w:cs="Times New Roman"/>
          <w:sz w:val="20"/>
          <w:szCs w:val="20"/>
        </w:rPr>
        <w:t xml:space="preserve"> [1996] ECR II-1201.</w:t>
      </w:r>
    </w:p>
  </w:footnote>
  <w:footnote w:id="39">
    <w:p w14:paraId="4449A5F7"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C-395/96 P and 396/96 P, </w:t>
      </w:r>
      <w:r w:rsidRPr="006F1E60">
        <w:rPr>
          <w:rFonts w:ascii="Times New Roman" w:hAnsi="Times New Roman" w:cs="Times New Roman"/>
          <w:i/>
          <w:sz w:val="20"/>
          <w:szCs w:val="20"/>
        </w:rPr>
        <w:t>Compagnie Maritime Belge Transport and Others v Commission</w:t>
      </w:r>
      <w:r w:rsidRPr="006F1E60">
        <w:rPr>
          <w:rFonts w:ascii="Times New Roman" w:hAnsi="Times New Roman" w:cs="Times New Roman"/>
          <w:sz w:val="20"/>
          <w:szCs w:val="20"/>
        </w:rPr>
        <w:t xml:space="preserve"> [ECR] I-1365, para. 117.</w:t>
      </w:r>
    </w:p>
  </w:footnote>
  <w:footnote w:id="40">
    <w:p w14:paraId="5870CEDE"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Compagnie Maritime Belge</w:t>
      </w:r>
      <w:r w:rsidRPr="006F1E60">
        <w:rPr>
          <w:rFonts w:ascii="Times New Roman" w:hAnsi="Times New Roman" w:cs="Times New Roman"/>
          <w:sz w:val="20"/>
          <w:szCs w:val="20"/>
        </w:rPr>
        <w:t xml:space="preserve">, supra n. </w:t>
      </w:r>
      <w:r w:rsidRPr="006F1E60">
        <w:rPr>
          <w:rFonts w:ascii="Times New Roman" w:hAnsi="Times New Roman" w:cs="Times New Roman"/>
          <w:sz w:val="20"/>
          <w:szCs w:val="20"/>
        </w:rPr>
        <w:fldChar w:fldCharType="begin"/>
      </w:r>
      <w:r w:rsidRPr="006F1E60">
        <w:rPr>
          <w:rFonts w:ascii="Times New Roman" w:hAnsi="Times New Roman" w:cs="Times New Roman"/>
          <w:sz w:val="20"/>
          <w:szCs w:val="20"/>
        </w:rPr>
        <w:instrText xml:space="preserve"> NOTEREF _Ref390111674 \h </w:instrText>
      </w:r>
      <w:r w:rsidRPr="006F1E60">
        <w:rPr>
          <w:rFonts w:ascii="Times New Roman" w:hAnsi="Times New Roman" w:cs="Times New Roman"/>
          <w:sz w:val="20"/>
          <w:szCs w:val="20"/>
        </w:rPr>
      </w:r>
      <w:r w:rsidRPr="006F1E60">
        <w:rPr>
          <w:rFonts w:ascii="Times New Roman" w:hAnsi="Times New Roman" w:cs="Times New Roman"/>
          <w:sz w:val="20"/>
          <w:szCs w:val="20"/>
        </w:rPr>
        <w:fldChar w:fldCharType="separate"/>
      </w:r>
      <w:r w:rsidR="00BC68CA">
        <w:rPr>
          <w:rFonts w:ascii="Times New Roman" w:hAnsi="Times New Roman" w:cs="Times New Roman"/>
          <w:sz w:val="20"/>
          <w:szCs w:val="20"/>
        </w:rPr>
        <w:t>38</w:t>
      </w:r>
      <w:r w:rsidRPr="006F1E60">
        <w:rPr>
          <w:rFonts w:ascii="Times New Roman" w:hAnsi="Times New Roman" w:cs="Times New Roman"/>
          <w:sz w:val="20"/>
          <w:szCs w:val="20"/>
        </w:rPr>
        <w:fldChar w:fldCharType="end"/>
      </w:r>
      <w:r w:rsidRPr="006F1E60">
        <w:rPr>
          <w:rFonts w:ascii="Times New Roman" w:hAnsi="Times New Roman" w:cs="Times New Roman"/>
          <w:sz w:val="20"/>
          <w:szCs w:val="20"/>
        </w:rPr>
        <w:t xml:space="preserve">, para. 149. See also a similar statement made by the General Court in Case T-230/01, </w:t>
      </w:r>
      <w:r w:rsidRPr="006F1E60">
        <w:rPr>
          <w:rFonts w:ascii="Times New Roman" w:hAnsi="Times New Roman" w:cs="Times New Roman"/>
          <w:i/>
          <w:sz w:val="20"/>
          <w:szCs w:val="20"/>
        </w:rPr>
        <w:t>Manufacture Francaise des Pneumatiques Michelin v Commission</w:t>
      </w:r>
      <w:r w:rsidRPr="006F1E60">
        <w:rPr>
          <w:rFonts w:ascii="Times New Roman" w:hAnsi="Times New Roman" w:cs="Times New Roman"/>
          <w:sz w:val="20"/>
          <w:szCs w:val="20"/>
        </w:rPr>
        <w:t xml:space="preserve"> [2003] ECR II-4071, para. 241; and in T-228/97, </w:t>
      </w:r>
      <w:r w:rsidRPr="006F1E60">
        <w:rPr>
          <w:rFonts w:ascii="Times New Roman" w:hAnsi="Times New Roman" w:cs="Times New Roman"/>
          <w:i/>
          <w:sz w:val="20"/>
          <w:szCs w:val="20"/>
        </w:rPr>
        <w:t>Irish Sugar plc v Commission</w:t>
      </w:r>
      <w:r w:rsidRPr="006F1E60">
        <w:rPr>
          <w:rFonts w:ascii="Times New Roman" w:hAnsi="Times New Roman" w:cs="Times New Roman"/>
          <w:sz w:val="20"/>
          <w:szCs w:val="20"/>
        </w:rPr>
        <w:t xml:space="preserve"> [1999] ECR II-2969, para. 270.</w:t>
      </w:r>
    </w:p>
  </w:footnote>
  <w:footnote w:id="41">
    <w:p w14:paraId="7ABD0831" w14:textId="54398B00"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Opinion of Advocate General Wahl in Case C-67/13 P, </w:t>
      </w:r>
      <w:r w:rsidRPr="006F1E60">
        <w:rPr>
          <w:rFonts w:ascii="Times New Roman" w:hAnsi="Times New Roman" w:cs="Times New Roman"/>
          <w:i/>
          <w:sz w:val="20"/>
          <w:szCs w:val="20"/>
        </w:rPr>
        <w:t>Groupement des cartes bancaires (CB) v European Commission</w:t>
      </w:r>
      <w:r w:rsidRPr="006F1E60">
        <w:rPr>
          <w:rFonts w:ascii="Times New Roman" w:hAnsi="Times New Roman" w:cs="Times New Roman"/>
          <w:sz w:val="20"/>
          <w:szCs w:val="20"/>
        </w:rPr>
        <w:t xml:space="preserve"> ECLI:EU:C:2014:1958, para. 56.</w:t>
      </w:r>
    </w:p>
  </w:footnote>
  <w:footnote w:id="42">
    <w:p w14:paraId="40F02F12"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Joined cases C-395 to 396/96, </w:t>
      </w:r>
      <w:r w:rsidRPr="006F1E60">
        <w:rPr>
          <w:rFonts w:ascii="Times New Roman" w:hAnsi="Times New Roman" w:cs="Times New Roman"/>
          <w:i/>
          <w:sz w:val="20"/>
          <w:szCs w:val="20"/>
        </w:rPr>
        <w:t xml:space="preserve">Compagnie maritime belge transports and Others v Commission of the European Communities </w:t>
      </w:r>
      <w:r w:rsidRPr="006F1E60">
        <w:rPr>
          <w:rFonts w:ascii="Times New Roman" w:hAnsi="Times New Roman" w:cs="Times New Roman"/>
          <w:sz w:val="20"/>
          <w:szCs w:val="20"/>
        </w:rPr>
        <w:t>[2000] ECR I-01365.</w:t>
      </w:r>
    </w:p>
  </w:footnote>
  <w:footnote w:id="43">
    <w:p w14:paraId="594A9556"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C-202/07 P, </w:t>
      </w:r>
      <w:r w:rsidRPr="006F1E60">
        <w:rPr>
          <w:rFonts w:ascii="Times New Roman" w:hAnsi="Times New Roman" w:cs="Times New Roman"/>
          <w:i/>
          <w:sz w:val="20"/>
          <w:szCs w:val="20"/>
        </w:rPr>
        <w:t>France Télécom SA v Commission of the European Communities</w:t>
      </w:r>
      <w:r w:rsidRPr="006F1E60">
        <w:rPr>
          <w:rFonts w:ascii="Times New Roman" w:hAnsi="Times New Roman" w:cs="Times New Roman"/>
          <w:sz w:val="20"/>
          <w:szCs w:val="20"/>
        </w:rPr>
        <w:t xml:space="preserve"> [2009] ECR I-02369.</w:t>
      </w:r>
    </w:p>
  </w:footnote>
  <w:footnote w:id="44">
    <w:p w14:paraId="1D4FEF3E"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Id.,</w:t>
      </w:r>
      <w:r w:rsidRPr="006F1E60">
        <w:rPr>
          <w:rFonts w:ascii="Times New Roman" w:hAnsi="Times New Roman" w:cs="Times New Roman"/>
          <w:sz w:val="20"/>
          <w:szCs w:val="20"/>
        </w:rPr>
        <w:t xml:space="preserve"> para. 97.</w:t>
      </w:r>
    </w:p>
  </w:footnote>
  <w:footnote w:id="45">
    <w:p w14:paraId="1E99DFB0"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Id.,</w:t>
      </w:r>
      <w:r w:rsidRPr="006F1E60">
        <w:rPr>
          <w:rFonts w:ascii="Times New Roman" w:hAnsi="Times New Roman" w:cs="Times New Roman"/>
          <w:sz w:val="20"/>
          <w:szCs w:val="20"/>
        </w:rPr>
        <w:t xml:space="preserve"> para. 98.</w:t>
      </w:r>
    </w:p>
  </w:footnote>
  <w:footnote w:id="46">
    <w:p w14:paraId="10272554" w14:textId="78CCEDEA" w:rsidR="00DF3BC0" w:rsidRPr="006F1E60" w:rsidRDefault="00DF3BC0" w:rsidP="00A06D5A">
      <w:pPr>
        <w:jc w:val="both"/>
        <w:rPr>
          <w:rFonts w:ascii="Times New Roman" w:eastAsia="Times New Roman" w:hAnsi="Times New Roman" w:cs="Times New Roman"/>
          <w:bCs/>
          <w:sz w:val="20"/>
          <w:szCs w:val="20"/>
          <w:shd w:val="clear" w:color="auto" w:fill="FFFFFF"/>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According to authoritative sources, the General Court tends to use the expression ‘direct evidence’ when it refers to contemporaneous notes which clearly demonstrate the fact in question, but the use of this term in evidence literature is broader. See Fernando Castillo De La Torre and Eric Gippini Fournier, </w:t>
      </w:r>
      <w:r w:rsidRPr="006F1E60">
        <w:rPr>
          <w:rFonts w:ascii="Times New Roman" w:hAnsi="Times New Roman" w:cs="Times New Roman"/>
          <w:i/>
          <w:sz w:val="20"/>
          <w:szCs w:val="20"/>
        </w:rPr>
        <w:t xml:space="preserve">Evidence, Proof and Judicial Review in Competition Law </w:t>
      </w:r>
      <w:r w:rsidRPr="006F1E60">
        <w:rPr>
          <w:rFonts w:ascii="Times New Roman" w:hAnsi="Times New Roman" w:cs="Times New Roman"/>
          <w:sz w:val="20"/>
          <w:szCs w:val="20"/>
        </w:rPr>
        <w:t>(Edward Elgar 20</w:t>
      </w:r>
      <w:r>
        <w:rPr>
          <w:rFonts w:ascii="Times New Roman" w:hAnsi="Times New Roman" w:cs="Times New Roman"/>
          <w:sz w:val="20"/>
          <w:szCs w:val="20"/>
        </w:rPr>
        <w:t xml:space="preserve">17), </w:t>
      </w:r>
      <w:r w:rsidRPr="006F1E60">
        <w:rPr>
          <w:rFonts w:ascii="Times New Roman" w:hAnsi="Times New Roman" w:cs="Times New Roman"/>
          <w:sz w:val="20"/>
          <w:szCs w:val="20"/>
        </w:rPr>
        <w:t xml:space="preserve">163; cf. Andrew Choo, </w:t>
      </w:r>
      <w:r w:rsidRPr="006F1E60">
        <w:rPr>
          <w:rFonts w:ascii="Times New Roman" w:hAnsi="Times New Roman" w:cs="Times New Roman"/>
          <w:i/>
          <w:sz w:val="20"/>
          <w:szCs w:val="20"/>
        </w:rPr>
        <w:t>Evidence</w:t>
      </w:r>
      <w:r w:rsidRPr="006F1E60">
        <w:rPr>
          <w:rFonts w:ascii="Times New Roman" w:hAnsi="Times New Roman" w:cs="Times New Roman"/>
          <w:sz w:val="20"/>
          <w:szCs w:val="20"/>
        </w:rPr>
        <w:t xml:space="preserve"> (5</w:t>
      </w:r>
      <w:r w:rsidRPr="006F1E60">
        <w:rPr>
          <w:rFonts w:ascii="Times New Roman" w:hAnsi="Times New Roman" w:cs="Times New Roman"/>
          <w:sz w:val="20"/>
          <w:szCs w:val="20"/>
          <w:vertAlign w:val="superscript"/>
        </w:rPr>
        <w:t>th</w:t>
      </w:r>
      <w:r w:rsidRPr="006F1E60">
        <w:rPr>
          <w:rFonts w:ascii="Times New Roman" w:hAnsi="Times New Roman" w:cs="Times New Roman"/>
          <w:sz w:val="20"/>
          <w:szCs w:val="20"/>
        </w:rPr>
        <w:t xml:space="preserve"> ed., Oxford University press 2018).</w:t>
      </w:r>
    </w:p>
  </w:footnote>
  <w:footnote w:id="47">
    <w:p w14:paraId="48CFB872"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Opinion of AG Kokott on 19 February 2009, Case C-8/08, </w:t>
      </w:r>
      <w:r w:rsidRPr="006F1E60">
        <w:rPr>
          <w:rFonts w:ascii="Times New Roman" w:hAnsi="Times New Roman" w:cs="Times New Roman"/>
          <w:i/>
          <w:sz w:val="20"/>
          <w:szCs w:val="20"/>
        </w:rPr>
        <w:t>T-Mobile Netherlands and Others</w:t>
      </w:r>
      <w:r w:rsidRPr="006F1E60">
        <w:rPr>
          <w:rFonts w:ascii="Times New Roman" w:hAnsi="Times New Roman" w:cs="Times New Roman"/>
          <w:sz w:val="20"/>
          <w:szCs w:val="20"/>
        </w:rPr>
        <w:t xml:space="preserve"> [2009] ECR I-4529.</w:t>
      </w:r>
    </w:p>
  </w:footnote>
  <w:footnote w:id="48">
    <w:p w14:paraId="63E3B857"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Id.,</w:t>
      </w:r>
      <w:r w:rsidRPr="006F1E60">
        <w:rPr>
          <w:rFonts w:ascii="Times New Roman" w:hAnsi="Times New Roman" w:cs="Times New Roman"/>
          <w:sz w:val="20"/>
          <w:szCs w:val="20"/>
        </w:rPr>
        <w:t xml:space="preserve"> para. 96.</w:t>
      </w:r>
    </w:p>
  </w:footnote>
  <w:footnote w:id="49">
    <w:p w14:paraId="3223D406"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Case T- 340/03, </w:t>
      </w:r>
      <w:r w:rsidRPr="006F1E60">
        <w:rPr>
          <w:rFonts w:ascii="Times New Roman" w:hAnsi="Times New Roman" w:cs="Times New Roman"/>
          <w:i/>
          <w:sz w:val="20"/>
          <w:szCs w:val="20"/>
        </w:rPr>
        <w:t>France Telecom v Commission</w:t>
      </w:r>
      <w:r w:rsidRPr="006F1E60">
        <w:rPr>
          <w:rFonts w:ascii="Times New Roman" w:hAnsi="Times New Roman" w:cs="Times New Roman"/>
          <w:sz w:val="20"/>
          <w:szCs w:val="20"/>
        </w:rPr>
        <w:t xml:space="preserve"> [2007] ECR II-00107, para. 210.</w:t>
      </w:r>
    </w:p>
  </w:footnote>
  <w:footnote w:id="50">
    <w:p w14:paraId="2389ABAB"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Id.</w:t>
      </w:r>
      <w:r w:rsidRPr="006F1E60">
        <w:rPr>
          <w:rFonts w:ascii="Times New Roman" w:hAnsi="Times New Roman" w:cs="Times New Roman"/>
          <w:sz w:val="20"/>
          <w:szCs w:val="20"/>
        </w:rPr>
        <w:t>, para. 212.</w:t>
      </w:r>
    </w:p>
  </w:footnote>
  <w:footnote w:id="51">
    <w:p w14:paraId="738B8F84"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Id.</w:t>
      </w:r>
      <w:r w:rsidRPr="006F1E60">
        <w:rPr>
          <w:rFonts w:ascii="Times New Roman" w:hAnsi="Times New Roman" w:cs="Times New Roman"/>
          <w:sz w:val="20"/>
          <w:szCs w:val="20"/>
        </w:rPr>
        <w:t>, para. 213.</w:t>
      </w:r>
    </w:p>
  </w:footnote>
  <w:footnote w:id="52">
    <w:p w14:paraId="4C0DB755"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Id.</w:t>
      </w:r>
      <w:r w:rsidRPr="006F1E60">
        <w:rPr>
          <w:rFonts w:ascii="Times New Roman" w:hAnsi="Times New Roman" w:cs="Times New Roman"/>
          <w:sz w:val="20"/>
          <w:szCs w:val="20"/>
        </w:rPr>
        <w:t>, para. 201.</w:t>
      </w:r>
    </w:p>
  </w:footnote>
  <w:footnote w:id="53">
    <w:p w14:paraId="453F25CC" w14:textId="7E4AC603"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Pr>
          <w:rFonts w:ascii="Times New Roman" w:hAnsi="Times New Roman" w:cs="Times New Roman"/>
          <w:sz w:val="20"/>
          <w:szCs w:val="20"/>
        </w:rPr>
        <w:t xml:space="preserve">In the words of the Court: “[…] </w:t>
      </w:r>
      <w:r w:rsidRPr="00735D77">
        <w:rPr>
          <w:rFonts w:ascii="Times New Roman" w:hAnsi="Times New Roman" w:cs="Times New Roman"/>
          <w:sz w:val="20"/>
          <w:szCs w:val="20"/>
        </w:rPr>
        <w:t>although the fact that an undertaking is in a dominant position cannot deprive it of the right to protect its own commercial interests if they are attacked and such an undertaking must be allowed the right to take such reasonable steps as it deems appropriate to protect those interests, it is not possible, however, to countenance such behaviour if its actual purpose is to strengthen that dominant position and abuse it</w:t>
      </w:r>
      <w:r>
        <w:rPr>
          <w:rFonts w:ascii="Times New Roman" w:hAnsi="Times New Roman" w:cs="Times New Roman"/>
          <w:sz w:val="20"/>
          <w:szCs w:val="20"/>
        </w:rPr>
        <w:t xml:space="preserve">”. Case </w:t>
      </w:r>
      <w:r w:rsidRPr="006F1E60">
        <w:rPr>
          <w:rFonts w:ascii="Times New Roman" w:hAnsi="Times New Roman" w:cs="Times New Roman"/>
          <w:sz w:val="20"/>
          <w:szCs w:val="20"/>
        </w:rPr>
        <w:t xml:space="preserve">C-202/07 P, </w:t>
      </w:r>
      <w:r w:rsidRPr="006F1E60">
        <w:rPr>
          <w:rFonts w:ascii="Times New Roman" w:hAnsi="Times New Roman" w:cs="Times New Roman"/>
          <w:i/>
          <w:sz w:val="20"/>
          <w:szCs w:val="20"/>
        </w:rPr>
        <w:t xml:space="preserve">France Télécom, </w:t>
      </w:r>
      <w:r w:rsidRPr="006F1E60">
        <w:rPr>
          <w:rFonts w:ascii="Times New Roman" w:hAnsi="Times New Roman" w:cs="Times New Roman"/>
          <w:sz w:val="20"/>
          <w:szCs w:val="20"/>
        </w:rPr>
        <w:t xml:space="preserve">supra n. </w:t>
      </w:r>
      <w:r w:rsidRPr="006F1E60">
        <w:rPr>
          <w:rFonts w:ascii="Times New Roman" w:hAnsi="Times New Roman" w:cs="Times New Roman"/>
          <w:sz w:val="20"/>
          <w:szCs w:val="20"/>
        </w:rPr>
        <w:fldChar w:fldCharType="begin"/>
      </w:r>
      <w:r w:rsidRPr="006F1E60">
        <w:rPr>
          <w:rFonts w:ascii="Times New Roman" w:hAnsi="Times New Roman" w:cs="Times New Roman"/>
          <w:sz w:val="20"/>
          <w:szCs w:val="20"/>
        </w:rPr>
        <w:instrText xml:space="preserve"> NOTEREF _Ref389949740 \h </w:instrText>
      </w:r>
      <w:r w:rsidRPr="006F1E60">
        <w:rPr>
          <w:rFonts w:ascii="Times New Roman" w:hAnsi="Times New Roman" w:cs="Times New Roman"/>
          <w:sz w:val="20"/>
          <w:szCs w:val="20"/>
        </w:rPr>
      </w:r>
      <w:r w:rsidRPr="006F1E60">
        <w:rPr>
          <w:rFonts w:ascii="Times New Roman" w:hAnsi="Times New Roman" w:cs="Times New Roman"/>
          <w:sz w:val="20"/>
          <w:szCs w:val="20"/>
        </w:rPr>
        <w:fldChar w:fldCharType="separate"/>
      </w:r>
      <w:r w:rsidR="00BC68CA">
        <w:rPr>
          <w:rFonts w:ascii="Times New Roman" w:hAnsi="Times New Roman" w:cs="Times New Roman"/>
          <w:sz w:val="20"/>
          <w:szCs w:val="20"/>
        </w:rPr>
        <w:t>43</w:t>
      </w:r>
      <w:r w:rsidRPr="006F1E60">
        <w:rPr>
          <w:rFonts w:ascii="Times New Roman" w:hAnsi="Times New Roman" w:cs="Times New Roman"/>
          <w:sz w:val="20"/>
          <w:szCs w:val="20"/>
        </w:rPr>
        <w:fldChar w:fldCharType="end"/>
      </w:r>
      <w:r w:rsidRPr="006F1E60">
        <w:rPr>
          <w:rFonts w:ascii="Times New Roman" w:hAnsi="Times New Roman" w:cs="Times New Roman"/>
          <w:sz w:val="20"/>
          <w:szCs w:val="20"/>
        </w:rPr>
        <w:t>, para. 46.</w:t>
      </w:r>
    </w:p>
  </w:footnote>
  <w:footnote w:id="54">
    <w:p w14:paraId="2299EEDC"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Case T-321/05, </w:t>
      </w:r>
      <w:r w:rsidRPr="006F1E60">
        <w:rPr>
          <w:rFonts w:ascii="Times New Roman" w:hAnsi="Times New Roman" w:cs="Times New Roman"/>
          <w:i/>
          <w:sz w:val="20"/>
          <w:szCs w:val="20"/>
        </w:rPr>
        <w:t>AstraZeneca AB and AstraZeneca plc v European Commission</w:t>
      </w:r>
      <w:r w:rsidRPr="006F1E60">
        <w:rPr>
          <w:rFonts w:ascii="Times New Roman" w:hAnsi="Times New Roman" w:cs="Times New Roman"/>
          <w:sz w:val="20"/>
          <w:szCs w:val="20"/>
        </w:rPr>
        <w:t xml:space="preserve"> [2010] ECR II-02805.</w:t>
      </w:r>
    </w:p>
  </w:footnote>
  <w:footnote w:id="55">
    <w:p w14:paraId="066D290B"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Id.</w:t>
      </w:r>
      <w:r w:rsidRPr="006F1E60">
        <w:rPr>
          <w:rFonts w:ascii="Times New Roman" w:hAnsi="Times New Roman" w:cs="Times New Roman"/>
          <w:sz w:val="20"/>
          <w:szCs w:val="20"/>
        </w:rPr>
        <w:t>, para. 309 and 318.</w:t>
      </w:r>
    </w:p>
  </w:footnote>
  <w:footnote w:id="56">
    <w:p w14:paraId="24CC4A8A"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Id.</w:t>
      </w:r>
      <w:r w:rsidRPr="006F1E60">
        <w:rPr>
          <w:rFonts w:ascii="Times New Roman" w:hAnsi="Times New Roman" w:cs="Times New Roman"/>
          <w:sz w:val="20"/>
          <w:szCs w:val="20"/>
        </w:rPr>
        <w:t>, para. 384.</w:t>
      </w:r>
    </w:p>
  </w:footnote>
  <w:footnote w:id="57">
    <w:p w14:paraId="4C5444CF"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i/>
          <w:sz w:val="20"/>
          <w:szCs w:val="20"/>
        </w:rPr>
        <w:t xml:space="preserve"> Id.,</w:t>
      </w:r>
      <w:r w:rsidRPr="006F1E60">
        <w:rPr>
          <w:rFonts w:ascii="Times New Roman" w:hAnsi="Times New Roman" w:cs="Times New Roman"/>
          <w:sz w:val="20"/>
          <w:szCs w:val="20"/>
        </w:rPr>
        <w:t xml:space="preserve"> paras. 488, 490 and 493.</w:t>
      </w:r>
    </w:p>
  </w:footnote>
  <w:footnote w:id="58">
    <w:p w14:paraId="57E08746"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Id.</w:t>
      </w:r>
      <w:r w:rsidRPr="006F1E60">
        <w:rPr>
          <w:rFonts w:ascii="Times New Roman" w:hAnsi="Times New Roman" w:cs="Times New Roman"/>
          <w:sz w:val="20"/>
          <w:szCs w:val="20"/>
        </w:rPr>
        <w:t>, para. 356.</w:t>
      </w:r>
    </w:p>
  </w:footnote>
  <w:footnote w:id="59">
    <w:p w14:paraId="5BB26C9C"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Id.</w:t>
      </w:r>
      <w:r w:rsidRPr="006F1E60">
        <w:rPr>
          <w:rFonts w:ascii="Times New Roman" w:hAnsi="Times New Roman" w:cs="Times New Roman"/>
          <w:sz w:val="20"/>
          <w:szCs w:val="20"/>
        </w:rPr>
        <w:t>, para. 359.</w:t>
      </w:r>
    </w:p>
  </w:footnote>
  <w:footnote w:id="60">
    <w:p w14:paraId="66FD70E4"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Id.</w:t>
      </w:r>
      <w:r w:rsidRPr="006F1E60">
        <w:rPr>
          <w:rFonts w:ascii="Times New Roman" w:hAnsi="Times New Roman" w:cs="Times New Roman"/>
          <w:sz w:val="20"/>
          <w:szCs w:val="20"/>
        </w:rPr>
        <w:t>, para. 356.</w:t>
      </w:r>
    </w:p>
  </w:footnote>
  <w:footnote w:id="61">
    <w:p w14:paraId="23E0BAF7"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Id.</w:t>
      </w:r>
      <w:r w:rsidRPr="006F1E60">
        <w:rPr>
          <w:rFonts w:ascii="Times New Roman" w:hAnsi="Times New Roman" w:cs="Times New Roman"/>
          <w:sz w:val="20"/>
          <w:szCs w:val="20"/>
        </w:rPr>
        <w:t>, para. 357.</w:t>
      </w:r>
    </w:p>
  </w:footnote>
  <w:footnote w:id="62">
    <w:p w14:paraId="7F714AED"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Id.</w:t>
      </w:r>
      <w:r w:rsidRPr="006F1E60">
        <w:rPr>
          <w:rFonts w:ascii="Times New Roman" w:hAnsi="Times New Roman" w:cs="Times New Roman"/>
          <w:sz w:val="20"/>
          <w:szCs w:val="20"/>
        </w:rPr>
        <w:t>, para. 496.</w:t>
      </w:r>
    </w:p>
  </w:footnote>
  <w:footnote w:id="63">
    <w:p w14:paraId="385464F4"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Id</w:t>
      </w:r>
      <w:r w:rsidRPr="006F1E60">
        <w:rPr>
          <w:rFonts w:ascii="Times New Roman" w:hAnsi="Times New Roman" w:cs="Times New Roman"/>
          <w:sz w:val="20"/>
          <w:szCs w:val="20"/>
        </w:rPr>
        <w:t>., para. 358.</w:t>
      </w:r>
    </w:p>
  </w:footnote>
  <w:footnote w:id="64">
    <w:p w14:paraId="18B1AC0D" w14:textId="4CE9DAB5"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European Commission, ‘Guidance on its enforcement priorities in applying Article 82 of the EC Treaty to abusive exclusionary co</w:t>
      </w:r>
      <w:r>
        <w:rPr>
          <w:rFonts w:ascii="Times New Roman" w:hAnsi="Times New Roman" w:cs="Times New Roman"/>
          <w:sz w:val="20"/>
          <w:szCs w:val="20"/>
        </w:rPr>
        <w:t xml:space="preserve">nduct by dominant undertakings’ OJ C 45, 24.2.2009, </w:t>
      </w:r>
      <w:r w:rsidRPr="006F1E60">
        <w:rPr>
          <w:rFonts w:ascii="Times New Roman" w:hAnsi="Times New Roman" w:cs="Times New Roman"/>
          <w:sz w:val="20"/>
          <w:szCs w:val="20"/>
        </w:rPr>
        <w:t>7–20.</w:t>
      </w:r>
    </w:p>
  </w:footnote>
  <w:footnote w:id="65">
    <w:p w14:paraId="7322262B"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Para. 20 (emphasis added).</w:t>
      </w:r>
    </w:p>
  </w:footnote>
  <w:footnote w:id="66">
    <w:p w14:paraId="001F2959"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also, with specific regard to predatory pricing, para. 66 which refers to “direct evidence </w:t>
      </w:r>
      <w:r w:rsidRPr="006F1E60">
        <w:rPr>
          <w:rFonts w:ascii="Times New Roman" w:hAnsi="Times New Roman" w:cs="Times New Roman"/>
          <w:i/>
          <w:sz w:val="20"/>
          <w:szCs w:val="20"/>
        </w:rPr>
        <w:t xml:space="preserve">consisting of documents from the dominant undertaking” </w:t>
      </w:r>
      <w:r w:rsidRPr="006F1E60">
        <w:rPr>
          <w:rFonts w:ascii="Times New Roman" w:hAnsi="Times New Roman" w:cs="Times New Roman"/>
          <w:sz w:val="20"/>
          <w:szCs w:val="20"/>
        </w:rPr>
        <w:t xml:space="preserve">and thus seems to restrict the options even further for such cases. </w:t>
      </w:r>
    </w:p>
  </w:footnote>
  <w:footnote w:id="67">
    <w:p w14:paraId="4681FA32" w14:textId="42782B98"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Case T-286/09, </w:t>
      </w:r>
      <w:r w:rsidRPr="006F1E60">
        <w:rPr>
          <w:rFonts w:ascii="Times New Roman" w:hAnsi="Times New Roman" w:cs="Times New Roman"/>
          <w:i/>
          <w:sz w:val="20"/>
          <w:szCs w:val="20"/>
        </w:rPr>
        <w:t>Intel v Commission</w:t>
      </w:r>
      <w:r w:rsidRPr="006F1E60">
        <w:rPr>
          <w:rFonts w:ascii="Times New Roman" w:hAnsi="Times New Roman" w:cs="Times New Roman"/>
          <w:sz w:val="20"/>
          <w:szCs w:val="20"/>
        </w:rPr>
        <w:t xml:space="preserve">, ECLI:EU:T:2014:547 para. 719; case T-25/95, </w:t>
      </w:r>
      <w:r w:rsidRPr="006F1E60">
        <w:rPr>
          <w:rFonts w:ascii="Times New Roman" w:hAnsi="Times New Roman" w:cs="Times New Roman"/>
          <w:i/>
          <w:sz w:val="20"/>
          <w:szCs w:val="20"/>
        </w:rPr>
        <w:t>Cimenteries BCR and Others v Commission</w:t>
      </w:r>
      <w:r w:rsidRPr="006F1E60">
        <w:rPr>
          <w:rFonts w:ascii="Times New Roman" w:hAnsi="Times New Roman" w:cs="Times New Roman"/>
          <w:sz w:val="20"/>
          <w:szCs w:val="20"/>
        </w:rPr>
        <w:t xml:space="preserve"> [2000] ECR II-00491</w:t>
      </w:r>
      <w:r>
        <w:rPr>
          <w:rFonts w:ascii="Times New Roman" w:hAnsi="Times New Roman" w:cs="Times New Roman"/>
          <w:sz w:val="20"/>
          <w:szCs w:val="20"/>
        </w:rPr>
        <w:t>,</w:t>
      </w:r>
      <w:r w:rsidRPr="006F1E60">
        <w:rPr>
          <w:rFonts w:ascii="Times New Roman" w:hAnsi="Times New Roman" w:cs="Times New Roman"/>
          <w:sz w:val="20"/>
          <w:szCs w:val="20"/>
        </w:rPr>
        <w:t xml:space="preserve"> para 1838.</w:t>
      </w:r>
    </w:p>
  </w:footnote>
  <w:footnote w:id="68">
    <w:p w14:paraId="03683938" w14:textId="19E43A0B"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This possibility is in fact required by the principle of effectiveness. See C-74/14, </w:t>
      </w:r>
      <w:r w:rsidRPr="006F1E60">
        <w:rPr>
          <w:rFonts w:ascii="Times New Roman" w:hAnsi="Times New Roman" w:cs="Times New Roman"/>
          <w:i/>
          <w:sz w:val="20"/>
          <w:szCs w:val="20"/>
        </w:rPr>
        <w:t>Eturas and others</w:t>
      </w:r>
      <w:r w:rsidRPr="006F1E60">
        <w:rPr>
          <w:rFonts w:ascii="Times New Roman" w:hAnsi="Times New Roman" w:cs="Times New Roman"/>
          <w:sz w:val="20"/>
          <w:szCs w:val="20"/>
        </w:rPr>
        <w:t xml:space="preserve"> EU:C:2016:42, para. 37.</w:t>
      </w:r>
    </w:p>
  </w:footnote>
  <w:footnote w:id="69">
    <w:p w14:paraId="5067CE2B"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European Commission, Case AT.39740 , Brussels, 27.6.2017, C(2017) 4444 final. Available at </w:t>
      </w:r>
      <w:hyperlink r:id="rId1" w:history="1">
        <w:r w:rsidRPr="006F1E60">
          <w:rPr>
            <w:rStyle w:val="Hyperlink"/>
            <w:rFonts w:ascii="Times New Roman" w:hAnsi="Times New Roman" w:cs="Times New Roman"/>
            <w:sz w:val="20"/>
            <w:szCs w:val="20"/>
          </w:rPr>
          <w:t>http://ec.europa.eu/competition/antitrust/cases/dec_docs/39740/39740_14996_3.pdf</w:t>
        </w:r>
      </w:hyperlink>
      <w:r w:rsidRPr="006F1E60">
        <w:rPr>
          <w:rFonts w:ascii="Times New Roman" w:hAnsi="Times New Roman" w:cs="Times New Roman"/>
          <w:sz w:val="20"/>
          <w:szCs w:val="20"/>
        </w:rPr>
        <w:t xml:space="preserve"> (hereinafter, “Decision”).</w:t>
      </w:r>
    </w:p>
  </w:footnote>
  <w:footnote w:id="70">
    <w:p w14:paraId="395D23A2" w14:textId="77777777" w:rsidR="00DF3BC0" w:rsidRPr="006F1E60" w:rsidRDefault="00DF3BC0" w:rsidP="00A06D5A">
      <w:pPr>
        <w:jc w:val="both"/>
        <w:rPr>
          <w:rFonts w:ascii="Times New Roman" w:eastAsia="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eastAsia="Times New Roman" w:hAnsi="Times New Roman" w:cs="Times New Roman"/>
          <w:color w:val="000000"/>
          <w:sz w:val="20"/>
          <w:szCs w:val="20"/>
        </w:rPr>
        <w:t>By “design choices”, I refer here to the rules and criteria embedded in the algorithm, including any subsequent changes or “updates” (as they are typically called in the context of Google search), without entering in this context into the specifics. Further, I am using a particular notion of algorithm, as a set of mathematical instructions to provide ranking and selection intermediation (also known as “gatekeeping”) services. </w:t>
      </w:r>
    </w:p>
  </w:footnote>
  <w:footnote w:id="71">
    <w:p w14:paraId="452CD9CA"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Case T-612/17, Action brought on 11 September 2017 – </w:t>
      </w:r>
      <w:r w:rsidRPr="006F1E60">
        <w:rPr>
          <w:rFonts w:ascii="Times New Roman" w:hAnsi="Times New Roman" w:cs="Times New Roman"/>
          <w:i/>
          <w:sz w:val="20"/>
          <w:szCs w:val="20"/>
        </w:rPr>
        <w:t>Google and Alphabet v Commission</w:t>
      </w:r>
      <w:r w:rsidRPr="006F1E60">
        <w:rPr>
          <w:rFonts w:ascii="Times New Roman" w:hAnsi="Times New Roman" w:cs="Times New Roman"/>
          <w:sz w:val="20"/>
          <w:szCs w:val="20"/>
        </w:rPr>
        <w:t>, OJ C 369, 30.10.2017, p. 37–38.</w:t>
      </w:r>
    </w:p>
  </w:footnote>
  <w:footnote w:id="72">
    <w:p w14:paraId="64ABEF59" w14:textId="63936793" w:rsidR="00DF3BC0" w:rsidRPr="006F1E60" w:rsidRDefault="00DF3BC0" w:rsidP="00A06D5A">
      <w:pPr>
        <w:jc w:val="both"/>
        <w:rPr>
          <w:rFonts w:ascii="Times New Roman" w:eastAsia="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eastAsia="Times New Roman" w:hAnsi="Times New Roman" w:cs="Times New Roman"/>
          <w:sz w:val="20"/>
          <w:szCs w:val="20"/>
        </w:rPr>
        <w:t xml:space="preserve">Case C-7/97, </w:t>
      </w:r>
      <w:r w:rsidRPr="006F1E60">
        <w:rPr>
          <w:rFonts w:ascii="Times New Roman" w:eastAsia="Times New Roman" w:hAnsi="Times New Roman" w:cs="Times New Roman"/>
          <w:i/>
          <w:sz w:val="20"/>
          <w:szCs w:val="20"/>
        </w:rPr>
        <w:t>Oscar Bronner GmbH &amp; Co. KG v. Mediaprint Zeitungsund Zeitschriftenverlag GmbH &amp; Co. KG</w:t>
      </w:r>
      <w:r w:rsidRPr="006F1E60">
        <w:rPr>
          <w:rFonts w:ascii="Times New Roman" w:eastAsia="Times New Roman" w:hAnsi="Times New Roman" w:cs="Times New Roman"/>
          <w:sz w:val="20"/>
          <w:szCs w:val="20"/>
        </w:rPr>
        <w:t xml:space="preserve"> [1998] ECR I-7791, para. 41.</w:t>
      </w:r>
    </w:p>
  </w:footnote>
  <w:footnote w:id="73">
    <w:p w14:paraId="330A28C9" w14:textId="66E0FC4B"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Decision, para. 649 and 334, referring to Case 311/84, </w:t>
      </w:r>
      <w:r w:rsidRPr="006F1E60">
        <w:rPr>
          <w:rFonts w:ascii="Times New Roman" w:hAnsi="Times New Roman" w:cs="Times New Roman"/>
          <w:i/>
          <w:sz w:val="20"/>
          <w:szCs w:val="20"/>
        </w:rPr>
        <w:t>Télémarketing</w:t>
      </w:r>
      <w:r w:rsidRPr="006F1E60">
        <w:rPr>
          <w:rFonts w:ascii="Times New Roman" w:hAnsi="Times New Roman" w:cs="Times New Roman"/>
          <w:sz w:val="20"/>
          <w:szCs w:val="20"/>
        </w:rPr>
        <w:t xml:space="preserve"> EU:C:1985:394, para. 27; Case C-333/94 P, </w:t>
      </w:r>
      <w:r w:rsidRPr="006F1E60">
        <w:rPr>
          <w:rFonts w:ascii="Times New Roman" w:hAnsi="Times New Roman" w:cs="Times New Roman"/>
          <w:i/>
          <w:sz w:val="20"/>
          <w:szCs w:val="20"/>
        </w:rPr>
        <w:t>Tetra Pak II</w:t>
      </w:r>
      <w:r w:rsidRPr="006F1E60">
        <w:rPr>
          <w:rFonts w:ascii="Times New Roman" w:hAnsi="Times New Roman" w:cs="Times New Roman"/>
          <w:sz w:val="20"/>
          <w:szCs w:val="20"/>
        </w:rPr>
        <w:t xml:space="preserve"> EU:C:1996:436, para. 25; Case T- 228/97, </w:t>
      </w:r>
      <w:r w:rsidRPr="006F1E60">
        <w:rPr>
          <w:rFonts w:ascii="Times New Roman" w:hAnsi="Times New Roman" w:cs="Times New Roman"/>
          <w:i/>
          <w:sz w:val="20"/>
          <w:szCs w:val="20"/>
        </w:rPr>
        <w:t>Irish Sugar</w:t>
      </w:r>
      <w:r w:rsidRPr="006F1E60">
        <w:rPr>
          <w:rFonts w:ascii="Times New Roman" w:hAnsi="Times New Roman" w:cs="Times New Roman"/>
          <w:sz w:val="20"/>
          <w:szCs w:val="20"/>
        </w:rPr>
        <w:t xml:space="preserve"> EU:T:1999:246, para. 166; Case T-201/04, </w:t>
      </w:r>
      <w:r w:rsidRPr="006F1E60">
        <w:rPr>
          <w:rFonts w:ascii="Times New Roman" w:hAnsi="Times New Roman" w:cs="Times New Roman"/>
          <w:i/>
          <w:sz w:val="20"/>
          <w:szCs w:val="20"/>
        </w:rPr>
        <w:t>Microsoft</w:t>
      </w:r>
      <w:r w:rsidRPr="006F1E60">
        <w:rPr>
          <w:rFonts w:ascii="Times New Roman" w:hAnsi="Times New Roman" w:cs="Times New Roman"/>
          <w:sz w:val="20"/>
          <w:szCs w:val="20"/>
        </w:rPr>
        <w:t xml:space="preserve"> EU:T:2007:289, para. 1344.</w:t>
      </w:r>
    </w:p>
  </w:footnote>
  <w:footnote w:id="74">
    <w:p w14:paraId="27CB7FBD"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Id.</w:t>
      </w:r>
      <w:r w:rsidRPr="006F1E60">
        <w:rPr>
          <w:rFonts w:ascii="Times New Roman" w:hAnsi="Times New Roman" w:cs="Times New Roman"/>
          <w:sz w:val="20"/>
          <w:szCs w:val="20"/>
        </w:rPr>
        <w:t>, para 26.</w:t>
      </w:r>
    </w:p>
  </w:footnote>
  <w:footnote w:id="75">
    <w:p w14:paraId="44F02B89"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Cases 6/73 and 7/73, </w:t>
      </w:r>
      <w:r w:rsidRPr="006F1E60">
        <w:rPr>
          <w:rFonts w:ascii="Times New Roman" w:hAnsi="Times New Roman" w:cs="Times New Roman"/>
          <w:i/>
          <w:sz w:val="20"/>
          <w:szCs w:val="20"/>
        </w:rPr>
        <w:t>ICI and Commercial Solvents v Commission</w:t>
      </w:r>
      <w:r w:rsidRPr="006F1E60">
        <w:rPr>
          <w:rFonts w:ascii="Times New Roman" w:hAnsi="Times New Roman" w:cs="Times New Roman"/>
          <w:sz w:val="20"/>
          <w:szCs w:val="20"/>
        </w:rPr>
        <w:t xml:space="preserve"> [1974] ECR 223.</w:t>
      </w:r>
    </w:p>
  </w:footnote>
  <w:footnote w:id="76">
    <w:p w14:paraId="4CC2F13F"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Id.</w:t>
      </w:r>
      <w:r w:rsidRPr="006F1E60">
        <w:rPr>
          <w:rFonts w:ascii="Times New Roman" w:hAnsi="Times New Roman" w:cs="Times New Roman"/>
          <w:sz w:val="20"/>
          <w:szCs w:val="20"/>
        </w:rPr>
        <w:t>, para. 25.</w:t>
      </w:r>
    </w:p>
  </w:footnote>
  <w:footnote w:id="77">
    <w:p w14:paraId="6DADECDA" w14:textId="77777777" w:rsidR="00DF3BC0" w:rsidRPr="006F1E60" w:rsidRDefault="00DF3BC0" w:rsidP="00A06D5A">
      <w:pPr>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in this sense also Thomas Hoppner, ‘Duty to Treat Downstream Rivals Equally: (Merely) a Natural Remedy to Google’s Monopoly Leveraging Abuse’, 3 European Competition and Regulatory Law Review (2017) 208.</w:t>
      </w:r>
    </w:p>
  </w:footnote>
  <w:footnote w:id="78">
    <w:p w14:paraId="446467C6"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The specific wording use by the Court is the following: ““Even if the failure to grant rebates to other industrial sugar purchasers is not tantamount to a refusal to supply, the principle of the abusive exploitation of a dominant position on a market to affect competition on another market has already been established”.</w:t>
      </w:r>
    </w:p>
  </w:footnote>
  <w:footnote w:id="79">
    <w:p w14:paraId="5AEDE514"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Case C-52/09 </w:t>
      </w:r>
      <w:r w:rsidRPr="006F1E60">
        <w:rPr>
          <w:rFonts w:ascii="Times New Roman" w:hAnsi="Times New Roman" w:cs="Times New Roman"/>
          <w:i/>
          <w:sz w:val="20"/>
          <w:szCs w:val="20"/>
        </w:rPr>
        <w:t>Konkurrensverket v TeliaSonera</w:t>
      </w:r>
      <w:r w:rsidRPr="006F1E60">
        <w:rPr>
          <w:rFonts w:ascii="Times New Roman" w:hAnsi="Times New Roman" w:cs="Times New Roman"/>
          <w:sz w:val="20"/>
          <w:szCs w:val="20"/>
        </w:rPr>
        <w:t xml:space="preserve"> [2011] ECR I-527, para. 58. </w:t>
      </w:r>
    </w:p>
  </w:footnote>
  <w:footnote w:id="80">
    <w:p w14:paraId="737A1B69" w14:textId="603BC464" w:rsidR="00DF3BC0" w:rsidRPr="006F1E60" w:rsidRDefault="00DF3BC0" w:rsidP="00A06D5A">
      <w:pPr>
        <w:jc w:val="both"/>
        <w:rPr>
          <w:rFonts w:ascii="Times New Roman" w:eastAsia="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Case </w:t>
      </w:r>
      <w:r w:rsidRPr="006F1E60">
        <w:rPr>
          <w:rFonts w:ascii="Times New Roman" w:eastAsia="Times New Roman" w:hAnsi="Times New Roman" w:cs="Times New Roman"/>
          <w:color w:val="000000"/>
          <w:sz w:val="20"/>
          <w:szCs w:val="20"/>
        </w:rPr>
        <w:t xml:space="preserve">T-229/94, </w:t>
      </w:r>
      <w:r w:rsidRPr="006F1E60">
        <w:rPr>
          <w:rFonts w:ascii="Times New Roman" w:eastAsia="Times New Roman" w:hAnsi="Times New Roman" w:cs="Times New Roman"/>
          <w:i/>
          <w:iCs/>
          <w:color w:val="000000"/>
          <w:sz w:val="20"/>
          <w:szCs w:val="20"/>
        </w:rPr>
        <w:t>Deutsche Bahn AG v. Commission</w:t>
      </w:r>
      <w:r w:rsidRPr="006F1E60">
        <w:rPr>
          <w:rFonts w:ascii="Times New Roman" w:eastAsia="Times New Roman" w:hAnsi="Times New Roman" w:cs="Times New Roman"/>
          <w:color w:val="000000"/>
          <w:sz w:val="20"/>
          <w:szCs w:val="20"/>
        </w:rPr>
        <w:t xml:space="preserve"> ECR [1997] II-1689; and Case COMP/38.745, </w:t>
      </w:r>
      <w:r w:rsidRPr="006F1E60">
        <w:rPr>
          <w:rFonts w:ascii="Times New Roman" w:eastAsia="Times New Roman" w:hAnsi="Times New Roman" w:cs="Times New Roman"/>
          <w:i/>
          <w:iCs/>
          <w:color w:val="000000"/>
          <w:sz w:val="20"/>
          <w:szCs w:val="20"/>
        </w:rPr>
        <w:t>BdKEP – Restrictions on Mail Preparation,</w:t>
      </w:r>
      <w:r w:rsidRPr="006F1E60">
        <w:rPr>
          <w:rFonts w:ascii="Times New Roman" w:eastAsia="Times New Roman" w:hAnsi="Times New Roman" w:cs="Times New Roman"/>
          <w:color w:val="000000"/>
          <w:sz w:val="20"/>
          <w:szCs w:val="20"/>
        </w:rPr>
        <w:t xml:space="preserve"> Commission Decision of 20 October 2004 [unreported], available at http://ec.europa.eu/competition/antitrust/cases/dec_docs/38745/38745_32_1.pdf. </w:t>
      </w:r>
      <w:r w:rsidRPr="006F1E60">
        <w:rPr>
          <w:rFonts w:ascii="Times New Roman" w:hAnsi="Times New Roman" w:cs="Times New Roman"/>
          <w:sz w:val="20"/>
          <w:szCs w:val="20"/>
        </w:rPr>
        <w:t>It should be noted that not everyone accepts that this is a correct interpretation of the purpose of article 102 ©. See e.g. Damien Geradin and Nicolas Petit, ‘Price Discrimination under EC Competition Law: The Need for a case-by-case approach’, GCLC Working Paper 07/2005.</w:t>
      </w:r>
    </w:p>
  </w:footnote>
  <w:footnote w:id="81">
    <w:p w14:paraId="2E7A819C"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Decision, para. 650.</w:t>
      </w:r>
    </w:p>
  </w:footnote>
  <w:footnote w:id="82">
    <w:p w14:paraId="2CCAF7E5" w14:textId="59545D56"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for instance Magali Eben, ‘Fining Google: a missed opp</w:t>
      </w:r>
      <w:r>
        <w:rPr>
          <w:rFonts w:ascii="Times New Roman" w:hAnsi="Times New Roman" w:cs="Times New Roman"/>
          <w:sz w:val="20"/>
          <w:szCs w:val="20"/>
        </w:rPr>
        <w:t>ortunity for legal certainty?’ 14</w:t>
      </w:r>
      <w:r w:rsidRPr="006F1E60">
        <w:rPr>
          <w:rFonts w:ascii="Times New Roman" w:hAnsi="Times New Roman" w:cs="Times New Roman"/>
          <w:sz w:val="20"/>
          <w:szCs w:val="20"/>
        </w:rPr>
        <w:t xml:space="preserve"> European Competition Journal</w:t>
      </w:r>
      <w:r>
        <w:rPr>
          <w:rFonts w:ascii="Times New Roman" w:hAnsi="Times New Roman" w:cs="Times New Roman"/>
          <w:sz w:val="20"/>
          <w:szCs w:val="20"/>
        </w:rPr>
        <w:t xml:space="preserve"> (2018), </w:t>
      </w:r>
      <w:r w:rsidRPr="006F1E60">
        <w:rPr>
          <w:rFonts w:ascii="Times New Roman" w:hAnsi="Times New Roman" w:cs="Times New Roman"/>
          <w:sz w:val="20"/>
          <w:szCs w:val="20"/>
        </w:rPr>
        <w:t>129-151; Pinar Akman, ‘The Theory of Abuse in Google Search: A Positive and Normative Asses</w:t>
      </w:r>
      <w:r>
        <w:rPr>
          <w:rFonts w:ascii="Times New Roman" w:hAnsi="Times New Roman" w:cs="Times New Roman"/>
          <w:sz w:val="20"/>
          <w:szCs w:val="20"/>
        </w:rPr>
        <w:t xml:space="preserve">sment Under EU Competition Law’ 1 </w:t>
      </w:r>
      <w:r w:rsidRPr="006F1E60">
        <w:rPr>
          <w:rFonts w:ascii="Times New Roman" w:hAnsi="Times New Roman" w:cs="Times New Roman"/>
          <w:sz w:val="20"/>
          <w:szCs w:val="20"/>
        </w:rPr>
        <w:t>Journal of Law, Te</w:t>
      </w:r>
      <w:r>
        <w:rPr>
          <w:rFonts w:ascii="Times New Roman" w:hAnsi="Times New Roman" w:cs="Times New Roman"/>
          <w:sz w:val="20"/>
          <w:szCs w:val="20"/>
        </w:rPr>
        <w:t xml:space="preserve">chnology and Policy (2017), </w:t>
      </w:r>
      <w:r w:rsidRPr="006F1E60">
        <w:rPr>
          <w:rFonts w:ascii="Times New Roman" w:hAnsi="Times New Roman" w:cs="Times New Roman"/>
          <w:sz w:val="20"/>
          <w:szCs w:val="20"/>
        </w:rPr>
        <w:t>301-374.</w:t>
      </w:r>
    </w:p>
  </w:footnote>
  <w:footnote w:id="83">
    <w:p w14:paraId="0194C4D7" w14:textId="4FCF4DFD"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Commission Decision COMP/38.096 </w:t>
      </w:r>
      <w:r w:rsidRPr="006F1E60">
        <w:rPr>
          <w:rFonts w:ascii="Times New Roman" w:hAnsi="Times New Roman" w:cs="Times New Roman"/>
          <w:i/>
          <w:sz w:val="20"/>
          <w:szCs w:val="20"/>
        </w:rPr>
        <w:t>Clearstream – Clearing and Settlement</w:t>
      </w:r>
      <w:r>
        <w:rPr>
          <w:rFonts w:ascii="Times New Roman" w:hAnsi="Times New Roman" w:cs="Times New Roman"/>
          <w:sz w:val="20"/>
          <w:szCs w:val="20"/>
        </w:rPr>
        <w:t xml:space="preserve"> </w:t>
      </w:r>
      <w:r w:rsidRPr="006F1E60">
        <w:rPr>
          <w:rFonts w:ascii="Times New Roman" w:hAnsi="Times New Roman" w:cs="Times New Roman"/>
          <w:sz w:val="20"/>
          <w:szCs w:val="20"/>
        </w:rPr>
        <w:t xml:space="preserve">OJ C 165, 2009, 7, paras. 344 and 345; Commission Decision, AT.39985 </w:t>
      </w:r>
      <w:r w:rsidRPr="006F1E60">
        <w:rPr>
          <w:rFonts w:ascii="Times New Roman" w:hAnsi="Times New Roman" w:cs="Times New Roman"/>
          <w:i/>
          <w:sz w:val="20"/>
          <w:szCs w:val="20"/>
        </w:rPr>
        <w:t>Motorola – Enforcement of GPRS Standard Essential Patents</w:t>
      </w:r>
      <w:r w:rsidRPr="006F1E60">
        <w:rPr>
          <w:rFonts w:ascii="Times New Roman" w:hAnsi="Times New Roman" w:cs="Times New Roman"/>
          <w:sz w:val="20"/>
          <w:szCs w:val="20"/>
        </w:rPr>
        <w:t xml:space="preserve"> OJ (C 344), 2014, 6, para. 561.</w:t>
      </w:r>
    </w:p>
  </w:footnote>
  <w:footnote w:id="84">
    <w:p w14:paraId="43502BDF" w14:textId="4D9E85E3"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For a persuasive argument that this runs counter to the principle of legal certainty, see Magali Eblen,</w:t>
      </w:r>
      <w:r>
        <w:rPr>
          <w:rFonts w:ascii="Times New Roman" w:hAnsi="Times New Roman" w:cs="Times New Roman"/>
          <w:sz w:val="20"/>
          <w:szCs w:val="20"/>
        </w:rPr>
        <w:t xml:space="preserve"> supra 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NOTEREF _Ref390205226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BC68CA">
        <w:rPr>
          <w:rFonts w:ascii="Times New Roman" w:hAnsi="Times New Roman" w:cs="Times New Roman"/>
          <w:sz w:val="20"/>
          <w:szCs w:val="20"/>
        </w:rPr>
        <w:t>82</w:t>
      </w:r>
      <w:r>
        <w:rPr>
          <w:rFonts w:ascii="Times New Roman" w:hAnsi="Times New Roman" w:cs="Times New Roman"/>
          <w:sz w:val="20"/>
          <w:szCs w:val="20"/>
        </w:rPr>
        <w:fldChar w:fldCharType="end"/>
      </w:r>
      <w:r w:rsidRPr="006F1E60">
        <w:rPr>
          <w:rFonts w:ascii="Times New Roman" w:hAnsi="Times New Roman" w:cs="Times New Roman"/>
          <w:sz w:val="20"/>
          <w:szCs w:val="20"/>
        </w:rPr>
        <w:t xml:space="preserve">. </w:t>
      </w:r>
    </w:p>
  </w:footnote>
  <w:footnote w:id="85">
    <w:p w14:paraId="75AFD397"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Decision, Art. 2-4.</w:t>
      </w:r>
    </w:p>
  </w:footnote>
  <w:footnote w:id="86">
    <w:p w14:paraId="75553B64" w14:textId="77777777" w:rsidR="00DF3BC0" w:rsidRPr="006F1E60" w:rsidRDefault="00DF3BC0" w:rsidP="00A06D5A">
      <w:pPr>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in this regard Nicolas Petit, ‘Theories of Self-Preferencing Under Article 102 TFEU: A Reply to Bo Vesterdorf’ (April 29, 2015). Available at SSRN: https://ssrn.com/abstract=2592253 or http://dx.doi.org/10.2139/ssrn.2592253. </w:t>
      </w:r>
    </w:p>
  </w:footnote>
  <w:footnote w:id="87">
    <w:p w14:paraId="61D46F20" w14:textId="77777777" w:rsidR="00DF3BC0" w:rsidRPr="006F1E60" w:rsidRDefault="00DF3BC0" w:rsidP="00A06D5A">
      <w:pPr>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in this regard the Decision by India’s Competition Commission in Cases Nos. 07 &amp; 30 of 2012, Matrimony.com v Google LLC, Google India and Google Ireland, available at http://www.cci.gov.in/sites/default/files/07%20%26%20%2030%20of%202012.pdf (finding that Google’s leveraging amounted to an imposition of unfair conditions in the purchase or sale of goods or services, in contravention of Section 4 (2) (a) (i) of the Competition Act).</w:t>
      </w:r>
    </w:p>
  </w:footnote>
  <w:footnote w:id="88">
    <w:p w14:paraId="2DB80BF2"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Cade Metz, ‘AI Is Transforming Google Search. The Rest of the Web Is Next’, Wired (2 April 2016). Available at https://www.wired.com/2016/02/ai-is-changing-the-technology-behind-google-searches/.</w:t>
      </w:r>
    </w:p>
  </w:footnote>
  <w:footnote w:id="89">
    <w:p w14:paraId="08AF1D48"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for instance the annual conferences on Fairness, Accountability and Transparency (FAT) and on Fairness, Accountability and Transparency in Machine Learning (FATML), at </w:t>
      </w:r>
      <w:hyperlink r:id="rId2" w:history="1">
        <w:r w:rsidRPr="006F1E60">
          <w:rPr>
            <w:rStyle w:val="Hyperlink"/>
            <w:rFonts w:ascii="Times New Roman" w:hAnsi="Times New Roman" w:cs="Times New Roman"/>
            <w:sz w:val="20"/>
            <w:szCs w:val="20"/>
          </w:rPr>
          <w:t>https://fatconference.org</w:t>
        </w:r>
      </w:hyperlink>
      <w:r w:rsidRPr="006F1E60">
        <w:rPr>
          <w:rFonts w:ascii="Times New Roman" w:hAnsi="Times New Roman" w:cs="Times New Roman"/>
          <w:sz w:val="20"/>
          <w:szCs w:val="20"/>
        </w:rPr>
        <w:t xml:space="preserve"> and https://www.fatml.org/.</w:t>
      </w:r>
    </w:p>
  </w:footnote>
  <w:footnote w:id="90">
    <w:p w14:paraId="410308E1"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A good example is the “signals” for triggering the appearance of Product Universal, and/or its appearance in the middle to top position of the results in the first page: the number of stores and the number of shopping comparison engine in the top-3 generic search results. See Decision, para. 391.</w:t>
      </w:r>
    </w:p>
  </w:footnote>
  <w:footnote w:id="91">
    <w:p w14:paraId="2C7882A5"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Decision, para. 512.</w:t>
      </w:r>
    </w:p>
  </w:footnote>
  <w:footnote w:id="92">
    <w:p w14:paraId="2638C4CA"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Decision, para. 491.</w:t>
      </w:r>
    </w:p>
  </w:footnote>
  <w:footnote w:id="93">
    <w:p w14:paraId="1ED04FA2" w14:textId="5DA27564" w:rsidR="00DF3BC0" w:rsidRPr="0082290C" w:rsidRDefault="00DF3BC0">
      <w:pPr>
        <w:pStyle w:val="FootnoteText"/>
        <w:rPr>
          <w:sz w:val="20"/>
          <w:szCs w:val="20"/>
        </w:rPr>
      </w:pPr>
      <w:r w:rsidRPr="0082290C">
        <w:rPr>
          <w:rStyle w:val="FootnoteReference"/>
          <w:sz w:val="20"/>
          <w:szCs w:val="20"/>
        </w:rPr>
        <w:footnoteRef/>
      </w:r>
      <w:r w:rsidRPr="0082290C">
        <w:rPr>
          <w:sz w:val="20"/>
          <w:szCs w:val="20"/>
        </w:rPr>
        <w:t xml:space="preserve"> Decision, para. 663.</w:t>
      </w:r>
    </w:p>
  </w:footnote>
  <w:footnote w:id="94">
    <w:p w14:paraId="6AE252D8"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Margarethe Vestager, ‘Algorithms and competition’, Speech at the Bundeskartellamt 18th Conference on Competition, Berlin, 16 March 2017. Available at https://ec.europa.eu/commission/commissioners/2014-2019/vestager/announcements/bundeskartellamt-18th-conference-competition-berlin-16-march-2017_en</w:t>
      </w:r>
    </w:p>
  </w:footnote>
  <w:footnote w:id="95">
    <w:p w14:paraId="07912407"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The only limit it provides in that respect, presumably reflecting the feedback received in the ‘market-testing’ of the commitments offered to Commissioner Almunia in 2013 and 2014, is that any measure chosen by Google to comply with the order “should not lead to competing comparison shopping services being charged a fee or another form of consideration that has the same or an equivalent object or effect as the infringement established by this Decision”. Decision, para. 700. </w:t>
      </w:r>
    </w:p>
  </w:footnote>
  <w:footnote w:id="96">
    <w:p w14:paraId="661FE83F"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As a measure implementing the remedy, since 28 September 2017 Google shifted its shopping operations into a separate entity, with other companies now able to bid for places in the Shopping Units. Furthermore, each ad in the Shopping Unit indicates which comparison service is providing it. However, it has been reported that as many as 99% of those Shopping results are held by Google. See Searchmetrics, ‘Google Shopping: Is the Revamped Comparison Service Fairer to Competitors?’ (29 January 2018), at </w:t>
      </w:r>
      <w:hyperlink r:id="rId3" w:history="1">
        <w:r w:rsidRPr="006F1E60">
          <w:rPr>
            <w:rStyle w:val="Hyperlink"/>
            <w:rFonts w:ascii="Times New Roman" w:hAnsi="Times New Roman" w:cs="Times New Roman"/>
            <w:sz w:val="20"/>
            <w:szCs w:val="20"/>
          </w:rPr>
          <w:t>https://blog.searchmetrics.com/us/2018/01/29/google-shopping-revamped-fairer-to-competitors/</w:t>
        </w:r>
      </w:hyperlink>
      <w:r w:rsidRPr="006F1E60">
        <w:rPr>
          <w:rFonts w:ascii="Times New Roman" w:hAnsi="Times New Roman" w:cs="Times New Roman"/>
          <w:sz w:val="20"/>
          <w:szCs w:val="20"/>
        </w:rPr>
        <w:t xml:space="preserve">. See also Sam Schechner and Nathalia Dozdriak, ‘Google Rivals Ask EU to Toughen Measures in Antitrust Case’, Wall Street Journal (30 January 2018). Available at </w:t>
      </w:r>
      <w:hyperlink r:id="rId4" w:history="1">
        <w:r w:rsidRPr="006F1E60">
          <w:rPr>
            <w:rStyle w:val="Hyperlink"/>
            <w:rFonts w:ascii="Times New Roman" w:hAnsi="Times New Roman" w:cs="Times New Roman"/>
            <w:sz w:val="20"/>
            <w:szCs w:val="20"/>
          </w:rPr>
          <w:t>https://www.wsj.com/articles/google-rivals-ask-eu-to-toughen-measures-in-antitrust-case-1517334038</w:t>
        </w:r>
      </w:hyperlink>
      <w:r w:rsidRPr="006F1E60">
        <w:rPr>
          <w:rFonts w:ascii="Times New Roman" w:hAnsi="Times New Roman" w:cs="Times New Roman"/>
          <w:sz w:val="20"/>
          <w:szCs w:val="20"/>
        </w:rPr>
        <w:t xml:space="preserve">. </w:t>
      </w:r>
    </w:p>
  </w:footnote>
  <w:footnote w:id="97">
    <w:p w14:paraId="711DB291"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Decision, paras. 594-597.</w:t>
      </w:r>
    </w:p>
  </w:footnote>
  <w:footnote w:id="98">
    <w:p w14:paraId="1B586448" w14:textId="4F63E481"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Emphasis added. See Id., para. 602; Case C-52/09, </w:t>
      </w:r>
      <w:r w:rsidRPr="006F1E60">
        <w:rPr>
          <w:rFonts w:ascii="Times New Roman" w:hAnsi="Times New Roman" w:cs="Times New Roman"/>
          <w:i/>
          <w:sz w:val="20"/>
          <w:szCs w:val="20"/>
        </w:rPr>
        <w:t>Konkurrensverket v TeliaSonera Sverige AB</w:t>
      </w:r>
      <w:r w:rsidRPr="006F1E60">
        <w:rPr>
          <w:rFonts w:ascii="Times New Roman" w:hAnsi="Times New Roman" w:cs="Times New Roman"/>
          <w:sz w:val="20"/>
          <w:szCs w:val="20"/>
        </w:rPr>
        <w:t xml:space="preserve"> EU:C:2011:83, para. 64; Case C- 549/10 P, </w:t>
      </w:r>
      <w:r w:rsidRPr="006F1E60">
        <w:rPr>
          <w:rFonts w:ascii="Times New Roman" w:hAnsi="Times New Roman" w:cs="Times New Roman"/>
          <w:i/>
          <w:sz w:val="20"/>
          <w:szCs w:val="20"/>
        </w:rPr>
        <w:t>Tomra Systems and Others v Commission</w:t>
      </w:r>
      <w:r w:rsidRPr="006F1E60">
        <w:rPr>
          <w:rFonts w:ascii="Times New Roman" w:hAnsi="Times New Roman" w:cs="Times New Roman"/>
          <w:sz w:val="20"/>
          <w:szCs w:val="20"/>
        </w:rPr>
        <w:t xml:space="preserve"> EU:C:2012:221, para. 79; Case T-336/07 </w:t>
      </w:r>
      <w:r w:rsidRPr="006F1E60">
        <w:rPr>
          <w:rFonts w:ascii="Times New Roman" w:hAnsi="Times New Roman" w:cs="Times New Roman"/>
          <w:i/>
          <w:sz w:val="20"/>
          <w:szCs w:val="20"/>
        </w:rPr>
        <w:t>Telefónica SA v Commission</w:t>
      </w:r>
      <w:r w:rsidRPr="006F1E60">
        <w:rPr>
          <w:rFonts w:ascii="Times New Roman" w:hAnsi="Times New Roman" w:cs="Times New Roman"/>
          <w:sz w:val="20"/>
          <w:szCs w:val="20"/>
        </w:rPr>
        <w:t xml:space="preserve"> EU:T:2012:172, para. 272, upheld on appeal in Case C-295/12 P, EU:C:2014:2062, para. 124; Case C-23/14 </w:t>
      </w:r>
      <w:r w:rsidRPr="006F1E60">
        <w:rPr>
          <w:rFonts w:ascii="Times New Roman" w:hAnsi="Times New Roman" w:cs="Times New Roman"/>
          <w:i/>
          <w:sz w:val="20"/>
          <w:szCs w:val="20"/>
        </w:rPr>
        <w:t>Post Danmark</w:t>
      </w:r>
      <w:r w:rsidRPr="006F1E60">
        <w:rPr>
          <w:rFonts w:ascii="Times New Roman" w:hAnsi="Times New Roman" w:cs="Times New Roman"/>
          <w:sz w:val="20"/>
          <w:szCs w:val="20"/>
        </w:rPr>
        <w:t xml:space="preserve"> EU:C:2015:651, para. 66; see also Case T-286/09, </w:t>
      </w:r>
      <w:r w:rsidRPr="006F1E60">
        <w:rPr>
          <w:rFonts w:ascii="Times New Roman" w:hAnsi="Times New Roman" w:cs="Times New Roman"/>
          <w:i/>
          <w:sz w:val="20"/>
          <w:szCs w:val="20"/>
        </w:rPr>
        <w:t>Intel v Commission</w:t>
      </w:r>
      <w:r w:rsidRPr="006F1E60">
        <w:rPr>
          <w:rFonts w:ascii="Times New Roman" w:hAnsi="Times New Roman" w:cs="Times New Roman"/>
          <w:sz w:val="20"/>
          <w:szCs w:val="20"/>
        </w:rPr>
        <w:t xml:space="preserve"> ECLI:EU:T:2014:547, para. 85, on this specific point confi</w:t>
      </w:r>
      <w:r>
        <w:rPr>
          <w:rFonts w:ascii="Times New Roman" w:hAnsi="Times New Roman" w:cs="Times New Roman"/>
          <w:sz w:val="20"/>
          <w:szCs w:val="20"/>
        </w:rPr>
        <w:t xml:space="preserve">rmed on appeal in Case C-413/14, </w:t>
      </w:r>
      <w:r w:rsidRPr="00E900BA">
        <w:rPr>
          <w:rFonts w:ascii="Times New Roman" w:hAnsi="Times New Roman" w:cs="Times New Roman"/>
          <w:i/>
          <w:sz w:val="20"/>
          <w:szCs w:val="20"/>
        </w:rPr>
        <w:t>Intel v Commission</w:t>
      </w:r>
      <w:r w:rsidRPr="006F1E60">
        <w:rPr>
          <w:rFonts w:ascii="Times New Roman" w:hAnsi="Times New Roman" w:cs="Times New Roman"/>
          <w:sz w:val="20"/>
          <w:szCs w:val="20"/>
        </w:rPr>
        <w:t xml:space="preserve"> ECLI:EU:C:2017:632, para.149.</w:t>
      </w:r>
    </w:p>
  </w:footnote>
  <w:footnote w:id="99">
    <w:p w14:paraId="290BDE85"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E900BA">
        <w:rPr>
          <w:rFonts w:ascii="Times New Roman" w:hAnsi="Times New Roman" w:cs="Times New Roman"/>
          <w:i/>
          <w:sz w:val="20"/>
          <w:szCs w:val="20"/>
        </w:rPr>
        <w:t>Id.</w:t>
      </w:r>
      <w:r w:rsidRPr="006F1E60">
        <w:rPr>
          <w:rFonts w:ascii="Times New Roman" w:hAnsi="Times New Roman" w:cs="Times New Roman"/>
          <w:sz w:val="20"/>
          <w:szCs w:val="20"/>
        </w:rPr>
        <w:t>, article 3 (emphasis added).</w:t>
      </w:r>
    </w:p>
  </w:footnote>
  <w:footnote w:id="100">
    <w:p w14:paraId="47646F47" w14:textId="08B4CA5E"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Blomsma, supra n. </w:t>
      </w:r>
      <w:r w:rsidRPr="006F1E60">
        <w:rPr>
          <w:rFonts w:ascii="Times New Roman" w:hAnsi="Times New Roman" w:cs="Times New Roman"/>
          <w:sz w:val="20"/>
          <w:szCs w:val="20"/>
        </w:rPr>
        <w:fldChar w:fldCharType="begin"/>
      </w:r>
      <w:r w:rsidRPr="006F1E60">
        <w:rPr>
          <w:rFonts w:ascii="Times New Roman" w:hAnsi="Times New Roman" w:cs="Times New Roman"/>
          <w:sz w:val="20"/>
          <w:szCs w:val="20"/>
        </w:rPr>
        <w:instrText xml:space="preserve"> NOTEREF _Ref390173981 \h </w:instrText>
      </w:r>
      <w:r w:rsidRPr="006F1E60">
        <w:rPr>
          <w:rFonts w:ascii="Times New Roman" w:hAnsi="Times New Roman" w:cs="Times New Roman"/>
          <w:sz w:val="20"/>
          <w:szCs w:val="20"/>
        </w:rPr>
      </w:r>
      <w:r w:rsidRPr="006F1E60">
        <w:rPr>
          <w:rFonts w:ascii="Times New Roman" w:hAnsi="Times New Roman" w:cs="Times New Roman"/>
          <w:sz w:val="20"/>
          <w:szCs w:val="20"/>
        </w:rPr>
        <w:fldChar w:fldCharType="separate"/>
      </w:r>
      <w:r w:rsidR="00BC68CA">
        <w:rPr>
          <w:rFonts w:ascii="Times New Roman" w:hAnsi="Times New Roman" w:cs="Times New Roman"/>
          <w:sz w:val="20"/>
          <w:szCs w:val="20"/>
        </w:rPr>
        <w:t>10</w:t>
      </w:r>
      <w:r w:rsidRPr="006F1E60">
        <w:rPr>
          <w:rFonts w:ascii="Times New Roman" w:hAnsi="Times New Roman" w:cs="Times New Roman"/>
          <w:sz w:val="20"/>
          <w:szCs w:val="20"/>
        </w:rPr>
        <w:fldChar w:fldCharType="end"/>
      </w:r>
      <w:r>
        <w:rPr>
          <w:rFonts w:ascii="Times New Roman" w:hAnsi="Times New Roman" w:cs="Times New Roman"/>
          <w:sz w:val="20"/>
          <w:szCs w:val="20"/>
        </w:rPr>
        <w:t>,</w:t>
      </w:r>
      <w:r w:rsidRPr="006F1E60">
        <w:rPr>
          <w:rFonts w:ascii="Times New Roman" w:hAnsi="Times New Roman" w:cs="Times New Roman"/>
          <w:sz w:val="20"/>
          <w:szCs w:val="20"/>
        </w:rPr>
        <w:t xml:space="preserve"> 175.</w:t>
      </w:r>
    </w:p>
  </w:footnote>
  <w:footnote w:id="101">
    <w:p w14:paraId="730DE443"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Id., para. 440 (emphasis added). By choosing to use the word ‘certain’, the Decision suggests that the use of certain </w:t>
      </w:r>
      <w:r w:rsidRPr="006F1E60">
        <w:rPr>
          <w:rFonts w:ascii="Times New Roman" w:hAnsi="Times New Roman" w:cs="Times New Roman"/>
          <w:i/>
          <w:sz w:val="20"/>
          <w:szCs w:val="20"/>
        </w:rPr>
        <w:t>other</w:t>
      </w:r>
      <w:r w:rsidRPr="006F1E60">
        <w:rPr>
          <w:rFonts w:ascii="Times New Roman" w:hAnsi="Times New Roman" w:cs="Times New Roman"/>
          <w:sz w:val="20"/>
          <w:szCs w:val="20"/>
        </w:rPr>
        <w:t xml:space="preserve"> criteria may be problematic. This hypothesis appears to be confirmed by para. 537, according to which “the Commission does not object to Google applying specific criteria </w:t>
      </w:r>
      <w:r w:rsidRPr="006F1E60">
        <w:rPr>
          <w:rFonts w:ascii="Times New Roman" w:hAnsi="Times New Roman" w:cs="Times New Roman"/>
          <w:i/>
          <w:sz w:val="20"/>
          <w:szCs w:val="20"/>
        </w:rPr>
        <w:t>per se</w:t>
      </w:r>
      <w:r w:rsidRPr="006F1E60">
        <w:rPr>
          <w:rFonts w:ascii="Times New Roman" w:hAnsi="Times New Roman" w:cs="Times New Roman"/>
          <w:sz w:val="20"/>
          <w:szCs w:val="20"/>
        </w:rPr>
        <w:t xml:space="preserve"> but to the fact that Google </w:t>
      </w:r>
      <w:r w:rsidRPr="006F1E60">
        <w:rPr>
          <w:rFonts w:ascii="Times New Roman" w:hAnsi="Times New Roman" w:cs="Times New Roman"/>
          <w:i/>
          <w:sz w:val="20"/>
          <w:szCs w:val="20"/>
        </w:rPr>
        <w:t xml:space="preserve">prominently </w:t>
      </w:r>
      <w:r w:rsidRPr="006F1E60">
        <w:rPr>
          <w:rFonts w:ascii="Times New Roman" w:hAnsi="Times New Roman" w:cs="Times New Roman"/>
          <w:sz w:val="20"/>
          <w:szCs w:val="20"/>
        </w:rPr>
        <w:t>positions and displays results only from its own comparison shopping service and not from competing comparison shopping services” (emphasis added).</w:t>
      </w:r>
    </w:p>
  </w:footnote>
  <w:footnote w:id="102">
    <w:p w14:paraId="76FAC6A3"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Namely, that the facility that is the object of refusal is indispensable to compete on a downstream market, and that refusal is not objectively justified. See </w:t>
      </w:r>
      <w:r w:rsidRPr="006F1E60">
        <w:rPr>
          <w:rFonts w:ascii="Times New Roman" w:hAnsi="Times New Roman" w:cs="Times New Roman"/>
          <w:i/>
          <w:sz w:val="20"/>
          <w:szCs w:val="20"/>
        </w:rPr>
        <w:t>Oscar Bronner GmbH &amp; Co. KG v. Mediaprint Zeitungs- und Zeitschriftenverlag GmbH &amp; Co. KG</w:t>
      </w:r>
      <w:r w:rsidRPr="006F1E60">
        <w:rPr>
          <w:rFonts w:ascii="Times New Roman" w:hAnsi="Times New Roman" w:cs="Times New Roman"/>
          <w:sz w:val="20"/>
          <w:szCs w:val="20"/>
        </w:rPr>
        <w:t>, Case C-7/97 [1998] ECR. I-7791, para. 112.</w:t>
      </w:r>
    </w:p>
  </w:footnote>
  <w:footnote w:id="103">
    <w:p w14:paraId="0DA3556D"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Case T-65/89, </w:t>
      </w:r>
      <w:r w:rsidRPr="006F1E60">
        <w:rPr>
          <w:rFonts w:ascii="Times New Roman" w:hAnsi="Times New Roman" w:cs="Times New Roman"/>
          <w:i/>
          <w:sz w:val="20"/>
          <w:szCs w:val="20"/>
        </w:rPr>
        <w:t>BPB Industries v Commission</w:t>
      </w:r>
      <w:r w:rsidRPr="006F1E60">
        <w:rPr>
          <w:rFonts w:ascii="Times New Roman" w:hAnsi="Times New Roman" w:cs="Times New Roman"/>
          <w:sz w:val="20"/>
          <w:szCs w:val="20"/>
        </w:rPr>
        <w:t xml:space="preserve"> [1993] ECR II-389, para. 94 (confirmed on appeal, Case C-310/93 P, para. 11).</w:t>
      </w:r>
    </w:p>
  </w:footnote>
  <w:footnote w:id="104">
    <w:p w14:paraId="4E10F3F7"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Ekatrina Rousseva, ‘The Concept of Objective Justification’ 2 (2006) 2 Competition Law Review, 27, 28-29.</w:t>
      </w:r>
    </w:p>
  </w:footnote>
  <w:footnote w:id="105">
    <w:p w14:paraId="7B6C1B80"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Alison Jones &amp; Brenda Sufrin, </w:t>
      </w:r>
      <w:r w:rsidRPr="006F1E60">
        <w:rPr>
          <w:rFonts w:ascii="Times New Roman" w:hAnsi="Times New Roman" w:cs="Times New Roman"/>
          <w:i/>
          <w:sz w:val="20"/>
          <w:szCs w:val="20"/>
        </w:rPr>
        <w:t>Competition Law</w:t>
      </w:r>
      <w:r w:rsidRPr="006F1E60">
        <w:rPr>
          <w:rFonts w:ascii="Times New Roman" w:hAnsi="Times New Roman" w:cs="Times New Roman"/>
          <w:sz w:val="20"/>
          <w:szCs w:val="20"/>
        </w:rPr>
        <w:t xml:space="preserve"> (Oxford University Press, 2016), 567.</w:t>
      </w:r>
    </w:p>
  </w:footnote>
  <w:footnote w:id="106">
    <w:p w14:paraId="7D67F65B"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BdKEP</w:t>
      </w:r>
      <w:r w:rsidRPr="006F1E60">
        <w:rPr>
          <w:rFonts w:ascii="Times New Roman" w:hAnsi="Times New Roman" w:cs="Times New Roman"/>
          <w:sz w:val="20"/>
          <w:szCs w:val="20"/>
        </w:rPr>
        <w:t xml:space="preserve">, para 92. But </w:t>
      </w:r>
      <w:r w:rsidRPr="006F1E60">
        <w:rPr>
          <w:rFonts w:ascii="Times New Roman" w:hAnsi="Times New Roman" w:cs="Times New Roman"/>
          <w:i/>
          <w:sz w:val="20"/>
          <w:szCs w:val="20"/>
        </w:rPr>
        <w:t>contra</w:t>
      </w:r>
      <w:r w:rsidRPr="006F1E60">
        <w:rPr>
          <w:rFonts w:ascii="Times New Roman" w:hAnsi="Times New Roman" w:cs="Times New Roman"/>
          <w:sz w:val="20"/>
          <w:szCs w:val="20"/>
        </w:rPr>
        <w:t xml:space="preserve"> see Pinar Akman, supra n. </w:t>
      </w:r>
      <w:r w:rsidRPr="006F1E60">
        <w:rPr>
          <w:rFonts w:ascii="Times New Roman" w:hAnsi="Times New Roman" w:cs="Times New Roman"/>
          <w:sz w:val="20"/>
          <w:szCs w:val="20"/>
        </w:rPr>
        <w:fldChar w:fldCharType="begin"/>
      </w:r>
      <w:r w:rsidRPr="006F1E60">
        <w:rPr>
          <w:rFonts w:ascii="Times New Roman" w:hAnsi="Times New Roman" w:cs="Times New Roman"/>
          <w:sz w:val="20"/>
          <w:szCs w:val="20"/>
        </w:rPr>
        <w:instrText xml:space="preserve"> NOTEREF _Ref390205226 \h </w:instrText>
      </w:r>
      <w:r w:rsidRPr="006F1E60">
        <w:rPr>
          <w:rFonts w:ascii="Times New Roman" w:hAnsi="Times New Roman" w:cs="Times New Roman"/>
          <w:sz w:val="20"/>
          <w:szCs w:val="20"/>
        </w:rPr>
      </w:r>
      <w:r w:rsidRPr="006F1E60">
        <w:rPr>
          <w:rFonts w:ascii="Times New Roman" w:hAnsi="Times New Roman" w:cs="Times New Roman"/>
          <w:sz w:val="20"/>
          <w:szCs w:val="20"/>
        </w:rPr>
        <w:fldChar w:fldCharType="separate"/>
      </w:r>
      <w:r w:rsidR="00BC68CA">
        <w:rPr>
          <w:rFonts w:ascii="Times New Roman" w:hAnsi="Times New Roman" w:cs="Times New Roman"/>
          <w:sz w:val="20"/>
          <w:szCs w:val="20"/>
        </w:rPr>
        <w:t>82</w:t>
      </w:r>
      <w:r w:rsidRPr="006F1E60">
        <w:rPr>
          <w:rFonts w:ascii="Times New Roman" w:hAnsi="Times New Roman" w:cs="Times New Roman"/>
          <w:sz w:val="20"/>
          <w:szCs w:val="20"/>
        </w:rPr>
        <w:fldChar w:fldCharType="end"/>
      </w:r>
      <w:r w:rsidRPr="006F1E60">
        <w:rPr>
          <w:rFonts w:ascii="Times New Roman" w:hAnsi="Times New Roman" w:cs="Times New Roman"/>
          <w:sz w:val="20"/>
          <w:szCs w:val="20"/>
        </w:rPr>
        <w:t xml:space="preserve">, at 36, suggesting that this might not be met in the case of Google. </w:t>
      </w:r>
    </w:p>
  </w:footnote>
  <w:footnote w:id="107">
    <w:p w14:paraId="186300D0"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e.g. Case C-170/13, </w:t>
      </w:r>
      <w:r w:rsidRPr="006F1E60">
        <w:rPr>
          <w:rFonts w:ascii="Times New Roman" w:hAnsi="Times New Roman" w:cs="Times New Roman"/>
          <w:i/>
          <w:sz w:val="20"/>
          <w:szCs w:val="20"/>
        </w:rPr>
        <w:t>Huawei Technologies Co. Ltd v ZTE Corp. and ZTE Deutschland GmbH</w:t>
      </w:r>
      <w:r w:rsidRPr="006F1E60">
        <w:rPr>
          <w:rFonts w:ascii="Times New Roman" w:hAnsi="Times New Roman" w:cs="Times New Roman"/>
          <w:sz w:val="20"/>
          <w:szCs w:val="20"/>
        </w:rPr>
        <w:t xml:space="preserve">, ECLI:EU:C:2015:477, para. 45, 53 and 54. </w:t>
      </w:r>
    </w:p>
  </w:footnote>
  <w:footnote w:id="108">
    <w:p w14:paraId="2922F9DD"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Kevin Coates, ‘The Estoppel Abuse’, 21st Century Competition Blog, 28 October 2013 available at http://www.twentyfirstcenturycompetition.com/2013/10/the-estoppel-abuse/; Nicolas Petit, </w:t>
      </w:r>
      <w:r w:rsidRPr="006F1E60">
        <w:rPr>
          <w:rFonts w:ascii="Times New Roman" w:hAnsi="Times New Roman" w:cs="Times New Roman"/>
          <w:i/>
          <w:sz w:val="20"/>
          <w:szCs w:val="20"/>
        </w:rPr>
        <w:t>supra</w:t>
      </w:r>
      <w:r w:rsidRPr="006F1E60">
        <w:rPr>
          <w:rFonts w:ascii="Times New Roman" w:hAnsi="Times New Roman" w:cs="Times New Roman"/>
          <w:sz w:val="20"/>
          <w:szCs w:val="20"/>
        </w:rPr>
        <w:t xml:space="preserve"> n. </w:t>
      </w:r>
      <w:r w:rsidRPr="006F1E60">
        <w:rPr>
          <w:rFonts w:ascii="Times New Roman" w:hAnsi="Times New Roman" w:cs="Times New Roman"/>
          <w:sz w:val="20"/>
          <w:szCs w:val="20"/>
        </w:rPr>
        <w:fldChar w:fldCharType="begin"/>
      </w:r>
      <w:r w:rsidRPr="006F1E60">
        <w:rPr>
          <w:rFonts w:ascii="Times New Roman" w:hAnsi="Times New Roman" w:cs="Times New Roman"/>
          <w:sz w:val="20"/>
          <w:szCs w:val="20"/>
        </w:rPr>
        <w:instrText xml:space="preserve"> NOTEREF _Ref390201973 \h </w:instrText>
      </w:r>
      <w:r w:rsidRPr="006F1E60">
        <w:rPr>
          <w:rFonts w:ascii="Times New Roman" w:hAnsi="Times New Roman" w:cs="Times New Roman"/>
          <w:sz w:val="20"/>
          <w:szCs w:val="20"/>
        </w:rPr>
      </w:r>
      <w:r w:rsidRPr="006F1E60">
        <w:rPr>
          <w:rFonts w:ascii="Times New Roman" w:hAnsi="Times New Roman" w:cs="Times New Roman"/>
          <w:sz w:val="20"/>
          <w:szCs w:val="20"/>
        </w:rPr>
        <w:fldChar w:fldCharType="separate"/>
      </w:r>
      <w:r w:rsidR="00BC68CA">
        <w:rPr>
          <w:rFonts w:ascii="Times New Roman" w:hAnsi="Times New Roman" w:cs="Times New Roman"/>
          <w:sz w:val="20"/>
          <w:szCs w:val="20"/>
        </w:rPr>
        <w:t>86</w:t>
      </w:r>
      <w:r w:rsidRPr="006F1E60">
        <w:rPr>
          <w:rFonts w:ascii="Times New Roman" w:hAnsi="Times New Roman" w:cs="Times New Roman"/>
          <w:sz w:val="20"/>
          <w:szCs w:val="20"/>
        </w:rPr>
        <w:fldChar w:fldCharType="end"/>
      </w:r>
      <w:r w:rsidRPr="006F1E60">
        <w:rPr>
          <w:rFonts w:ascii="Times New Roman" w:hAnsi="Times New Roman" w:cs="Times New Roman"/>
          <w:sz w:val="20"/>
          <w:szCs w:val="20"/>
        </w:rPr>
        <w:t>, 8.</w:t>
      </w:r>
    </w:p>
  </w:footnote>
  <w:footnote w:id="109">
    <w:p w14:paraId="3DD86602" w14:textId="1AC41B71"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Commission decision of 19 November 1990, </w:t>
      </w:r>
      <w:r w:rsidRPr="006F1E60">
        <w:rPr>
          <w:rFonts w:ascii="Times New Roman" w:hAnsi="Times New Roman" w:cs="Times New Roman"/>
          <w:i/>
          <w:sz w:val="20"/>
          <w:szCs w:val="20"/>
        </w:rPr>
        <w:t>Soda-ash–Solvay</w:t>
      </w:r>
      <w:r w:rsidRPr="006F1E60">
        <w:rPr>
          <w:rFonts w:ascii="Times New Roman" w:hAnsi="Times New Roman" w:cs="Times New Roman"/>
          <w:sz w:val="20"/>
          <w:szCs w:val="20"/>
        </w:rPr>
        <w:t xml:space="preserve"> OJ 1991 L 152/21.</w:t>
      </w:r>
    </w:p>
  </w:footnote>
  <w:footnote w:id="110">
    <w:p w14:paraId="31CE2296"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Case T-228/97, </w:t>
      </w:r>
      <w:r w:rsidRPr="006F1E60">
        <w:rPr>
          <w:rFonts w:ascii="Times New Roman" w:hAnsi="Times New Roman" w:cs="Times New Roman"/>
          <w:i/>
          <w:sz w:val="20"/>
          <w:szCs w:val="20"/>
        </w:rPr>
        <w:t>Irish Sugar v Commission</w:t>
      </w:r>
      <w:r w:rsidRPr="006F1E60">
        <w:rPr>
          <w:rFonts w:ascii="Times New Roman" w:hAnsi="Times New Roman" w:cs="Times New Roman"/>
          <w:sz w:val="20"/>
          <w:szCs w:val="20"/>
        </w:rPr>
        <w:t xml:space="preserve"> [1999] ECR II-2969, para. 188. See also Jorge Padilla and Robert O'Donoghue, </w:t>
      </w:r>
      <w:r w:rsidRPr="006F1E60">
        <w:rPr>
          <w:rFonts w:ascii="Times New Roman" w:hAnsi="Times New Roman" w:cs="Times New Roman"/>
          <w:i/>
          <w:sz w:val="20"/>
          <w:szCs w:val="20"/>
        </w:rPr>
        <w:t>The Law and Economics of Article 82 EC</w:t>
      </w:r>
      <w:r w:rsidRPr="006F1E60">
        <w:rPr>
          <w:rFonts w:ascii="Times New Roman" w:hAnsi="Times New Roman" w:cs="Times New Roman"/>
          <w:sz w:val="20"/>
          <w:szCs w:val="20"/>
        </w:rPr>
        <w:t xml:space="preserve"> (Hart Publishing 2006), 567-573.</w:t>
      </w:r>
    </w:p>
  </w:footnote>
  <w:footnote w:id="111">
    <w:p w14:paraId="4C118F63" w14:textId="3BA0071B"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Pr>
          <w:rFonts w:ascii="Times New Roman" w:hAnsi="Times New Roman" w:cs="Times New Roman"/>
          <w:sz w:val="20"/>
          <w:szCs w:val="20"/>
        </w:rPr>
        <w:t>Case</w:t>
      </w:r>
      <w:r w:rsidRPr="00E900BA">
        <w:rPr>
          <w:rFonts w:ascii="Times New Roman" w:hAnsi="Times New Roman" w:cs="Times New Roman"/>
          <w:sz w:val="20"/>
          <w:szCs w:val="20"/>
        </w:rPr>
        <w:t xml:space="preserve"> </w:t>
      </w:r>
      <w:r w:rsidRPr="006F1E60">
        <w:rPr>
          <w:rFonts w:ascii="Times New Roman" w:hAnsi="Times New Roman" w:cs="Times New Roman"/>
          <w:sz w:val="20"/>
          <w:szCs w:val="20"/>
        </w:rPr>
        <w:t xml:space="preserve">C-525/16, </w:t>
      </w:r>
      <w:r w:rsidRPr="00E900BA">
        <w:rPr>
          <w:rFonts w:ascii="Times New Roman" w:hAnsi="Times New Roman" w:cs="Times New Roman"/>
          <w:i/>
          <w:sz w:val="20"/>
          <w:szCs w:val="20"/>
        </w:rPr>
        <w:t>MEO v Autoridade da Concorrência</w:t>
      </w:r>
      <w:r w:rsidRPr="006F1E60">
        <w:rPr>
          <w:rFonts w:ascii="Times New Roman" w:hAnsi="Times New Roman" w:cs="Times New Roman"/>
          <w:sz w:val="20"/>
          <w:szCs w:val="20"/>
        </w:rPr>
        <w:t xml:space="preserve"> EU:C:2018:270, para. 34</w:t>
      </w:r>
      <w:r>
        <w:rPr>
          <w:rFonts w:ascii="Times New Roman" w:hAnsi="Times New Roman" w:cs="Times New Roman"/>
          <w:sz w:val="20"/>
          <w:szCs w:val="20"/>
        </w:rPr>
        <w:t xml:space="preserve"> </w:t>
      </w:r>
      <w:r w:rsidRPr="006F1E60">
        <w:rPr>
          <w:rFonts w:ascii="Times New Roman" w:hAnsi="Times New Roman" w:cs="Times New Roman"/>
          <w:sz w:val="20"/>
          <w:szCs w:val="20"/>
        </w:rPr>
        <w:t>(emphasis added).</w:t>
      </w:r>
    </w:p>
  </w:footnote>
  <w:footnote w:id="112">
    <w:p w14:paraId="58B699F6"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E900BA">
        <w:rPr>
          <w:rFonts w:ascii="Times New Roman" w:hAnsi="Times New Roman" w:cs="Times New Roman"/>
          <w:i/>
          <w:sz w:val="20"/>
          <w:szCs w:val="20"/>
        </w:rPr>
        <w:t>Id.</w:t>
      </w:r>
      <w:r w:rsidRPr="006F1E60">
        <w:rPr>
          <w:rFonts w:ascii="Times New Roman" w:hAnsi="Times New Roman" w:cs="Times New Roman"/>
          <w:sz w:val="20"/>
          <w:szCs w:val="20"/>
        </w:rPr>
        <w:t>, para. 29</w:t>
      </w:r>
    </w:p>
  </w:footnote>
  <w:footnote w:id="113">
    <w:p w14:paraId="703D59C4"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Id</w:t>
      </w:r>
      <w:r w:rsidRPr="006F1E60">
        <w:rPr>
          <w:rFonts w:ascii="Times New Roman" w:hAnsi="Times New Roman" w:cs="Times New Roman"/>
          <w:sz w:val="20"/>
          <w:szCs w:val="20"/>
        </w:rPr>
        <w:t>., para. 28</w:t>
      </w:r>
    </w:p>
  </w:footnote>
  <w:footnote w:id="114">
    <w:p w14:paraId="7CA9A784"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E900BA">
        <w:rPr>
          <w:rFonts w:ascii="Times New Roman" w:hAnsi="Times New Roman" w:cs="Times New Roman"/>
          <w:i/>
          <w:sz w:val="20"/>
          <w:szCs w:val="20"/>
        </w:rPr>
        <w:t>Id.,</w:t>
      </w:r>
      <w:r w:rsidRPr="006F1E60">
        <w:rPr>
          <w:rFonts w:ascii="Times New Roman" w:hAnsi="Times New Roman" w:cs="Times New Roman"/>
          <w:sz w:val="20"/>
          <w:szCs w:val="20"/>
        </w:rPr>
        <w:t xml:space="preserve"> para. 31</w:t>
      </w:r>
    </w:p>
  </w:footnote>
  <w:footnote w:id="115">
    <w:p w14:paraId="138C61C6" w14:textId="0338F873"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See, </w:t>
      </w:r>
      <w:r w:rsidRPr="006F1E60">
        <w:rPr>
          <w:rFonts w:ascii="Times New Roman" w:hAnsi="Times New Roman" w:cs="Times New Roman"/>
          <w:sz w:val="20"/>
          <w:szCs w:val="20"/>
        </w:rPr>
        <w:t>in relation to Google</w:t>
      </w:r>
      <w:r>
        <w:rPr>
          <w:rFonts w:ascii="Times New Roman" w:hAnsi="Times New Roman" w:cs="Times New Roman"/>
          <w:sz w:val="20"/>
          <w:szCs w:val="20"/>
        </w:rPr>
        <w:t>,</w:t>
      </w:r>
      <w:r w:rsidRPr="006F1E60">
        <w:rPr>
          <w:rFonts w:ascii="Times New Roman" w:hAnsi="Times New Roman" w:cs="Times New Roman"/>
          <w:sz w:val="20"/>
          <w:szCs w:val="20"/>
        </w:rPr>
        <w:t xml:space="preserve"> Akman, supra n. </w:t>
      </w:r>
      <w:r w:rsidRPr="006F1E60">
        <w:rPr>
          <w:rFonts w:ascii="Times New Roman" w:hAnsi="Times New Roman" w:cs="Times New Roman"/>
          <w:sz w:val="20"/>
          <w:szCs w:val="20"/>
        </w:rPr>
        <w:fldChar w:fldCharType="begin"/>
      </w:r>
      <w:r w:rsidRPr="006F1E60">
        <w:rPr>
          <w:rFonts w:ascii="Times New Roman" w:hAnsi="Times New Roman" w:cs="Times New Roman"/>
          <w:sz w:val="20"/>
          <w:szCs w:val="20"/>
        </w:rPr>
        <w:instrText xml:space="preserve"> NOTEREF _Ref390201973 \h </w:instrText>
      </w:r>
      <w:r w:rsidRPr="006F1E60">
        <w:rPr>
          <w:rFonts w:ascii="Times New Roman" w:hAnsi="Times New Roman" w:cs="Times New Roman"/>
          <w:sz w:val="20"/>
          <w:szCs w:val="20"/>
        </w:rPr>
      </w:r>
      <w:r w:rsidRPr="006F1E60">
        <w:rPr>
          <w:rFonts w:ascii="Times New Roman" w:hAnsi="Times New Roman" w:cs="Times New Roman"/>
          <w:sz w:val="20"/>
          <w:szCs w:val="20"/>
        </w:rPr>
        <w:fldChar w:fldCharType="separate"/>
      </w:r>
      <w:r w:rsidR="00BC68CA">
        <w:rPr>
          <w:rFonts w:ascii="Times New Roman" w:hAnsi="Times New Roman" w:cs="Times New Roman"/>
          <w:sz w:val="20"/>
          <w:szCs w:val="20"/>
        </w:rPr>
        <w:t>86</w:t>
      </w:r>
      <w:r w:rsidRPr="006F1E60">
        <w:rPr>
          <w:rFonts w:ascii="Times New Roman" w:hAnsi="Times New Roman" w:cs="Times New Roman"/>
          <w:sz w:val="20"/>
          <w:szCs w:val="20"/>
        </w:rPr>
        <w:fldChar w:fldCharType="end"/>
      </w:r>
      <w:r w:rsidRPr="006F1E60">
        <w:rPr>
          <w:rFonts w:ascii="Times New Roman" w:hAnsi="Times New Roman" w:cs="Times New Roman"/>
          <w:sz w:val="20"/>
          <w:szCs w:val="20"/>
        </w:rPr>
        <w:t xml:space="preserve">, 36. </w:t>
      </w:r>
    </w:p>
  </w:footnote>
  <w:footnote w:id="116">
    <w:p w14:paraId="0B8FB549"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E.g. Case 127/73 </w:t>
      </w:r>
      <w:r w:rsidRPr="006F1E60">
        <w:rPr>
          <w:rFonts w:ascii="Times New Roman" w:hAnsi="Times New Roman" w:cs="Times New Roman"/>
          <w:i/>
          <w:sz w:val="20"/>
          <w:szCs w:val="20"/>
        </w:rPr>
        <w:t>Belgische Radio en Televisie v SV SABAM and NV Fonior</w:t>
      </w:r>
      <w:r w:rsidRPr="006F1E60">
        <w:rPr>
          <w:rFonts w:ascii="Times New Roman" w:hAnsi="Times New Roman" w:cs="Times New Roman"/>
          <w:sz w:val="20"/>
          <w:szCs w:val="20"/>
        </w:rPr>
        <w:t xml:space="preserve"> [1974] ECR 313; Case 311/84. </w:t>
      </w:r>
      <w:r w:rsidRPr="006F1E60">
        <w:rPr>
          <w:rFonts w:ascii="Times New Roman" w:hAnsi="Times New Roman" w:cs="Times New Roman"/>
          <w:i/>
          <w:sz w:val="20"/>
          <w:szCs w:val="20"/>
        </w:rPr>
        <w:t>Centre Belge d’Etudes de Marche-Telemarketing</w:t>
      </w:r>
      <w:r w:rsidRPr="006F1E60">
        <w:rPr>
          <w:rFonts w:ascii="Times New Roman" w:hAnsi="Times New Roman" w:cs="Times New Roman"/>
          <w:sz w:val="20"/>
          <w:szCs w:val="20"/>
        </w:rPr>
        <w:t xml:space="preserve"> (CBEM) v SA </w:t>
      </w:r>
      <w:r w:rsidRPr="006F1E60">
        <w:rPr>
          <w:rFonts w:ascii="Times New Roman" w:hAnsi="Times New Roman" w:cs="Times New Roman"/>
          <w:i/>
          <w:sz w:val="20"/>
          <w:szCs w:val="20"/>
        </w:rPr>
        <w:t>Compagnie Luxembourgeoise de Telediffusion (CLT) and Information Publicite Benelux</w:t>
      </w:r>
      <w:r w:rsidRPr="006F1E60">
        <w:rPr>
          <w:rFonts w:ascii="Times New Roman" w:hAnsi="Times New Roman" w:cs="Times New Roman"/>
          <w:sz w:val="20"/>
          <w:szCs w:val="20"/>
        </w:rPr>
        <w:t xml:space="preserve"> (IPB) [1985] ECR 3261; Case 395/87 </w:t>
      </w:r>
      <w:r w:rsidRPr="006F1E60">
        <w:rPr>
          <w:rFonts w:ascii="Times New Roman" w:hAnsi="Times New Roman" w:cs="Times New Roman"/>
          <w:i/>
          <w:sz w:val="20"/>
          <w:szCs w:val="20"/>
        </w:rPr>
        <w:t>Ministere public v Jean-Louis Tournier</w:t>
      </w:r>
      <w:r w:rsidRPr="006F1E60">
        <w:rPr>
          <w:rFonts w:ascii="Times New Roman" w:hAnsi="Times New Roman" w:cs="Times New Roman"/>
          <w:sz w:val="20"/>
          <w:szCs w:val="20"/>
        </w:rPr>
        <w:t xml:space="preserve"> [1989] ECR 2521; </w:t>
      </w:r>
      <w:r w:rsidRPr="006F1E60">
        <w:rPr>
          <w:rFonts w:ascii="Times New Roman" w:hAnsi="Times New Roman" w:cs="Times New Roman"/>
          <w:i/>
          <w:sz w:val="20"/>
          <w:szCs w:val="20"/>
        </w:rPr>
        <w:t>DSD Commission Decision</w:t>
      </w:r>
      <w:r w:rsidRPr="006F1E60">
        <w:rPr>
          <w:rFonts w:ascii="Times New Roman" w:hAnsi="Times New Roman" w:cs="Times New Roman"/>
          <w:sz w:val="20"/>
          <w:szCs w:val="20"/>
        </w:rPr>
        <w:t xml:space="preserve"> (Case COMP D3/34493) 2001/463/EC [2001] OJ L166/1; </w:t>
      </w:r>
      <w:r w:rsidRPr="006F1E60">
        <w:rPr>
          <w:rFonts w:ascii="Times New Roman" w:hAnsi="Times New Roman" w:cs="Times New Roman"/>
          <w:i/>
          <w:sz w:val="20"/>
          <w:szCs w:val="20"/>
        </w:rPr>
        <w:t>GEMA Statutes Commission Decision</w:t>
      </w:r>
      <w:r w:rsidRPr="006F1E60">
        <w:rPr>
          <w:rFonts w:ascii="Times New Roman" w:hAnsi="Times New Roman" w:cs="Times New Roman"/>
          <w:sz w:val="20"/>
          <w:szCs w:val="20"/>
        </w:rPr>
        <w:t xml:space="preserve"> (Case IV/29.971) 82/204/EEC [1982] OJ L94/12. For an overview of relevant cases until 2008 see Pinar Akman, ‘The Role of Exploitation in Abuse under Article 82 EC’ 11 Cambridge Yearbook of European Legal Studies (2009).</w:t>
      </w:r>
    </w:p>
  </w:footnote>
  <w:footnote w:id="117">
    <w:p w14:paraId="232A6885"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Case 247/86, </w:t>
      </w:r>
      <w:r w:rsidRPr="006F1E60">
        <w:rPr>
          <w:rFonts w:ascii="Times New Roman" w:hAnsi="Times New Roman" w:cs="Times New Roman"/>
          <w:i/>
          <w:sz w:val="20"/>
          <w:szCs w:val="20"/>
        </w:rPr>
        <w:t>Alsatel v SA Novasam</w:t>
      </w:r>
      <w:r w:rsidRPr="006F1E60">
        <w:rPr>
          <w:rFonts w:ascii="Times New Roman" w:hAnsi="Times New Roman" w:cs="Times New Roman"/>
          <w:sz w:val="20"/>
          <w:szCs w:val="20"/>
        </w:rPr>
        <w:t xml:space="preserve"> [1988] ECR 5987, para. 10.</w:t>
      </w:r>
    </w:p>
  </w:footnote>
  <w:footnote w:id="118">
    <w:p w14:paraId="2CF8763B"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Case T-203/01, </w:t>
      </w:r>
      <w:r w:rsidRPr="006F1E60">
        <w:rPr>
          <w:rFonts w:ascii="Times New Roman" w:hAnsi="Times New Roman" w:cs="Times New Roman"/>
          <w:i/>
          <w:sz w:val="20"/>
          <w:szCs w:val="20"/>
        </w:rPr>
        <w:t>Manufacture Francaise des Pneumatiques Michelin v EC Commission</w:t>
      </w:r>
      <w:r w:rsidRPr="006F1E60">
        <w:rPr>
          <w:rFonts w:ascii="Times New Roman" w:hAnsi="Times New Roman" w:cs="Times New Roman"/>
          <w:sz w:val="20"/>
          <w:szCs w:val="20"/>
        </w:rPr>
        <w:t xml:space="preserve"> [2003] ECR II- 4071, para. 141 (in particular, in the granting of rebates).</w:t>
      </w:r>
    </w:p>
  </w:footnote>
  <w:footnote w:id="119">
    <w:p w14:paraId="52DC8CF3"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Case T-83/91, </w:t>
      </w:r>
      <w:r w:rsidRPr="006F1E60">
        <w:rPr>
          <w:rFonts w:ascii="Times New Roman" w:hAnsi="Times New Roman" w:cs="Times New Roman"/>
          <w:i/>
          <w:sz w:val="20"/>
          <w:szCs w:val="20"/>
        </w:rPr>
        <w:t>Tetra Pak International SA v EC Commission</w:t>
      </w:r>
      <w:r w:rsidRPr="006F1E60">
        <w:rPr>
          <w:rFonts w:ascii="Times New Roman" w:hAnsi="Times New Roman" w:cs="Times New Roman"/>
          <w:sz w:val="20"/>
          <w:szCs w:val="20"/>
        </w:rPr>
        <w:t xml:space="preserve"> [1994] ECR II-755, para 140.</w:t>
      </w:r>
    </w:p>
  </w:footnote>
  <w:footnote w:id="120">
    <w:p w14:paraId="7218261C"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Decision, para. 347.</w:t>
      </w:r>
    </w:p>
  </w:footnote>
  <w:footnote w:id="121">
    <w:p w14:paraId="237AE63A"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Id., paras. 536 and 599.</w:t>
      </w:r>
    </w:p>
  </w:footnote>
  <w:footnote w:id="122">
    <w:p w14:paraId="3CDF01D5"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Cf. </w:t>
      </w:r>
      <w:r w:rsidRPr="006F1E60">
        <w:rPr>
          <w:rFonts w:ascii="Times New Roman" w:hAnsi="Times New Roman" w:cs="Times New Roman"/>
          <w:i/>
          <w:sz w:val="20"/>
          <w:szCs w:val="20"/>
        </w:rPr>
        <w:t>Matrimony.com</w:t>
      </w:r>
      <w:r w:rsidRPr="006F1E60">
        <w:rPr>
          <w:rFonts w:ascii="Times New Roman" w:hAnsi="Times New Roman" w:cs="Times New Roman"/>
          <w:sz w:val="20"/>
          <w:szCs w:val="20"/>
        </w:rPr>
        <w:t xml:space="preserve"> Decision, supra note </w:t>
      </w:r>
      <w:r w:rsidRPr="006F1E60">
        <w:rPr>
          <w:rFonts w:ascii="Times New Roman" w:hAnsi="Times New Roman" w:cs="Times New Roman"/>
          <w:sz w:val="20"/>
          <w:szCs w:val="20"/>
        </w:rPr>
        <w:fldChar w:fldCharType="begin"/>
      </w:r>
      <w:r w:rsidRPr="006F1E60">
        <w:rPr>
          <w:rFonts w:ascii="Times New Roman" w:hAnsi="Times New Roman" w:cs="Times New Roman"/>
          <w:sz w:val="20"/>
          <w:szCs w:val="20"/>
        </w:rPr>
        <w:instrText xml:space="preserve"> NOTEREF _Ref379983956 \h </w:instrText>
      </w:r>
      <w:r w:rsidRPr="006F1E60">
        <w:rPr>
          <w:rFonts w:ascii="Times New Roman" w:hAnsi="Times New Roman" w:cs="Times New Roman"/>
          <w:sz w:val="20"/>
          <w:szCs w:val="20"/>
        </w:rPr>
      </w:r>
      <w:r w:rsidRPr="006F1E60">
        <w:rPr>
          <w:rFonts w:ascii="Times New Roman" w:hAnsi="Times New Roman" w:cs="Times New Roman"/>
          <w:sz w:val="20"/>
          <w:szCs w:val="20"/>
        </w:rPr>
        <w:fldChar w:fldCharType="separate"/>
      </w:r>
      <w:r w:rsidR="00BC68CA">
        <w:rPr>
          <w:rFonts w:ascii="Times New Roman" w:hAnsi="Times New Roman" w:cs="Times New Roman"/>
          <w:sz w:val="20"/>
          <w:szCs w:val="20"/>
        </w:rPr>
        <w:t>73</w:t>
      </w:r>
      <w:r w:rsidRPr="006F1E60">
        <w:rPr>
          <w:rFonts w:ascii="Times New Roman" w:hAnsi="Times New Roman" w:cs="Times New Roman"/>
          <w:sz w:val="20"/>
          <w:szCs w:val="20"/>
        </w:rPr>
        <w:fldChar w:fldCharType="end"/>
      </w:r>
      <w:r w:rsidRPr="006F1E60">
        <w:rPr>
          <w:rFonts w:ascii="Times New Roman" w:hAnsi="Times New Roman" w:cs="Times New Roman"/>
          <w:sz w:val="20"/>
          <w:szCs w:val="20"/>
        </w:rPr>
        <w:t>, para. 248; and Dissenting Opinion, paras. 5-6.</w:t>
      </w:r>
    </w:p>
  </w:footnote>
  <w:footnote w:id="123">
    <w:p w14:paraId="52561C26" w14:textId="1DC77F22"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Id., para. 338; Case 6/72, </w:t>
      </w:r>
      <w:r w:rsidRPr="006F1E60">
        <w:rPr>
          <w:rFonts w:ascii="Times New Roman" w:hAnsi="Times New Roman" w:cs="Times New Roman"/>
          <w:i/>
          <w:sz w:val="20"/>
          <w:szCs w:val="20"/>
        </w:rPr>
        <w:t>Europemballage and Continental Can v Commission</w:t>
      </w:r>
      <w:r w:rsidRPr="006F1E60">
        <w:rPr>
          <w:rFonts w:ascii="Times New Roman" w:hAnsi="Times New Roman" w:cs="Times New Roman"/>
          <w:sz w:val="20"/>
          <w:szCs w:val="20"/>
        </w:rPr>
        <w:t xml:space="preserve">, EU:C:1973:22, paras. 27 and 29; Case T-128/98, </w:t>
      </w:r>
      <w:r w:rsidRPr="006F1E60">
        <w:rPr>
          <w:rFonts w:ascii="Times New Roman" w:hAnsi="Times New Roman" w:cs="Times New Roman"/>
          <w:i/>
          <w:sz w:val="20"/>
          <w:szCs w:val="20"/>
        </w:rPr>
        <w:t>Aéroports de Paris v Commission</w:t>
      </w:r>
      <w:r>
        <w:rPr>
          <w:rFonts w:ascii="Times New Roman" w:hAnsi="Times New Roman" w:cs="Times New Roman"/>
          <w:sz w:val="20"/>
          <w:szCs w:val="20"/>
        </w:rPr>
        <w:t xml:space="preserve"> </w:t>
      </w:r>
      <w:r w:rsidRPr="006F1E60">
        <w:rPr>
          <w:rFonts w:ascii="Times New Roman" w:hAnsi="Times New Roman" w:cs="Times New Roman"/>
          <w:sz w:val="20"/>
          <w:szCs w:val="20"/>
        </w:rPr>
        <w:t>EU:T:2000:290, para. 170.</w:t>
      </w:r>
    </w:p>
  </w:footnote>
  <w:footnote w:id="124">
    <w:p w14:paraId="4C82BA7E"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supra, note </w:t>
      </w:r>
      <w:r w:rsidRPr="006F1E60">
        <w:rPr>
          <w:rFonts w:ascii="Times New Roman" w:hAnsi="Times New Roman" w:cs="Times New Roman"/>
          <w:sz w:val="20"/>
          <w:szCs w:val="20"/>
        </w:rPr>
        <w:fldChar w:fldCharType="begin"/>
      </w:r>
      <w:r w:rsidRPr="006F1E60">
        <w:rPr>
          <w:rFonts w:ascii="Times New Roman" w:hAnsi="Times New Roman" w:cs="Times New Roman"/>
          <w:sz w:val="20"/>
          <w:szCs w:val="20"/>
        </w:rPr>
        <w:instrText xml:space="preserve"> NOTEREF _Ref379983697 \h </w:instrText>
      </w:r>
      <w:r w:rsidRPr="006F1E60">
        <w:rPr>
          <w:rFonts w:ascii="Times New Roman" w:hAnsi="Times New Roman" w:cs="Times New Roman"/>
          <w:sz w:val="20"/>
          <w:szCs w:val="20"/>
        </w:rPr>
      </w:r>
      <w:r w:rsidRPr="006F1E60">
        <w:rPr>
          <w:rFonts w:ascii="Times New Roman" w:hAnsi="Times New Roman" w:cs="Times New Roman"/>
          <w:sz w:val="20"/>
          <w:szCs w:val="20"/>
        </w:rPr>
        <w:fldChar w:fldCharType="separate"/>
      </w:r>
      <w:r w:rsidR="00BC68CA">
        <w:rPr>
          <w:rFonts w:ascii="Times New Roman" w:hAnsi="Times New Roman" w:cs="Times New Roman"/>
          <w:sz w:val="20"/>
          <w:szCs w:val="20"/>
        </w:rPr>
        <w:t>96</w:t>
      </w:r>
      <w:r w:rsidRPr="006F1E60">
        <w:rPr>
          <w:rFonts w:ascii="Times New Roman" w:hAnsi="Times New Roman" w:cs="Times New Roman"/>
          <w:sz w:val="20"/>
          <w:szCs w:val="20"/>
        </w:rPr>
        <w:fldChar w:fldCharType="end"/>
      </w:r>
      <w:r w:rsidRPr="006F1E60">
        <w:rPr>
          <w:rFonts w:ascii="Times New Roman" w:hAnsi="Times New Roman" w:cs="Times New Roman"/>
          <w:sz w:val="20"/>
          <w:szCs w:val="20"/>
        </w:rPr>
        <w:t>.</w:t>
      </w:r>
    </w:p>
  </w:footnote>
  <w:footnote w:id="125">
    <w:p w14:paraId="4E3941B3" w14:textId="4502486C"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In that appeal, Google puts forward several pleas, including two concerning the inappropriate characterization of its conduct as discrimination and two concerning the inadequate consideration of objective justifications. See Case T-612/17, Action brought on 11 September 2017 – </w:t>
      </w:r>
      <w:r w:rsidRPr="006F1E60">
        <w:rPr>
          <w:rFonts w:ascii="Times New Roman" w:hAnsi="Times New Roman" w:cs="Times New Roman"/>
          <w:i/>
          <w:sz w:val="20"/>
          <w:szCs w:val="20"/>
        </w:rPr>
        <w:t>Google and Alphabet v Commission</w:t>
      </w:r>
      <w:r>
        <w:rPr>
          <w:rFonts w:ascii="Times New Roman" w:hAnsi="Times New Roman" w:cs="Times New Roman"/>
          <w:sz w:val="20"/>
          <w:szCs w:val="20"/>
        </w:rPr>
        <w:t xml:space="preserve"> OJ C 369, 30.10.2017, </w:t>
      </w:r>
      <w:r w:rsidRPr="006F1E60">
        <w:rPr>
          <w:rFonts w:ascii="Times New Roman" w:hAnsi="Times New Roman" w:cs="Times New Roman"/>
          <w:sz w:val="20"/>
          <w:szCs w:val="20"/>
        </w:rPr>
        <w:t xml:space="preserve">37–38. </w:t>
      </w:r>
    </w:p>
  </w:footnote>
  <w:footnote w:id="126">
    <w:p w14:paraId="059A4646" w14:textId="11D65392"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e.g. Stavroula Karapapa,  Maurizio Borghi, ‘Search engine liability for autocomplete suggestions: personality, privacy and the power of the algorithm’ (23) 3 International Journal of Law and In</w:t>
      </w:r>
      <w:r>
        <w:rPr>
          <w:rFonts w:ascii="Times New Roman" w:hAnsi="Times New Roman" w:cs="Times New Roman"/>
          <w:sz w:val="20"/>
          <w:szCs w:val="20"/>
        </w:rPr>
        <w:t xml:space="preserve">formation Technology (2015), </w:t>
      </w:r>
      <w:r w:rsidRPr="006F1E60">
        <w:rPr>
          <w:rFonts w:ascii="Times New Roman" w:hAnsi="Times New Roman" w:cs="Times New Roman"/>
          <w:sz w:val="20"/>
          <w:szCs w:val="20"/>
        </w:rPr>
        <w:t>261–289.</w:t>
      </w:r>
    </w:p>
  </w:footnote>
  <w:footnote w:id="127">
    <w:p w14:paraId="0A86A188"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A phenomenon that Stucke and Grunes call “nowcasting”: see Maurice E. Stucke and Allen Grunes, </w:t>
      </w:r>
      <w:r w:rsidRPr="006F1E60">
        <w:rPr>
          <w:rFonts w:ascii="Times New Roman" w:hAnsi="Times New Roman" w:cs="Times New Roman"/>
          <w:i/>
          <w:sz w:val="20"/>
          <w:szCs w:val="20"/>
        </w:rPr>
        <w:t>Big Data and Competition Policy</w:t>
      </w:r>
      <w:r w:rsidRPr="006F1E60">
        <w:rPr>
          <w:rFonts w:ascii="Times New Roman" w:hAnsi="Times New Roman" w:cs="Times New Roman"/>
          <w:sz w:val="20"/>
          <w:szCs w:val="20"/>
        </w:rPr>
        <w:t xml:space="preserve"> (Oxford University Press, 2016).</w:t>
      </w:r>
    </w:p>
  </w:footnote>
  <w:footnote w:id="128">
    <w:p w14:paraId="69EF976D" w14:textId="03A13A4B"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Zlatina Georgieva, ‘Competition soft law in French and German courts: A challenge for online sales bans only? ‘Maastricht Journal of European and Comparative Law 2017, Vol. 24</w:t>
      </w:r>
      <w:r>
        <w:rPr>
          <w:rFonts w:ascii="Times New Roman" w:hAnsi="Times New Roman" w:cs="Times New Roman"/>
          <w:sz w:val="20"/>
          <w:szCs w:val="20"/>
        </w:rPr>
        <w:t xml:space="preserve"> </w:t>
      </w:r>
      <w:r w:rsidRPr="006F1E60">
        <w:rPr>
          <w:rFonts w:ascii="Times New Roman" w:hAnsi="Times New Roman" w:cs="Times New Roman"/>
          <w:sz w:val="20"/>
          <w:szCs w:val="20"/>
        </w:rPr>
        <w:t>(2) 175–193</w:t>
      </w:r>
    </w:p>
  </w:footnote>
  <w:footnote w:id="129">
    <w:p w14:paraId="27911335"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article 13 (2) (f), article 14 (2) (g), article 15 (h), article 22 as well as Recital 71 of that Regulation.</w:t>
      </w:r>
    </w:p>
  </w:footnote>
  <w:footnote w:id="130">
    <w:p w14:paraId="039A8D3B" w14:textId="51101BA2"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Case C-413/14 P, </w:t>
      </w:r>
      <w:r w:rsidRPr="006F1E60">
        <w:rPr>
          <w:rFonts w:ascii="Times New Roman" w:hAnsi="Times New Roman" w:cs="Times New Roman"/>
          <w:i/>
          <w:sz w:val="20"/>
          <w:szCs w:val="20"/>
        </w:rPr>
        <w:t>Intel Corp. v European Commission</w:t>
      </w:r>
      <w:r w:rsidRPr="006F1E60">
        <w:rPr>
          <w:rFonts w:ascii="Times New Roman" w:hAnsi="Times New Roman" w:cs="Times New Roman"/>
          <w:sz w:val="20"/>
          <w:szCs w:val="20"/>
        </w:rPr>
        <w:t xml:space="preserve"> </w:t>
      </w:r>
      <w:r w:rsidRPr="00E900BA">
        <w:rPr>
          <w:rFonts w:ascii="Times New Roman" w:hAnsi="Times New Roman" w:cs="Times New Roman"/>
          <w:sz w:val="20"/>
          <w:szCs w:val="20"/>
        </w:rPr>
        <w:t>ECLI:EU:C:2017:632</w:t>
      </w:r>
      <w:r>
        <w:rPr>
          <w:rFonts w:ascii="Times New Roman" w:hAnsi="Times New Roman" w:cs="Times New Roman"/>
          <w:sz w:val="20"/>
          <w:szCs w:val="20"/>
        </w:rPr>
        <w:t xml:space="preserve">, </w:t>
      </w:r>
      <w:r w:rsidRPr="006F1E60">
        <w:rPr>
          <w:rFonts w:ascii="Times New Roman" w:hAnsi="Times New Roman" w:cs="Times New Roman"/>
          <w:sz w:val="20"/>
          <w:szCs w:val="20"/>
        </w:rPr>
        <w:t>paras. 40-65.</w:t>
      </w:r>
    </w:p>
  </w:footnote>
  <w:footnote w:id="131">
    <w:p w14:paraId="5B28D405"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Id., para. 51.</w:t>
      </w:r>
    </w:p>
  </w:footnote>
  <w:footnote w:id="132">
    <w:p w14:paraId="485A9783"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Id., para. 52.</w:t>
      </w:r>
    </w:p>
  </w:footnote>
  <w:footnote w:id="133">
    <w:p w14:paraId="5673524F"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Id., para. 57.</w:t>
      </w:r>
    </w:p>
  </w:footnote>
  <w:footnote w:id="134">
    <w:p w14:paraId="212972BF" w14:textId="7200E845" w:rsidR="00DF3BC0" w:rsidRPr="006F1E60" w:rsidRDefault="00DF3BC0" w:rsidP="00A06D5A">
      <w:pPr>
        <w:pStyle w:val="FootnoteText"/>
        <w:jc w:val="both"/>
        <w:rPr>
          <w:rFonts w:ascii="Times New Roman" w:hAnsi="Times New Roman" w:cs="Times New Roman"/>
          <w:i/>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The principle of proportionality in EU law holds that “</w:t>
      </w:r>
      <w:r w:rsidRPr="006F1E60">
        <w:rPr>
          <w:rFonts w:ascii="Times New Roman" w:eastAsia="Times New Roman" w:hAnsi="Times New Roman" w:cs="Times New Roman"/>
          <w:sz w:val="20"/>
          <w:szCs w:val="20"/>
        </w:rPr>
        <w:t xml:space="preserve">the lawfulness of the prohibition of an economic activity is subject to the condition that the prohibitory measures are appropriate and necessary in order to achieve the objectives legitimately pursued by the legislation in question; specifically, when there is a choice between several appropriate measures recourse must be had to the least onerous, and the disadvantages caused must not be disproportionate to the aims pursued”. See </w:t>
      </w:r>
      <w:r w:rsidRPr="006F1E60">
        <w:rPr>
          <w:rFonts w:ascii="Times New Roman" w:hAnsi="Times New Roman" w:cs="Times New Roman"/>
          <w:sz w:val="20"/>
          <w:szCs w:val="20"/>
        </w:rPr>
        <w:t xml:space="preserve">Case C-331/88, </w:t>
      </w:r>
      <w:r w:rsidRPr="006F1E60">
        <w:rPr>
          <w:rFonts w:ascii="Times New Roman" w:hAnsi="Times New Roman" w:cs="Times New Roman"/>
          <w:i/>
          <w:sz w:val="20"/>
          <w:szCs w:val="20"/>
        </w:rPr>
        <w:t>The Queen v. Minister for Agriculture, Fisheries and Food and The Secretary of State for Health, ex parte: Fedesa and others</w:t>
      </w:r>
      <w:r w:rsidRPr="006F1E60">
        <w:rPr>
          <w:rFonts w:ascii="Times New Roman" w:hAnsi="Times New Roman" w:cs="Times New Roman"/>
          <w:sz w:val="20"/>
          <w:szCs w:val="20"/>
        </w:rPr>
        <w:t xml:space="preserve"> [1990] ECR I-423, para. 113.</w:t>
      </w:r>
    </w:p>
  </w:footnote>
  <w:footnote w:id="135">
    <w:p w14:paraId="4E23DF41"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To the effect that this is a general principle of EU law, see case C-94/05, </w:t>
      </w:r>
      <w:r w:rsidRPr="006F1E60">
        <w:rPr>
          <w:rFonts w:ascii="Times New Roman" w:hAnsi="Times New Roman" w:cs="Times New Roman"/>
          <w:i/>
          <w:sz w:val="20"/>
          <w:szCs w:val="20"/>
        </w:rPr>
        <w:t>Emsland-Stärke GmbH v Landwirthschaftskammer Hannover</w:t>
      </w:r>
      <w:r w:rsidRPr="006F1E60">
        <w:rPr>
          <w:rFonts w:ascii="Times New Roman" w:hAnsi="Times New Roman" w:cs="Times New Roman"/>
          <w:sz w:val="20"/>
          <w:szCs w:val="20"/>
        </w:rPr>
        <w:t xml:space="preserve"> [2006] ECR I-2619, para. 43. </w:t>
      </w:r>
    </w:p>
  </w:footnote>
  <w:footnote w:id="136">
    <w:p w14:paraId="5138A098"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supra, section 2.1. </w:t>
      </w:r>
    </w:p>
  </w:footnote>
  <w:footnote w:id="137">
    <w:p w14:paraId="0475DB36"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Case C-63/93, Duff and Others [1996] ECR I-569, para. 20; Case C-107/97, </w:t>
      </w:r>
      <w:r w:rsidRPr="00DB2E5A">
        <w:rPr>
          <w:rFonts w:ascii="Times New Roman" w:hAnsi="Times New Roman" w:cs="Times New Roman"/>
          <w:i/>
          <w:sz w:val="20"/>
          <w:szCs w:val="20"/>
        </w:rPr>
        <w:t>Rombi and Arkopharma</w:t>
      </w:r>
      <w:r w:rsidRPr="006F1E60">
        <w:rPr>
          <w:rFonts w:ascii="Times New Roman" w:hAnsi="Times New Roman" w:cs="Times New Roman"/>
          <w:sz w:val="20"/>
          <w:szCs w:val="20"/>
        </w:rPr>
        <w:t xml:space="preserve"> [2000] ECR I- 3367, para. 66; Case C-199/03, </w:t>
      </w:r>
      <w:r w:rsidRPr="00DB2E5A">
        <w:rPr>
          <w:rFonts w:ascii="Times New Roman" w:hAnsi="Times New Roman" w:cs="Times New Roman"/>
          <w:i/>
          <w:sz w:val="20"/>
          <w:szCs w:val="20"/>
        </w:rPr>
        <w:t>Ireland v Commission</w:t>
      </w:r>
      <w:r w:rsidRPr="006F1E60">
        <w:rPr>
          <w:rFonts w:ascii="Times New Roman" w:hAnsi="Times New Roman" w:cs="Times New Roman"/>
          <w:sz w:val="20"/>
          <w:szCs w:val="20"/>
        </w:rPr>
        <w:t xml:space="preserve"> [2005] ECR I-8027, para. 69; Case C-17/03, </w:t>
      </w:r>
      <w:r w:rsidRPr="00DB2E5A">
        <w:rPr>
          <w:rFonts w:ascii="Times New Roman" w:hAnsi="Times New Roman" w:cs="Times New Roman"/>
          <w:i/>
          <w:sz w:val="20"/>
          <w:szCs w:val="20"/>
        </w:rPr>
        <w:t>VEMW and Others</w:t>
      </w:r>
      <w:r w:rsidRPr="006F1E60">
        <w:rPr>
          <w:rFonts w:ascii="Times New Roman" w:hAnsi="Times New Roman" w:cs="Times New Roman"/>
          <w:sz w:val="20"/>
          <w:szCs w:val="20"/>
        </w:rPr>
        <w:t xml:space="preserve"> [2005] ECR I-4983, para. 80; Case C-158/06, </w:t>
      </w:r>
      <w:r w:rsidRPr="00DB2E5A">
        <w:rPr>
          <w:rFonts w:ascii="Times New Roman" w:hAnsi="Times New Roman" w:cs="Times New Roman"/>
          <w:i/>
          <w:sz w:val="20"/>
          <w:szCs w:val="20"/>
        </w:rPr>
        <w:t>ROM-Projecten</w:t>
      </w:r>
      <w:r w:rsidRPr="006F1E60">
        <w:rPr>
          <w:rFonts w:ascii="Times New Roman" w:hAnsi="Times New Roman" w:cs="Times New Roman"/>
          <w:sz w:val="20"/>
          <w:szCs w:val="20"/>
        </w:rPr>
        <w:t xml:space="preserve"> [2007] ECR I-5103, para. 25.</w:t>
      </w:r>
    </w:p>
  </w:footnote>
  <w:footnote w:id="138">
    <w:p w14:paraId="7100907D" w14:textId="613DF9A2" w:rsidR="00DF3BC0" w:rsidRPr="001149AE" w:rsidRDefault="00DF3BC0" w:rsidP="00A06D5A">
      <w:pPr>
        <w:jc w:val="both"/>
        <w:rPr>
          <w:rFonts w:ascii="Times New Roman" w:eastAsia="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in this regard Directive 2016/343 of 9 March 2016 on the strengthening of certain aspects of the presumption of innocence and of the right to be present at the trial in criminal proceedings, OJ L 65, 11.3.2016, p. 1–11. </w:t>
      </w:r>
    </w:p>
  </w:footnote>
  <w:footnote w:id="139">
    <w:p w14:paraId="3DB40FA9"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Decision, para. 650.</w:t>
      </w:r>
    </w:p>
  </w:footnote>
  <w:footnote w:id="140">
    <w:p w14:paraId="3FC990CC"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Directive 2000/31/EC of the European Parliament and of the Council of 8 June 2000 on certain legal aspects of information society services, in particular electronic commerce, in the Internal Market, OJ L 178, 17.7.2000, p. 1–16. Applying these conditions to the Commission’s reasoning, they could be used to give content to the notions of “active” and “passive” conduct mentioned at para. 650: see </w:t>
      </w:r>
      <w:r w:rsidRPr="006F1E60">
        <w:rPr>
          <w:rFonts w:ascii="Times New Roman" w:hAnsi="Times New Roman" w:cs="Times New Roman"/>
          <w:i/>
          <w:sz w:val="20"/>
          <w:szCs w:val="20"/>
        </w:rPr>
        <w:t>supra</w:t>
      </w:r>
      <w:r w:rsidRPr="006F1E60">
        <w:rPr>
          <w:rFonts w:ascii="Times New Roman" w:hAnsi="Times New Roman" w:cs="Times New Roman"/>
          <w:sz w:val="20"/>
          <w:szCs w:val="20"/>
        </w:rPr>
        <w:t xml:space="preserve">, note </w:t>
      </w:r>
      <w:r w:rsidRPr="006F1E60">
        <w:rPr>
          <w:rFonts w:ascii="Times New Roman" w:hAnsi="Times New Roman" w:cs="Times New Roman"/>
          <w:sz w:val="20"/>
          <w:szCs w:val="20"/>
        </w:rPr>
        <w:fldChar w:fldCharType="begin"/>
      </w:r>
      <w:r w:rsidRPr="006F1E60">
        <w:rPr>
          <w:rFonts w:ascii="Times New Roman" w:hAnsi="Times New Roman" w:cs="Times New Roman"/>
          <w:sz w:val="20"/>
          <w:szCs w:val="20"/>
        </w:rPr>
        <w:instrText xml:space="preserve"> NOTEREF _Ref383025729 </w:instrText>
      </w:r>
      <w:r w:rsidRPr="006F1E60">
        <w:rPr>
          <w:rFonts w:ascii="Times New Roman" w:hAnsi="Times New Roman" w:cs="Times New Roman"/>
          <w:sz w:val="20"/>
          <w:szCs w:val="20"/>
        </w:rPr>
        <w:fldChar w:fldCharType="separate"/>
      </w:r>
      <w:r w:rsidR="00BC68CA">
        <w:rPr>
          <w:rFonts w:ascii="Times New Roman" w:hAnsi="Times New Roman" w:cs="Times New Roman"/>
          <w:sz w:val="20"/>
          <w:szCs w:val="20"/>
        </w:rPr>
        <w:t>139</w:t>
      </w:r>
      <w:r w:rsidRPr="006F1E60">
        <w:rPr>
          <w:rFonts w:ascii="Times New Roman" w:hAnsi="Times New Roman" w:cs="Times New Roman"/>
          <w:sz w:val="20"/>
          <w:szCs w:val="20"/>
        </w:rPr>
        <w:fldChar w:fldCharType="end"/>
      </w:r>
      <w:r w:rsidRPr="006F1E60">
        <w:rPr>
          <w:rFonts w:ascii="Times New Roman" w:hAnsi="Times New Roman" w:cs="Times New Roman"/>
          <w:sz w:val="20"/>
          <w:szCs w:val="20"/>
        </w:rPr>
        <w:t>.</w:t>
      </w:r>
    </w:p>
  </w:footnote>
  <w:footnote w:id="141">
    <w:p w14:paraId="32C4CA1C" w14:textId="37142868"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Joined cases C-236/08 and C-237/08 </w:t>
      </w:r>
      <w:r w:rsidRPr="006F1E60">
        <w:rPr>
          <w:rFonts w:ascii="Times New Roman" w:hAnsi="Times New Roman" w:cs="Times New Roman"/>
          <w:i/>
          <w:sz w:val="20"/>
          <w:szCs w:val="20"/>
        </w:rPr>
        <w:t>Google France v Louis Vuitton et al</w:t>
      </w:r>
      <w:r>
        <w:rPr>
          <w:rFonts w:ascii="Times New Roman" w:hAnsi="Times New Roman" w:cs="Times New Roman"/>
          <w:sz w:val="20"/>
          <w:szCs w:val="20"/>
        </w:rPr>
        <w:t xml:space="preserve"> [</w:t>
      </w:r>
      <w:r w:rsidRPr="00DB2E5A">
        <w:rPr>
          <w:rFonts w:ascii="Times New Roman" w:hAnsi="Times New Roman" w:cs="Times New Roman"/>
          <w:sz w:val="20"/>
          <w:szCs w:val="20"/>
        </w:rPr>
        <w:t>2010</w:t>
      </w:r>
      <w:r>
        <w:rPr>
          <w:rFonts w:ascii="Times New Roman" w:hAnsi="Times New Roman" w:cs="Times New Roman"/>
          <w:sz w:val="20"/>
          <w:szCs w:val="20"/>
        </w:rPr>
        <w:t>] ECR</w:t>
      </w:r>
      <w:r w:rsidRPr="00DB2E5A">
        <w:rPr>
          <w:rFonts w:ascii="Times New Roman" w:hAnsi="Times New Roman" w:cs="Times New Roman"/>
          <w:sz w:val="20"/>
          <w:szCs w:val="20"/>
        </w:rPr>
        <w:t xml:space="preserve"> I-02417</w:t>
      </w:r>
      <w:r>
        <w:rPr>
          <w:rFonts w:ascii="Times New Roman" w:hAnsi="Times New Roman" w:cs="Times New Roman"/>
          <w:sz w:val="20"/>
          <w:szCs w:val="20"/>
        </w:rPr>
        <w:t xml:space="preserve">, </w:t>
      </w:r>
      <w:r w:rsidRPr="006F1E60">
        <w:rPr>
          <w:rFonts w:ascii="Times New Roman" w:hAnsi="Times New Roman" w:cs="Times New Roman"/>
          <w:sz w:val="20"/>
          <w:szCs w:val="20"/>
        </w:rPr>
        <w:t xml:space="preserve">paras. 112-114. See also case C-324/09, </w:t>
      </w:r>
      <w:r w:rsidRPr="006F1E60">
        <w:rPr>
          <w:rFonts w:ascii="Times New Roman" w:hAnsi="Times New Roman" w:cs="Times New Roman"/>
          <w:i/>
          <w:sz w:val="20"/>
          <w:szCs w:val="20"/>
        </w:rPr>
        <w:t>L’Oréal v eBay International</w:t>
      </w:r>
      <w:r>
        <w:rPr>
          <w:rFonts w:ascii="Times New Roman" w:hAnsi="Times New Roman" w:cs="Times New Roman"/>
          <w:sz w:val="20"/>
          <w:szCs w:val="20"/>
        </w:rPr>
        <w:t xml:space="preserve"> [</w:t>
      </w:r>
      <w:r w:rsidRPr="00DB2E5A">
        <w:rPr>
          <w:rFonts w:ascii="Times New Roman" w:hAnsi="Times New Roman" w:cs="Times New Roman"/>
          <w:sz w:val="20"/>
          <w:szCs w:val="20"/>
        </w:rPr>
        <w:t>2011</w:t>
      </w:r>
      <w:r>
        <w:rPr>
          <w:rFonts w:ascii="Times New Roman" w:hAnsi="Times New Roman" w:cs="Times New Roman"/>
          <w:sz w:val="20"/>
          <w:szCs w:val="20"/>
        </w:rPr>
        <w:t>] ECR</w:t>
      </w:r>
      <w:r w:rsidRPr="00DB2E5A">
        <w:rPr>
          <w:rFonts w:ascii="Times New Roman" w:hAnsi="Times New Roman" w:cs="Times New Roman"/>
          <w:sz w:val="20"/>
          <w:szCs w:val="20"/>
        </w:rPr>
        <w:t xml:space="preserve"> I-06011</w:t>
      </w:r>
      <w:r>
        <w:rPr>
          <w:rFonts w:ascii="Times New Roman" w:hAnsi="Times New Roman" w:cs="Times New Roman"/>
          <w:sz w:val="20"/>
          <w:szCs w:val="20"/>
        </w:rPr>
        <w:t>,</w:t>
      </w:r>
      <w:r w:rsidRPr="006F1E60">
        <w:rPr>
          <w:rFonts w:ascii="Times New Roman" w:hAnsi="Times New Roman" w:cs="Times New Roman"/>
          <w:sz w:val="20"/>
          <w:szCs w:val="20"/>
        </w:rPr>
        <w:t xml:space="preserve"> p</w:t>
      </w:r>
      <w:r>
        <w:rPr>
          <w:rFonts w:ascii="Times New Roman" w:hAnsi="Times New Roman" w:cs="Times New Roman"/>
          <w:sz w:val="20"/>
          <w:szCs w:val="20"/>
        </w:rPr>
        <w:t xml:space="preserve">aras. 111-113; and case C-291/13, </w:t>
      </w:r>
      <w:r w:rsidRPr="006F1E60">
        <w:rPr>
          <w:rFonts w:ascii="Times New Roman" w:hAnsi="Times New Roman" w:cs="Times New Roman"/>
          <w:i/>
          <w:sz w:val="20"/>
          <w:szCs w:val="20"/>
        </w:rPr>
        <w:t>Papasavvas v O Fileleftheros Dimosia Etairia</w:t>
      </w:r>
      <w:r>
        <w:rPr>
          <w:rFonts w:ascii="Times New Roman" w:hAnsi="Times New Roman" w:cs="Times New Roman"/>
          <w:sz w:val="20"/>
          <w:szCs w:val="20"/>
        </w:rPr>
        <w:t xml:space="preserve"> </w:t>
      </w:r>
      <w:r w:rsidRPr="00DB2E5A">
        <w:rPr>
          <w:rFonts w:ascii="Times New Roman" w:hAnsi="Times New Roman" w:cs="Times New Roman"/>
          <w:sz w:val="20"/>
          <w:szCs w:val="20"/>
        </w:rPr>
        <w:t>ECLI:EU:C:2014:2209</w:t>
      </w:r>
      <w:r>
        <w:rPr>
          <w:rFonts w:ascii="Times New Roman" w:hAnsi="Times New Roman" w:cs="Times New Roman"/>
          <w:sz w:val="20"/>
          <w:szCs w:val="20"/>
        </w:rPr>
        <w:t>,</w:t>
      </w:r>
      <w:r w:rsidRPr="006F1E60">
        <w:rPr>
          <w:rFonts w:ascii="Times New Roman" w:hAnsi="Times New Roman" w:cs="Times New Roman"/>
          <w:sz w:val="20"/>
          <w:szCs w:val="20"/>
        </w:rPr>
        <w:t xml:space="preserve"> paras. 39, 41 and 45.</w:t>
      </w:r>
    </w:p>
  </w:footnote>
  <w:footnote w:id="142">
    <w:p w14:paraId="428A7282"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Oren Bracha and Frank Pasquale, ‘Federal Search Commission - Access, Fairness, and Accountability in the Law of Search’, 93 Cornell L. Rev. 1149 (2008).</w:t>
      </w:r>
    </w:p>
  </w:footnote>
  <w:footnote w:id="143">
    <w:p w14:paraId="5E0BAEA1" w14:textId="431BAE5A"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Safe harbors are not uncommon in EU competition law, the most recent example being the “choreography” established by the ECJ in </w:t>
      </w:r>
      <w:r w:rsidRPr="006F1E60">
        <w:rPr>
          <w:rFonts w:ascii="Times New Roman" w:hAnsi="Times New Roman" w:cs="Times New Roman"/>
          <w:i/>
          <w:sz w:val="20"/>
          <w:szCs w:val="20"/>
        </w:rPr>
        <w:t>Huawei v ZTE</w:t>
      </w:r>
      <w:r w:rsidRPr="006F1E60">
        <w:rPr>
          <w:rFonts w:ascii="Times New Roman" w:hAnsi="Times New Roman" w:cs="Times New Roman"/>
          <w:sz w:val="20"/>
          <w:szCs w:val="20"/>
        </w:rPr>
        <w:t xml:space="preserve"> (Case C-170/13 </w:t>
      </w:r>
      <w:r w:rsidRPr="006F1E60">
        <w:rPr>
          <w:rFonts w:ascii="Times New Roman" w:hAnsi="Times New Roman" w:cs="Times New Roman"/>
          <w:i/>
          <w:sz w:val="20"/>
          <w:szCs w:val="20"/>
        </w:rPr>
        <w:t>Huawei Technologies Co. Ltd v ZTE Corp. and ZTE Deutschland GmbH</w:t>
      </w:r>
      <w:r w:rsidRPr="006F1E60">
        <w:rPr>
          <w:rFonts w:ascii="Times New Roman" w:hAnsi="Times New Roman" w:cs="Times New Roman"/>
          <w:sz w:val="20"/>
          <w:szCs w:val="20"/>
        </w:rPr>
        <w:t xml:space="preserve"> ECLI:EU:C:2015:477) to exempt from liability standard essential patent owners who seek an injunction in court after having followed the designated procedure. For an analysis of the scope and strength of the safe harbor, see Nicolo Zingales, ‘The Legal Framework for SEP Disputes in EU post-</w:t>
      </w:r>
      <w:r>
        <w:rPr>
          <w:rFonts w:ascii="Times New Roman" w:hAnsi="Times New Roman" w:cs="Times New Roman"/>
          <w:sz w:val="20"/>
          <w:szCs w:val="20"/>
        </w:rPr>
        <w:t>Huwaei: Whither Harmonization?’</w:t>
      </w:r>
      <w:r w:rsidRPr="006F1E60">
        <w:rPr>
          <w:rFonts w:ascii="Times New Roman" w:hAnsi="Times New Roman" w:cs="Times New Roman"/>
          <w:sz w:val="20"/>
          <w:szCs w:val="20"/>
        </w:rPr>
        <w:t xml:space="preserve"> 36 (1) Yearbook of European Law (2017). 628–682. Similar to the safe harbor defined in Huawei, this proposed safe harbor would depend on the acceptance of third-party determination of the disputes that give rise to potential liability.  </w:t>
      </w:r>
    </w:p>
  </w:footnote>
  <w:footnote w:id="144">
    <w:p w14:paraId="437AF5AB"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L’Oreal v eBay</w:t>
      </w:r>
      <w:r w:rsidRPr="006F1E60">
        <w:rPr>
          <w:rFonts w:ascii="Times New Roman" w:hAnsi="Times New Roman" w:cs="Times New Roman"/>
          <w:sz w:val="20"/>
          <w:szCs w:val="20"/>
        </w:rPr>
        <w:t xml:space="preserve">, supra n. </w:t>
      </w:r>
      <w:r w:rsidRPr="006F1E60">
        <w:rPr>
          <w:rFonts w:ascii="Times New Roman" w:hAnsi="Times New Roman" w:cs="Times New Roman"/>
          <w:sz w:val="20"/>
          <w:szCs w:val="20"/>
        </w:rPr>
        <w:fldChar w:fldCharType="begin"/>
      </w:r>
      <w:r w:rsidRPr="006F1E60">
        <w:rPr>
          <w:rFonts w:ascii="Times New Roman" w:hAnsi="Times New Roman" w:cs="Times New Roman"/>
          <w:sz w:val="20"/>
          <w:szCs w:val="20"/>
        </w:rPr>
        <w:instrText xml:space="preserve"> NOTEREF _Ref390287340 \h </w:instrText>
      </w:r>
      <w:r w:rsidRPr="006F1E60">
        <w:rPr>
          <w:rFonts w:ascii="Times New Roman" w:hAnsi="Times New Roman" w:cs="Times New Roman"/>
          <w:sz w:val="20"/>
          <w:szCs w:val="20"/>
        </w:rPr>
      </w:r>
      <w:r w:rsidRPr="006F1E60">
        <w:rPr>
          <w:rFonts w:ascii="Times New Roman" w:hAnsi="Times New Roman" w:cs="Times New Roman"/>
          <w:sz w:val="20"/>
          <w:szCs w:val="20"/>
        </w:rPr>
        <w:fldChar w:fldCharType="separate"/>
      </w:r>
      <w:r w:rsidR="00BC68CA">
        <w:rPr>
          <w:rFonts w:ascii="Times New Roman" w:hAnsi="Times New Roman" w:cs="Times New Roman"/>
          <w:sz w:val="20"/>
          <w:szCs w:val="20"/>
        </w:rPr>
        <w:t>141</w:t>
      </w:r>
      <w:r w:rsidRPr="006F1E60">
        <w:rPr>
          <w:rFonts w:ascii="Times New Roman" w:hAnsi="Times New Roman" w:cs="Times New Roman"/>
          <w:sz w:val="20"/>
          <w:szCs w:val="20"/>
        </w:rPr>
        <w:fldChar w:fldCharType="end"/>
      </w:r>
      <w:r w:rsidRPr="006F1E60">
        <w:rPr>
          <w:rFonts w:ascii="Times New Roman" w:hAnsi="Times New Roman" w:cs="Times New Roman"/>
          <w:sz w:val="20"/>
          <w:szCs w:val="20"/>
        </w:rPr>
        <w:t xml:space="preserve">, para. 120. </w:t>
      </w:r>
    </w:p>
  </w:footnote>
  <w:footnote w:id="145">
    <w:p w14:paraId="5F2F85D3"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See Christian Sandvig et al. ‘Auditing Algorithms: Research Methods for Detecting Discrimination on Internet Platforms’, </w:t>
      </w:r>
      <w:r w:rsidRPr="006F1E60">
        <w:rPr>
          <w:rFonts w:ascii="Times New Roman" w:eastAsia="Times New Roman" w:hAnsi="Times New Roman" w:cs="Times New Roman"/>
          <w:color w:val="222222"/>
          <w:sz w:val="20"/>
          <w:szCs w:val="20"/>
          <w:shd w:val="clear" w:color="auto" w:fill="FFFFFF"/>
        </w:rPr>
        <w:t>Data and discrimination: converting critical concerns into productive inquiry (2014), 1-23.</w:t>
      </w:r>
      <w:r w:rsidRPr="006F1E60">
        <w:rPr>
          <w:rFonts w:ascii="Times New Roman" w:hAnsi="Times New Roman" w:cs="Times New Roman"/>
          <w:sz w:val="20"/>
          <w:szCs w:val="20"/>
        </w:rPr>
        <w:t xml:space="preserve"> See also Karen Levy and Solon Barocas, ‘Designing Against Discrimination in Online Markets’ 32 Berkeley Technology Law Journal (2018).</w:t>
      </w:r>
    </w:p>
  </w:footnote>
  <w:footnote w:id="146">
    <w:p w14:paraId="3D2DCE4A"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Will Knight, ‘Microsoft is creating an oracle for catching biased AI algorithms’, Technology Review (25 May 2018), available at </w:t>
      </w:r>
      <w:hyperlink r:id="rId5" w:history="1">
        <w:r w:rsidRPr="006F1E60">
          <w:rPr>
            <w:rStyle w:val="Hyperlink"/>
            <w:rFonts w:ascii="Times New Roman" w:hAnsi="Times New Roman" w:cs="Times New Roman"/>
            <w:sz w:val="20"/>
            <w:szCs w:val="20"/>
          </w:rPr>
          <w:t>https://www.technologyreview.com/s/611138/microsoft-is-creating-an-oracle-for-catching-biased-ai-algorithms</w:t>
        </w:r>
      </w:hyperlink>
      <w:r w:rsidRPr="006F1E60">
        <w:rPr>
          <w:rFonts w:ascii="Times New Roman" w:hAnsi="Times New Roman" w:cs="Times New Roman"/>
          <w:sz w:val="20"/>
          <w:szCs w:val="20"/>
        </w:rPr>
        <w:t xml:space="preserve">. </w:t>
      </w:r>
    </w:p>
    <w:p w14:paraId="214FB02C" w14:textId="77777777" w:rsidR="00DF3BC0" w:rsidRPr="006F1E60" w:rsidRDefault="00DF3BC0" w:rsidP="00A06D5A">
      <w:pPr>
        <w:pStyle w:val="FootnoteText"/>
        <w:jc w:val="both"/>
        <w:rPr>
          <w:rFonts w:ascii="Times New Roman" w:hAnsi="Times New Roman" w:cs="Times New Roman"/>
          <w:sz w:val="20"/>
          <w:szCs w:val="20"/>
        </w:rPr>
      </w:pPr>
    </w:p>
  </w:footnote>
  <w:footnote w:id="147">
    <w:p w14:paraId="09263FCF"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Stacey Dorgan, ‘The Role of Design Choice in Intellectual Property and Antitrust Law’, 15 Columbia Technology Law Journal 27 (2016). Note that this list of approaches is not exhaustive. For instance, the European Commission’s approach in Google Shopping suggests a moderate degree of (non-) interference with design choices: the Commission brushed aside the efficiency defense raised by Google, according to which the algorithmic changes that they made improve the quality of the search service for consumers by providing them with “the most relevant and useful results possible”. The Commission contended that achieving those efficiencies cannot imply that Google Shopping is systematically favored. See Decision, para. 662. </w:t>
      </w:r>
    </w:p>
  </w:footnote>
  <w:footnote w:id="148">
    <w:p w14:paraId="1B6AA80A"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w:t>
      </w:r>
      <w:r w:rsidRPr="006F1E60">
        <w:rPr>
          <w:rFonts w:ascii="Times New Roman" w:hAnsi="Times New Roman" w:cs="Times New Roman"/>
          <w:i/>
          <w:sz w:val="20"/>
          <w:szCs w:val="20"/>
        </w:rPr>
        <w:t>Id.</w:t>
      </w:r>
      <w:r w:rsidRPr="006F1E60">
        <w:rPr>
          <w:rFonts w:ascii="Times New Roman" w:hAnsi="Times New Roman" w:cs="Times New Roman"/>
          <w:sz w:val="20"/>
          <w:szCs w:val="20"/>
        </w:rPr>
        <w:t>, 61</w:t>
      </w:r>
      <w:r>
        <w:rPr>
          <w:rFonts w:ascii="Times New Roman" w:hAnsi="Times New Roman" w:cs="Times New Roman"/>
          <w:sz w:val="20"/>
          <w:szCs w:val="20"/>
        </w:rPr>
        <w:t>.</w:t>
      </w:r>
    </w:p>
  </w:footnote>
  <w:footnote w:id="149">
    <w:p w14:paraId="65BD582E" w14:textId="77777777" w:rsidR="00DF3BC0" w:rsidRPr="006F1E60" w:rsidRDefault="00DF3BC0" w:rsidP="00A06D5A">
      <w:pPr>
        <w:pStyle w:val="FootnoteText"/>
        <w:jc w:val="both"/>
        <w:rPr>
          <w:rFonts w:ascii="Times New Roman" w:hAnsi="Times New Roman" w:cs="Times New Roman"/>
          <w:sz w:val="20"/>
          <w:szCs w:val="20"/>
        </w:rPr>
      </w:pPr>
      <w:r w:rsidRPr="006F1E60">
        <w:rPr>
          <w:rStyle w:val="FootnoteReference"/>
          <w:rFonts w:ascii="Times New Roman" w:hAnsi="Times New Roman" w:cs="Times New Roman"/>
          <w:sz w:val="20"/>
          <w:szCs w:val="20"/>
        </w:rPr>
        <w:footnoteRef/>
      </w:r>
      <w:r w:rsidRPr="006F1E60">
        <w:rPr>
          <w:rFonts w:ascii="Times New Roman" w:hAnsi="Times New Roman" w:cs="Times New Roman"/>
          <w:sz w:val="20"/>
          <w:szCs w:val="20"/>
        </w:rPr>
        <w:t xml:space="preserve"> Proposal on promoting fairness and transparency for business users of online intermediation services, COM(2018)238/974102. Available at https://ec.europa.eu/info/law/better-regulation/initiatives/com-2018-238_en</w:t>
      </w:r>
      <w:r>
        <w:rPr>
          <w:rFonts w:ascii="Times New Roman" w:hAnsi="Times New Roman" w:cs="Times New Roman"/>
          <w:sz w:val="20"/>
          <w:szCs w:val="20"/>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2A1F2" w14:textId="621382BC" w:rsidR="00DF3BC0" w:rsidRDefault="00DF3BC0" w:rsidP="000E0F53">
    <w:pPr>
      <w:pStyle w:val="Header"/>
      <w:jc w:val="center"/>
    </w:pPr>
    <w:r>
      <w:t xml:space="preserve">Draft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0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B05175F"/>
    <w:multiLevelType w:val="hybridMultilevel"/>
    <w:tmpl w:val="8AAC5DEA"/>
    <w:lvl w:ilvl="0" w:tplc="6A9C5E80">
      <w:start w:val="1"/>
      <w:numFmt w:val="bullet"/>
      <w:lvlText w:val="•"/>
      <w:lvlJc w:val="left"/>
      <w:pPr>
        <w:tabs>
          <w:tab w:val="num" w:pos="720"/>
        </w:tabs>
        <w:ind w:left="720" w:hanging="360"/>
      </w:pPr>
      <w:rPr>
        <w:rFonts w:ascii="Times New Roman" w:hAnsi="Times New Roman" w:hint="default"/>
      </w:rPr>
    </w:lvl>
    <w:lvl w:ilvl="1" w:tplc="D682DA80" w:tentative="1">
      <w:start w:val="1"/>
      <w:numFmt w:val="bullet"/>
      <w:lvlText w:val="•"/>
      <w:lvlJc w:val="left"/>
      <w:pPr>
        <w:tabs>
          <w:tab w:val="num" w:pos="1440"/>
        </w:tabs>
        <w:ind w:left="1440" w:hanging="360"/>
      </w:pPr>
      <w:rPr>
        <w:rFonts w:ascii="Times New Roman" w:hAnsi="Times New Roman" w:hint="default"/>
      </w:rPr>
    </w:lvl>
    <w:lvl w:ilvl="2" w:tplc="E7A41B32" w:tentative="1">
      <w:start w:val="1"/>
      <w:numFmt w:val="bullet"/>
      <w:lvlText w:val="•"/>
      <w:lvlJc w:val="left"/>
      <w:pPr>
        <w:tabs>
          <w:tab w:val="num" w:pos="2160"/>
        </w:tabs>
        <w:ind w:left="2160" w:hanging="360"/>
      </w:pPr>
      <w:rPr>
        <w:rFonts w:ascii="Times New Roman" w:hAnsi="Times New Roman" w:hint="default"/>
      </w:rPr>
    </w:lvl>
    <w:lvl w:ilvl="3" w:tplc="C136DAA6" w:tentative="1">
      <w:start w:val="1"/>
      <w:numFmt w:val="bullet"/>
      <w:lvlText w:val="•"/>
      <w:lvlJc w:val="left"/>
      <w:pPr>
        <w:tabs>
          <w:tab w:val="num" w:pos="2880"/>
        </w:tabs>
        <w:ind w:left="2880" w:hanging="360"/>
      </w:pPr>
      <w:rPr>
        <w:rFonts w:ascii="Times New Roman" w:hAnsi="Times New Roman" w:hint="default"/>
      </w:rPr>
    </w:lvl>
    <w:lvl w:ilvl="4" w:tplc="8F986758" w:tentative="1">
      <w:start w:val="1"/>
      <w:numFmt w:val="bullet"/>
      <w:lvlText w:val="•"/>
      <w:lvlJc w:val="left"/>
      <w:pPr>
        <w:tabs>
          <w:tab w:val="num" w:pos="3600"/>
        </w:tabs>
        <w:ind w:left="3600" w:hanging="360"/>
      </w:pPr>
      <w:rPr>
        <w:rFonts w:ascii="Times New Roman" w:hAnsi="Times New Roman" w:hint="default"/>
      </w:rPr>
    </w:lvl>
    <w:lvl w:ilvl="5" w:tplc="0430FC14" w:tentative="1">
      <w:start w:val="1"/>
      <w:numFmt w:val="bullet"/>
      <w:lvlText w:val="•"/>
      <w:lvlJc w:val="left"/>
      <w:pPr>
        <w:tabs>
          <w:tab w:val="num" w:pos="4320"/>
        </w:tabs>
        <w:ind w:left="4320" w:hanging="360"/>
      </w:pPr>
      <w:rPr>
        <w:rFonts w:ascii="Times New Roman" w:hAnsi="Times New Roman" w:hint="default"/>
      </w:rPr>
    </w:lvl>
    <w:lvl w:ilvl="6" w:tplc="4CDE5FF4" w:tentative="1">
      <w:start w:val="1"/>
      <w:numFmt w:val="bullet"/>
      <w:lvlText w:val="•"/>
      <w:lvlJc w:val="left"/>
      <w:pPr>
        <w:tabs>
          <w:tab w:val="num" w:pos="5040"/>
        </w:tabs>
        <w:ind w:left="5040" w:hanging="360"/>
      </w:pPr>
      <w:rPr>
        <w:rFonts w:ascii="Times New Roman" w:hAnsi="Times New Roman" w:hint="default"/>
      </w:rPr>
    </w:lvl>
    <w:lvl w:ilvl="7" w:tplc="749E3366" w:tentative="1">
      <w:start w:val="1"/>
      <w:numFmt w:val="bullet"/>
      <w:lvlText w:val="•"/>
      <w:lvlJc w:val="left"/>
      <w:pPr>
        <w:tabs>
          <w:tab w:val="num" w:pos="5760"/>
        </w:tabs>
        <w:ind w:left="5760" w:hanging="360"/>
      </w:pPr>
      <w:rPr>
        <w:rFonts w:ascii="Times New Roman" w:hAnsi="Times New Roman" w:hint="default"/>
      </w:rPr>
    </w:lvl>
    <w:lvl w:ilvl="8" w:tplc="2B98CE6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0E3"/>
    <w:rsid w:val="000679B1"/>
    <w:rsid w:val="000E0F53"/>
    <w:rsid w:val="000E5652"/>
    <w:rsid w:val="000F322F"/>
    <w:rsid w:val="001149AE"/>
    <w:rsid w:val="001364D1"/>
    <w:rsid w:val="00202A33"/>
    <w:rsid w:val="002120E3"/>
    <w:rsid w:val="00242972"/>
    <w:rsid w:val="002660E9"/>
    <w:rsid w:val="002A7931"/>
    <w:rsid w:val="003F251D"/>
    <w:rsid w:val="00403BBF"/>
    <w:rsid w:val="00463531"/>
    <w:rsid w:val="0049131A"/>
    <w:rsid w:val="00627284"/>
    <w:rsid w:val="0066447D"/>
    <w:rsid w:val="00672A2B"/>
    <w:rsid w:val="006E12B3"/>
    <w:rsid w:val="006F1E60"/>
    <w:rsid w:val="00711AB9"/>
    <w:rsid w:val="00735D77"/>
    <w:rsid w:val="00740F7B"/>
    <w:rsid w:val="00792878"/>
    <w:rsid w:val="007959CD"/>
    <w:rsid w:val="007A4E01"/>
    <w:rsid w:val="0082290C"/>
    <w:rsid w:val="00A06D5A"/>
    <w:rsid w:val="00A07A0C"/>
    <w:rsid w:val="00B5313D"/>
    <w:rsid w:val="00BB6ACA"/>
    <w:rsid w:val="00BC5B04"/>
    <w:rsid w:val="00BC68CA"/>
    <w:rsid w:val="00C55D0F"/>
    <w:rsid w:val="00CF0D97"/>
    <w:rsid w:val="00D35CFC"/>
    <w:rsid w:val="00DB2E5A"/>
    <w:rsid w:val="00DC3CF9"/>
    <w:rsid w:val="00DD4B78"/>
    <w:rsid w:val="00DF3BC0"/>
    <w:rsid w:val="00E564CA"/>
    <w:rsid w:val="00E900BA"/>
    <w:rsid w:val="00EA4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CAD1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0E3"/>
  </w:style>
  <w:style w:type="paragraph" w:styleId="Heading1">
    <w:name w:val="heading 1"/>
    <w:basedOn w:val="Normal"/>
    <w:next w:val="Normal"/>
    <w:link w:val="Heading1Char"/>
    <w:uiPriority w:val="9"/>
    <w:qFormat/>
    <w:rsid w:val="002120E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E0F5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0E3"/>
    <w:rPr>
      <w:rFonts w:asciiTheme="majorHAnsi" w:eastAsiaTheme="majorEastAsia" w:hAnsiTheme="majorHAnsi" w:cstheme="majorBidi"/>
      <w:b/>
      <w:bCs/>
      <w:color w:val="345A8A" w:themeColor="accent1" w:themeShade="B5"/>
      <w:sz w:val="32"/>
      <w:szCs w:val="32"/>
    </w:rPr>
  </w:style>
  <w:style w:type="paragraph" w:styleId="FootnoteText">
    <w:name w:val="footnote text"/>
    <w:basedOn w:val="Normal"/>
    <w:link w:val="FootnoteTextChar"/>
    <w:uiPriority w:val="99"/>
    <w:unhideWhenUsed/>
    <w:rsid w:val="002120E3"/>
  </w:style>
  <w:style w:type="character" w:customStyle="1" w:styleId="FootnoteTextChar">
    <w:name w:val="Footnote Text Char"/>
    <w:basedOn w:val="DefaultParagraphFont"/>
    <w:link w:val="FootnoteText"/>
    <w:uiPriority w:val="99"/>
    <w:rsid w:val="002120E3"/>
  </w:style>
  <w:style w:type="character" w:styleId="FootnoteReference">
    <w:name w:val="footnote reference"/>
    <w:basedOn w:val="DefaultParagraphFont"/>
    <w:uiPriority w:val="99"/>
    <w:unhideWhenUsed/>
    <w:rsid w:val="002120E3"/>
    <w:rPr>
      <w:vertAlign w:val="superscript"/>
    </w:rPr>
  </w:style>
  <w:style w:type="character" w:customStyle="1" w:styleId="apple-converted-space">
    <w:name w:val="apple-converted-space"/>
    <w:basedOn w:val="DefaultParagraphFont"/>
    <w:rsid w:val="002120E3"/>
  </w:style>
  <w:style w:type="paragraph" w:styleId="NormalWeb">
    <w:name w:val="Normal (Web)"/>
    <w:basedOn w:val="Normal"/>
    <w:uiPriority w:val="99"/>
    <w:semiHidden/>
    <w:unhideWhenUsed/>
    <w:rsid w:val="002120E3"/>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2120E3"/>
    <w:rPr>
      <w:color w:val="0000FF" w:themeColor="hyperlink"/>
      <w:u w:val="single"/>
    </w:rPr>
  </w:style>
  <w:style w:type="paragraph" w:styleId="BalloonText">
    <w:name w:val="Balloon Text"/>
    <w:basedOn w:val="Normal"/>
    <w:link w:val="BalloonTextChar"/>
    <w:uiPriority w:val="99"/>
    <w:semiHidden/>
    <w:unhideWhenUsed/>
    <w:rsid w:val="002120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20E3"/>
    <w:rPr>
      <w:rFonts w:ascii="Lucida Grande" w:hAnsi="Lucida Grande" w:cs="Lucida Grande"/>
      <w:sz w:val="18"/>
      <w:szCs w:val="18"/>
    </w:rPr>
  </w:style>
  <w:style w:type="paragraph" w:styleId="Header">
    <w:name w:val="header"/>
    <w:basedOn w:val="Normal"/>
    <w:link w:val="HeaderChar"/>
    <w:uiPriority w:val="99"/>
    <w:unhideWhenUsed/>
    <w:rsid w:val="002120E3"/>
    <w:pPr>
      <w:tabs>
        <w:tab w:val="center" w:pos="4320"/>
        <w:tab w:val="right" w:pos="8640"/>
      </w:tabs>
    </w:pPr>
  </w:style>
  <w:style w:type="character" w:customStyle="1" w:styleId="HeaderChar">
    <w:name w:val="Header Char"/>
    <w:basedOn w:val="DefaultParagraphFont"/>
    <w:link w:val="Header"/>
    <w:uiPriority w:val="99"/>
    <w:rsid w:val="002120E3"/>
  </w:style>
  <w:style w:type="paragraph" w:styleId="Footer">
    <w:name w:val="footer"/>
    <w:basedOn w:val="Normal"/>
    <w:link w:val="FooterChar"/>
    <w:uiPriority w:val="99"/>
    <w:unhideWhenUsed/>
    <w:rsid w:val="002120E3"/>
    <w:pPr>
      <w:tabs>
        <w:tab w:val="center" w:pos="4320"/>
        <w:tab w:val="right" w:pos="8640"/>
      </w:tabs>
    </w:pPr>
  </w:style>
  <w:style w:type="character" w:customStyle="1" w:styleId="FooterChar">
    <w:name w:val="Footer Char"/>
    <w:basedOn w:val="DefaultParagraphFont"/>
    <w:link w:val="Footer"/>
    <w:uiPriority w:val="99"/>
    <w:rsid w:val="002120E3"/>
  </w:style>
  <w:style w:type="character" w:styleId="CommentReference">
    <w:name w:val="annotation reference"/>
    <w:basedOn w:val="DefaultParagraphFont"/>
    <w:uiPriority w:val="99"/>
    <w:semiHidden/>
    <w:unhideWhenUsed/>
    <w:rsid w:val="002120E3"/>
    <w:rPr>
      <w:sz w:val="16"/>
      <w:szCs w:val="16"/>
    </w:rPr>
  </w:style>
  <w:style w:type="paragraph" w:styleId="CommentText">
    <w:name w:val="annotation text"/>
    <w:basedOn w:val="Normal"/>
    <w:link w:val="CommentTextChar"/>
    <w:uiPriority w:val="99"/>
    <w:semiHidden/>
    <w:unhideWhenUsed/>
    <w:rsid w:val="002120E3"/>
    <w:rPr>
      <w:sz w:val="20"/>
      <w:szCs w:val="20"/>
    </w:rPr>
  </w:style>
  <w:style w:type="character" w:customStyle="1" w:styleId="CommentTextChar">
    <w:name w:val="Comment Text Char"/>
    <w:basedOn w:val="DefaultParagraphFont"/>
    <w:link w:val="CommentText"/>
    <w:uiPriority w:val="99"/>
    <w:semiHidden/>
    <w:rsid w:val="002120E3"/>
    <w:rPr>
      <w:sz w:val="20"/>
      <w:szCs w:val="20"/>
    </w:rPr>
  </w:style>
  <w:style w:type="paragraph" w:styleId="CommentSubject">
    <w:name w:val="annotation subject"/>
    <w:basedOn w:val="CommentText"/>
    <w:next w:val="CommentText"/>
    <w:link w:val="CommentSubjectChar"/>
    <w:uiPriority w:val="99"/>
    <w:semiHidden/>
    <w:unhideWhenUsed/>
    <w:rsid w:val="002120E3"/>
    <w:rPr>
      <w:b/>
      <w:bCs/>
    </w:rPr>
  </w:style>
  <w:style w:type="character" w:customStyle="1" w:styleId="CommentSubjectChar">
    <w:name w:val="Comment Subject Char"/>
    <w:basedOn w:val="CommentTextChar"/>
    <w:link w:val="CommentSubject"/>
    <w:uiPriority w:val="99"/>
    <w:semiHidden/>
    <w:rsid w:val="002120E3"/>
    <w:rPr>
      <w:b/>
      <w:bCs/>
      <w:sz w:val="20"/>
      <w:szCs w:val="20"/>
    </w:rPr>
  </w:style>
  <w:style w:type="paragraph" w:customStyle="1" w:styleId="c01pointnumerotealtn">
    <w:name w:val="c01pointnumerotealtn"/>
    <w:basedOn w:val="Normal"/>
    <w:rsid w:val="002120E3"/>
    <w:pPr>
      <w:spacing w:before="100" w:beforeAutospacing="1" w:after="100" w:afterAutospacing="1"/>
    </w:pPr>
    <w:rPr>
      <w:rFonts w:ascii="Times New Roman" w:hAnsi="Times New Roman" w:cs="Times New Roman"/>
      <w:sz w:val="20"/>
      <w:szCs w:val="20"/>
    </w:rPr>
  </w:style>
  <w:style w:type="table" w:styleId="TableGrid">
    <w:name w:val="Table Grid"/>
    <w:basedOn w:val="TableNormal"/>
    <w:uiPriority w:val="59"/>
    <w:rsid w:val="002120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120E3"/>
    <w:rPr>
      <w:i/>
      <w:iCs/>
    </w:rPr>
  </w:style>
  <w:style w:type="character" w:customStyle="1" w:styleId="Heading2Char">
    <w:name w:val="Heading 2 Char"/>
    <w:basedOn w:val="DefaultParagraphFont"/>
    <w:link w:val="Heading2"/>
    <w:uiPriority w:val="9"/>
    <w:rsid w:val="000E0F53"/>
    <w:rPr>
      <w:rFonts w:asciiTheme="majorHAnsi" w:eastAsiaTheme="majorEastAsia" w:hAnsiTheme="majorHAnsi" w:cstheme="majorBidi"/>
      <w:b/>
      <w:bCs/>
      <w:color w:val="4F81BD" w:themeColor="accent1"/>
      <w:sz w:val="26"/>
      <w:szCs w:val="26"/>
    </w:rPr>
  </w:style>
  <w:style w:type="paragraph" w:styleId="Index1">
    <w:name w:val="index 1"/>
    <w:basedOn w:val="Normal"/>
    <w:next w:val="Normal"/>
    <w:autoRedefine/>
    <w:uiPriority w:val="99"/>
    <w:unhideWhenUsed/>
    <w:rsid w:val="006F1E60"/>
    <w:pPr>
      <w:ind w:left="240" w:hanging="240"/>
    </w:pPr>
  </w:style>
  <w:style w:type="paragraph" w:styleId="Index2">
    <w:name w:val="index 2"/>
    <w:basedOn w:val="Normal"/>
    <w:next w:val="Normal"/>
    <w:autoRedefine/>
    <w:uiPriority w:val="99"/>
    <w:unhideWhenUsed/>
    <w:rsid w:val="006F1E60"/>
    <w:pPr>
      <w:ind w:left="480" w:hanging="240"/>
    </w:pPr>
  </w:style>
  <w:style w:type="paragraph" w:styleId="Index3">
    <w:name w:val="index 3"/>
    <w:basedOn w:val="Normal"/>
    <w:next w:val="Normal"/>
    <w:autoRedefine/>
    <w:uiPriority w:val="99"/>
    <w:unhideWhenUsed/>
    <w:rsid w:val="006F1E60"/>
    <w:pPr>
      <w:ind w:left="720" w:hanging="240"/>
    </w:pPr>
  </w:style>
  <w:style w:type="paragraph" w:styleId="Index4">
    <w:name w:val="index 4"/>
    <w:basedOn w:val="Normal"/>
    <w:next w:val="Normal"/>
    <w:autoRedefine/>
    <w:uiPriority w:val="99"/>
    <w:unhideWhenUsed/>
    <w:rsid w:val="006F1E60"/>
    <w:pPr>
      <w:ind w:left="960" w:hanging="240"/>
    </w:pPr>
  </w:style>
  <w:style w:type="paragraph" w:styleId="Index5">
    <w:name w:val="index 5"/>
    <w:basedOn w:val="Normal"/>
    <w:next w:val="Normal"/>
    <w:autoRedefine/>
    <w:uiPriority w:val="99"/>
    <w:unhideWhenUsed/>
    <w:rsid w:val="006F1E60"/>
    <w:pPr>
      <w:ind w:left="1200" w:hanging="240"/>
    </w:pPr>
  </w:style>
  <w:style w:type="paragraph" w:styleId="Index6">
    <w:name w:val="index 6"/>
    <w:basedOn w:val="Normal"/>
    <w:next w:val="Normal"/>
    <w:autoRedefine/>
    <w:uiPriority w:val="99"/>
    <w:unhideWhenUsed/>
    <w:rsid w:val="006F1E60"/>
    <w:pPr>
      <w:ind w:left="1440" w:hanging="240"/>
    </w:pPr>
  </w:style>
  <w:style w:type="paragraph" w:styleId="Index7">
    <w:name w:val="index 7"/>
    <w:basedOn w:val="Normal"/>
    <w:next w:val="Normal"/>
    <w:autoRedefine/>
    <w:uiPriority w:val="99"/>
    <w:unhideWhenUsed/>
    <w:rsid w:val="006F1E60"/>
    <w:pPr>
      <w:ind w:left="1680" w:hanging="240"/>
    </w:pPr>
  </w:style>
  <w:style w:type="paragraph" w:styleId="Index8">
    <w:name w:val="index 8"/>
    <w:basedOn w:val="Normal"/>
    <w:next w:val="Normal"/>
    <w:autoRedefine/>
    <w:uiPriority w:val="99"/>
    <w:unhideWhenUsed/>
    <w:rsid w:val="006F1E60"/>
    <w:pPr>
      <w:ind w:left="1920" w:hanging="240"/>
    </w:pPr>
  </w:style>
  <w:style w:type="paragraph" w:styleId="Index9">
    <w:name w:val="index 9"/>
    <w:basedOn w:val="Normal"/>
    <w:next w:val="Normal"/>
    <w:autoRedefine/>
    <w:uiPriority w:val="99"/>
    <w:unhideWhenUsed/>
    <w:rsid w:val="006F1E60"/>
    <w:pPr>
      <w:ind w:left="2160" w:hanging="240"/>
    </w:pPr>
  </w:style>
  <w:style w:type="paragraph" w:styleId="IndexHeading">
    <w:name w:val="index heading"/>
    <w:basedOn w:val="Normal"/>
    <w:next w:val="Index1"/>
    <w:uiPriority w:val="99"/>
    <w:unhideWhenUsed/>
    <w:rsid w:val="006F1E60"/>
  </w:style>
  <w:style w:type="paragraph" w:styleId="TOC1">
    <w:name w:val="toc 1"/>
    <w:basedOn w:val="Normal"/>
    <w:next w:val="Normal"/>
    <w:autoRedefine/>
    <w:uiPriority w:val="39"/>
    <w:unhideWhenUsed/>
    <w:rsid w:val="006F1E60"/>
  </w:style>
  <w:style w:type="paragraph" w:styleId="TOC2">
    <w:name w:val="toc 2"/>
    <w:basedOn w:val="Normal"/>
    <w:next w:val="Normal"/>
    <w:autoRedefine/>
    <w:uiPriority w:val="39"/>
    <w:unhideWhenUsed/>
    <w:rsid w:val="006F1E60"/>
    <w:pPr>
      <w:ind w:left="240"/>
    </w:pPr>
  </w:style>
  <w:style w:type="paragraph" w:styleId="TOC3">
    <w:name w:val="toc 3"/>
    <w:basedOn w:val="Normal"/>
    <w:next w:val="Normal"/>
    <w:autoRedefine/>
    <w:uiPriority w:val="39"/>
    <w:unhideWhenUsed/>
    <w:rsid w:val="006F1E60"/>
    <w:pPr>
      <w:ind w:left="480"/>
    </w:pPr>
  </w:style>
  <w:style w:type="paragraph" w:styleId="TOC4">
    <w:name w:val="toc 4"/>
    <w:basedOn w:val="Normal"/>
    <w:next w:val="Normal"/>
    <w:autoRedefine/>
    <w:uiPriority w:val="39"/>
    <w:unhideWhenUsed/>
    <w:rsid w:val="006F1E60"/>
    <w:pPr>
      <w:ind w:left="720"/>
    </w:pPr>
  </w:style>
  <w:style w:type="paragraph" w:styleId="TOC5">
    <w:name w:val="toc 5"/>
    <w:basedOn w:val="Normal"/>
    <w:next w:val="Normal"/>
    <w:autoRedefine/>
    <w:uiPriority w:val="39"/>
    <w:unhideWhenUsed/>
    <w:rsid w:val="006F1E60"/>
    <w:pPr>
      <w:ind w:left="960"/>
    </w:pPr>
  </w:style>
  <w:style w:type="paragraph" w:styleId="TOC6">
    <w:name w:val="toc 6"/>
    <w:basedOn w:val="Normal"/>
    <w:next w:val="Normal"/>
    <w:autoRedefine/>
    <w:uiPriority w:val="39"/>
    <w:unhideWhenUsed/>
    <w:rsid w:val="006F1E60"/>
    <w:pPr>
      <w:ind w:left="1200"/>
    </w:pPr>
  </w:style>
  <w:style w:type="paragraph" w:styleId="TOC7">
    <w:name w:val="toc 7"/>
    <w:basedOn w:val="Normal"/>
    <w:next w:val="Normal"/>
    <w:autoRedefine/>
    <w:uiPriority w:val="39"/>
    <w:unhideWhenUsed/>
    <w:rsid w:val="006F1E60"/>
    <w:pPr>
      <w:ind w:left="1440"/>
    </w:pPr>
  </w:style>
  <w:style w:type="paragraph" w:styleId="TOC8">
    <w:name w:val="toc 8"/>
    <w:basedOn w:val="Normal"/>
    <w:next w:val="Normal"/>
    <w:autoRedefine/>
    <w:uiPriority w:val="39"/>
    <w:unhideWhenUsed/>
    <w:rsid w:val="006F1E60"/>
    <w:pPr>
      <w:ind w:left="1680"/>
    </w:pPr>
  </w:style>
  <w:style w:type="paragraph" w:styleId="TOC9">
    <w:name w:val="toc 9"/>
    <w:basedOn w:val="Normal"/>
    <w:next w:val="Normal"/>
    <w:autoRedefine/>
    <w:uiPriority w:val="39"/>
    <w:unhideWhenUsed/>
    <w:rsid w:val="006F1E60"/>
    <w:pPr>
      <w:ind w:left="19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0E3"/>
  </w:style>
  <w:style w:type="paragraph" w:styleId="Heading1">
    <w:name w:val="heading 1"/>
    <w:basedOn w:val="Normal"/>
    <w:next w:val="Normal"/>
    <w:link w:val="Heading1Char"/>
    <w:uiPriority w:val="9"/>
    <w:qFormat/>
    <w:rsid w:val="002120E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E0F5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0E3"/>
    <w:rPr>
      <w:rFonts w:asciiTheme="majorHAnsi" w:eastAsiaTheme="majorEastAsia" w:hAnsiTheme="majorHAnsi" w:cstheme="majorBidi"/>
      <w:b/>
      <w:bCs/>
      <w:color w:val="345A8A" w:themeColor="accent1" w:themeShade="B5"/>
      <w:sz w:val="32"/>
      <w:szCs w:val="32"/>
    </w:rPr>
  </w:style>
  <w:style w:type="paragraph" w:styleId="FootnoteText">
    <w:name w:val="footnote text"/>
    <w:basedOn w:val="Normal"/>
    <w:link w:val="FootnoteTextChar"/>
    <w:uiPriority w:val="99"/>
    <w:unhideWhenUsed/>
    <w:rsid w:val="002120E3"/>
  </w:style>
  <w:style w:type="character" w:customStyle="1" w:styleId="FootnoteTextChar">
    <w:name w:val="Footnote Text Char"/>
    <w:basedOn w:val="DefaultParagraphFont"/>
    <w:link w:val="FootnoteText"/>
    <w:uiPriority w:val="99"/>
    <w:rsid w:val="002120E3"/>
  </w:style>
  <w:style w:type="character" w:styleId="FootnoteReference">
    <w:name w:val="footnote reference"/>
    <w:basedOn w:val="DefaultParagraphFont"/>
    <w:uiPriority w:val="99"/>
    <w:unhideWhenUsed/>
    <w:rsid w:val="002120E3"/>
    <w:rPr>
      <w:vertAlign w:val="superscript"/>
    </w:rPr>
  </w:style>
  <w:style w:type="character" w:customStyle="1" w:styleId="apple-converted-space">
    <w:name w:val="apple-converted-space"/>
    <w:basedOn w:val="DefaultParagraphFont"/>
    <w:rsid w:val="002120E3"/>
  </w:style>
  <w:style w:type="paragraph" w:styleId="NormalWeb">
    <w:name w:val="Normal (Web)"/>
    <w:basedOn w:val="Normal"/>
    <w:uiPriority w:val="99"/>
    <w:semiHidden/>
    <w:unhideWhenUsed/>
    <w:rsid w:val="002120E3"/>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2120E3"/>
    <w:rPr>
      <w:color w:val="0000FF" w:themeColor="hyperlink"/>
      <w:u w:val="single"/>
    </w:rPr>
  </w:style>
  <w:style w:type="paragraph" w:styleId="BalloonText">
    <w:name w:val="Balloon Text"/>
    <w:basedOn w:val="Normal"/>
    <w:link w:val="BalloonTextChar"/>
    <w:uiPriority w:val="99"/>
    <w:semiHidden/>
    <w:unhideWhenUsed/>
    <w:rsid w:val="002120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20E3"/>
    <w:rPr>
      <w:rFonts w:ascii="Lucida Grande" w:hAnsi="Lucida Grande" w:cs="Lucida Grande"/>
      <w:sz w:val="18"/>
      <w:szCs w:val="18"/>
    </w:rPr>
  </w:style>
  <w:style w:type="paragraph" w:styleId="Header">
    <w:name w:val="header"/>
    <w:basedOn w:val="Normal"/>
    <w:link w:val="HeaderChar"/>
    <w:uiPriority w:val="99"/>
    <w:unhideWhenUsed/>
    <w:rsid w:val="002120E3"/>
    <w:pPr>
      <w:tabs>
        <w:tab w:val="center" w:pos="4320"/>
        <w:tab w:val="right" w:pos="8640"/>
      </w:tabs>
    </w:pPr>
  </w:style>
  <w:style w:type="character" w:customStyle="1" w:styleId="HeaderChar">
    <w:name w:val="Header Char"/>
    <w:basedOn w:val="DefaultParagraphFont"/>
    <w:link w:val="Header"/>
    <w:uiPriority w:val="99"/>
    <w:rsid w:val="002120E3"/>
  </w:style>
  <w:style w:type="paragraph" w:styleId="Footer">
    <w:name w:val="footer"/>
    <w:basedOn w:val="Normal"/>
    <w:link w:val="FooterChar"/>
    <w:uiPriority w:val="99"/>
    <w:unhideWhenUsed/>
    <w:rsid w:val="002120E3"/>
    <w:pPr>
      <w:tabs>
        <w:tab w:val="center" w:pos="4320"/>
        <w:tab w:val="right" w:pos="8640"/>
      </w:tabs>
    </w:pPr>
  </w:style>
  <w:style w:type="character" w:customStyle="1" w:styleId="FooterChar">
    <w:name w:val="Footer Char"/>
    <w:basedOn w:val="DefaultParagraphFont"/>
    <w:link w:val="Footer"/>
    <w:uiPriority w:val="99"/>
    <w:rsid w:val="002120E3"/>
  </w:style>
  <w:style w:type="character" w:styleId="CommentReference">
    <w:name w:val="annotation reference"/>
    <w:basedOn w:val="DefaultParagraphFont"/>
    <w:uiPriority w:val="99"/>
    <w:semiHidden/>
    <w:unhideWhenUsed/>
    <w:rsid w:val="002120E3"/>
    <w:rPr>
      <w:sz w:val="16"/>
      <w:szCs w:val="16"/>
    </w:rPr>
  </w:style>
  <w:style w:type="paragraph" w:styleId="CommentText">
    <w:name w:val="annotation text"/>
    <w:basedOn w:val="Normal"/>
    <w:link w:val="CommentTextChar"/>
    <w:uiPriority w:val="99"/>
    <w:semiHidden/>
    <w:unhideWhenUsed/>
    <w:rsid w:val="002120E3"/>
    <w:rPr>
      <w:sz w:val="20"/>
      <w:szCs w:val="20"/>
    </w:rPr>
  </w:style>
  <w:style w:type="character" w:customStyle="1" w:styleId="CommentTextChar">
    <w:name w:val="Comment Text Char"/>
    <w:basedOn w:val="DefaultParagraphFont"/>
    <w:link w:val="CommentText"/>
    <w:uiPriority w:val="99"/>
    <w:semiHidden/>
    <w:rsid w:val="002120E3"/>
    <w:rPr>
      <w:sz w:val="20"/>
      <w:szCs w:val="20"/>
    </w:rPr>
  </w:style>
  <w:style w:type="paragraph" w:styleId="CommentSubject">
    <w:name w:val="annotation subject"/>
    <w:basedOn w:val="CommentText"/>
    <w:next w:val="CommentText"/>
    <w:link w:val="CommentSubjectChar"/>
    <w:uiPriority w:val="99"/>
    <w:semiHidden/>
    <w:unhideWhenUsed/>
    <w:rsid w:val="002120E3"/>
    <w:rPr>
      <w:b/>
      <w:bCs/>
    </w:rPr>
  </w:style>
  <w:style w:type="character" w:customStyle="1" w:styleId="CommentSubjectChar">
    <w:name w:val="Comment Subject Char"/>
    <w:basedOn w:val="CommentTextChar"/>
    <w:link w:val="CommentSubject"/>
    <w:uiPriority w:val="99"/>
    <w:semiHidden/>
    <w:rsid w:val="002120E3"/>
    <w:rPr>
      <w:b/>
      <w:bCs/>
      <w:sz w:val="20"/>
      <w:szCs w:val="20"/>
    </w:rPr>
  </w:style>
  <w:style w:type="paragraph" w:customStyle="1" w:styleId="c01pointnumerotealtn">
    <w:name w:val="c01pointnumerotealtn"/>
    <w:basedOn w:val="Normal"/>
    <w:rsid w:val="002120E3"/>
    <w:pPr>
      <w:spacing w:before="100" w:beforeAutospacing="1" w:after="100" w:afterAutospacing="1"/>
    </w:pPr>
    <w:rPr>
      <w:rFonts w:ascii="Times New Roman" w:hAnsi="Times New Roman" w:cs="Times New Roman"/>
      <w:sz w:val="20"/>
      <w:szCs w:val="20"/>
    </w:rPr>
  </w:style>
  <w:style w:type="table" w:styleId="TableGrid">
    <w:name w:val="Table Grid"/>
    <w:basedOn w:val="TableNormal"/>
    <w:uiPriority w:val="59"/>
    <w:rsid w:val="002120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120E3"/>
    <w:rPr>
      <w:i/>
      <w:iCs/>
    </w:rPr>
  </w:style>
  <w:style w:type="character" w:customStyle="1" w:styleId="Heading2Char">
    <w:name w:val="Heading 2 Char"/>
    <w:basedOn w:val="DefaultParagraphFont"/>
    <w:link w:val="Heading2"/>
    <w:uiPriority w:val="9"/>
    <w:rsid w:val="000E0F53"/>
    <w:rPr>
      <w:rFonts w:asciiTheme="majorHAnsi" w:eastAsiaTheme="majorEastAsia" w:hAnsiTheme="majorHAnsi" w:cstheme="majorBidi"/>
      <w:b/>
      <w:bCs/>
      <w:color w:val="4F81BD" w:themeColor="accent1"/>
      <w:sz w:val="26"/>
      <w:szCs w:val="26"/>
    </w:rPr>
  </w:style>
  <w:style w:type="paragraph" w:styleId="Index1">
    <w:name w:val="index 1"/>
    <w:basedOn w:val="Normal"/>
    <w:next w:val="Normal"/>
    <w:autoRedefine/>
    <w:uiPriority w:val="99"/>
    <w:unhideWhenUsed/>
    <w:rsid w:val="006F1E60"/>
    <w:pPr>
      <w:ind w:left="240" w:hanging="240"/>
    </w:pPr>
  </w:style>
  <w:style w:type="paragraph" w:styleId="Index2">
    <w:name w:val="index 2"/>
    <w:basedOn w:val="Normal"/>
    <w:next w:val="Normal"/>
    <w:autoRedefine/>
    <w:uiPriority w:val="99"/>
    <w:unhideWhenUsed/>
    <w:rsid w:val="006F1E60"/>
    <w:pPr>
      <w:ind w:left="480" w:hanging="240"/>
    </w:pPr>
  </w:style>
  <w:style w:type="paragraph" w:styleId="Index3">
    <w:name w:val="index 3"/>
    <w:basedOn w:val="Normal"/>
    <w:next w:val="Normal"/>
    <w:autoRedefine/>
    <w:uiPriority w:val="99"/>
    <w:unhideWhenUsed/>
    <w:rsid w:val="006F1E60"/>
    <w:pPr>
      <w:ind w:left="720" w:hanging="240"/>
    </w:pPr>
  </w:style>
  <w:style w:type="paragraph" w:styleId="Index4">
    <w:name w:val="index 4"/>
    <w:basedOn w:val="Normal"/>
    <w:next w:val="Normal"/>
    <w:autoRedefine/>
    <w:uiPriority w:val="99"/>
    <w:unhideWhenUsed/>
    <w:rsid w:val="006F1E60"/>
    <w:pPr>
      <w:ind w:left="960" w:hanging="240"/>
    </w:pPr>
  </w:style>
  <w:style w:type="paragraph" w:styleId="Index5">
    <w:name w:val="index 5"/>
    <w:basedOn w:val="Normal"/>
    <w:next w:val="Normal"/>
    <w:autoRedefine/>
    <w:uiPriority w:val="99"/>
    <w:unhideWhenUsed/>
    <w:rsid w:val="006F1E60"/>
    <w:pPr>
      <w:ind w:left="1200" w:hanging="240"/>
    </w:pPr>
  </w:style>
  <w:style w:type="paragraph" w:styleId="Index6">
    <w:name w:val="index 6"/>
    <w:basedOn w:val="Normal"/>
    <w:next w:val="Normal"/>
    <w:autoRedefine/>
    <w:uiPriority w:val="99"/>
    <w:unhideWhenUsed/>
    <w:rsid w:val="006F1E60"/>
    <w:pPr>
      <w:ind w:left="1440" w:hanging="240"/>
    </w:pPr>
  </w:style>
  <w:style w:type="paragraph" w:styleId="Index7">
    <w:name w:val="index 7"/>
    <w:basedOn w:val="Normal"/>
    <w:next w:val="Normal"/>
    <w:autoRedefine/>
    <w:uiPriority w:val="99"/>
    <w:unhideWhenUsed/>
    <w:rsid w:val="006F1E60"/>
    <w:pPr>
      <w:ind w:left="1680" w:hanging="240"/>
    </w:pPr>
  </w:style>
  <w:style w:type="paragraph" w:styleId="Index8">
    <w:name w:val="index 8"/>
    <w:basedOn w:val="Normal"/>
    <w:next w:val="Normal"/>
    <w:autoRedefine/>
    <w:uiPriority w:val="99"/>
    <w:unhideWhenUsed/>
    <w:rsid w:val="006F1E60"/>
    <w:pPr>
      <w:ind w:left="1920" w:hanging="240"/>
    </w:pPr>
  </w:style>
  <w:style w:type="paragraph" w:styleId="Index9">
    <w:name w:val="index 9"/>
    <w:basedOn w:val="Normal"/>
    <w:next w:val="Normal"/>
    <w:autoRedefine/>
    <w:uiPriority w:val="99"/>
    <w:unhideWhenUsed/>
    <w:rsid w:val="006F1E60"/>
    <w:pPr>
      <w:ind w:left="2160" w:hanging="240"/>
    </w:pPr>
  </w:style>
  <w:style w:type="paragraph" w:styleId="IndexHeading">
    <w:name w:val="index heading"/>
    <w:basedOn w:val="Normal"/>
    <w:next w:val="Index1"/>
    <w:uiPriority w:val="99"/>
    <w:unhideWhenUsed/>
    <w:rsid w:val="006F1E60"/>
  </w:style>
  <w:style w:type="paragraph" w:styleId="TOC1">
    <w:name w:val="toc 1"/>
    <w:basedOn w:val="Normal"/>
    <w:next w:val="Normal"/>
    <w:autoRedefine/>
    <w:uiPriority w:val="39"/>
    <w:unhideWhenUsed/>
    <w:rsid w:val="006F1E60"/>
  </w:style>
  <w:style w:type="paragraph" w:styleId="TOC2">
    <w:name w:val="toc 2"/>
    <w:basedOn w:val="Normal"/>
    <w:next w:val="Normal"/>
    <w:autoRedefine/>
    <w:uiPriority w:val="39"/>
    <w:unhideWhenUsed/>
    <w:rsid w:val="006F1E60"/>
    <w:pPr>
      <w:ind w:left="240"/>
    </w:pPr>
  </w:style>
  <w:style w:type="paragraph" w:styleId="TOC3">
    <w:name w:val="toc 3"/>
    <w:basedOn w:val="Normal"/>
    <w:next w:val="Normal"/>
    <w:autoRedefine/>
    <w:uiPriority w:val="39"/>
    <w:unhideWhenUsed/>
    <w:rsid w:val="006F1E60"/>
    <w:pPr>
      <w:ind w:left="480"/>
    </w:pPr>
  </w:style>
  <w:style w:type="paragraph" w:styleId="TOC4">
    <w:name w:val="toc 4"/>
    <w:basedOn w:val="Normal"/>
    <w:next w:val="Normal"/>
    <w:autoRedefine/>
    <w:uiPriority w:val="39"/>
    <w:unhideWhenUsed/>
    <w:rsid w:val="006F1E60"/>
    <w:pPr>
      <w:ind w:left="720"/>
    </w:pPr>
  </w:style>
  <w:style w:type="paragraph" w:styleId="TOC5">
    <w:name w:val="toc 5"/>
    <w:basedOn w:val="Normal"/>
    <w:next w:val="Normal"/>
    <w:autoRedefine/>
    <w:uiPriority w:val="39"/>
    <w:unhideWhenUsed/>
    <w:rsid w:val="006F1E60"/>
    <w:pPr>
      <w:ind w:left="960"/>
    </w:pPr>
  </w:style>
  <w:style w:type="paragraph" w:styleId="TOC6">
    <w:name w:val="toc 6"/>
    <w:basedOn w:val="Normal"/>
    <w:next w:val="Normal"/>
    <w:autoRedefine/>
    <w:uiPriority w:val="39"/>
    <w:unhideWhenUsed/>
    <w:rsid w:val="006F1E60"/>
    <w:pPr>
      <w:ind w:left="1200"/>
    </w:pPr>
  </w:style>
  <w:style w:type="paragraph" w:styleId="TOC7">
    <w:name w:val="toc 7"/>
    <w:basedOn w:val="Normal"/>
    <w:next w:val="Normal"/>
    <w:autoRedefine/>
    <w:uiPriority w:val="39"/>
    <w:unhideWhenUsed/>
    <w:rsid w:val="006F1E60"/>
    <w:pPr>
      <w:ind w:left="1440"/>
    </w:pPr>
  </w:style>
  <w:style w:type="paragraph" w:styleId="TOC8">
    <w:name w:val="toc 8"/>
    <w:basedOn w:val="Normal"/>
    <w:next w:val="Normal"/>
    <w:autoRedefine/>
    <w:uiPriority w:val="39"/>
    <w:unhideWhenUsed/>
    <w:rsid w:val="006F1E60"/>
    <w:pPr>
      <w:ind w:left="1680"/>
    </w:pPr>
  </w:style>
  <w:style w:type="paragraph" w:styleId="TOC9">
    <w:name w:val="toc 9"/>
    <w:basedOn w:val="Normal"/>
    <w:next w:val="Normal"/>
    <w:autoRedefine/>
    <w:uiPriority w:val="39"/>
    <w:unhideWhenUsed/>
    <w:rsid w:val="006F1E60"/>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5715">
      <w:bodyDiv w:val="1"/>
      <w:marLeft w:val="0"/>
      <w:marRight w:val="0"/>
      <w:marTop w:val="0"/>
      <w:marBottom w:val="0"/>
      <w:divBdr>
        <w:top w:val="none" w:sz="0" w:space="0" w:color="auto"/>
        <w:left w:val="none" w:sz="0" w:space="0" w:color="auto"/>
        <w:bottom w:val="none" w:sz="0" w:space="0" w:color="auto"/>
        <w:right w:val="none" w:sz="0" w:space="0" w:color="auto"/>
      </w:divBdr>
    </w:div>
    <w:div w:id="349376685">
      <w:bodyDiv w:val="1"/>
      <w:marLeft w:val="0"/>
      <w:marRight w:val="0"/>
      <w:marTop w:val="0"/>
      <w:marBottom w:val="0"/>
      <w:divBdr>
        <w:top w:val="none" w:sz="0" w:space="0" w:color="auto"/>
        <w:left w:val="none" w:sz="0" w:space="0" w:color="auto"/>
        <w:bottom w:val="none" w:sz="0" w:space="0" w:color="auto"/>
        <w:right w:val="none" w:sz="0" w:space="0" w:color="auto"/>
      </w:divBdr>
    </w:div>
    <w:div w:id="370302535">
      <w:bodyDiv w:val="1"/>
      <w:marLeft w:val="0"/>
      <w:marRight w:val="0"/>
      <w:marTop w:val="0"/>
      <w:marBottom w:val="0"/>
      <w:divBdr>
        <w:top w:val="none" w:sz="0" w:space="0" w:color="auto"/>
        <w:left w:val="none" w:sz="0" w:space="0" w:color="auto"/>
        <w:bottom w:val="none" w:sz="0" w:space="0" w:color="auto"/>
        <w:right w:val="none" w:sz="0" w:space="0" w:color="auto"/>
      </w:divBdr>
    </w:div>
    <w:div w:id="12995319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blog.searchmetrics.com/us/2018/01/29/google-shopping-revamped-fairer-to-competitors/" TargetMode="External"/><Relationship Id="rId4" Type="http://schemas.openxmlformats.org/officeDocument/2006/relationships/hyperlink" Target="https://www.wsj.com/articles/google-rivals-ask-eu-to-toughen-measures-in-antitrust-case-1517334038" TargetMode="External"/><Relationship Id="rId5" Type="http://schemas.openxmlformats.org/officeDocument/2006/relationships/hyperlink" Target="https://www.technologyreview.com/s/611138/microsoft-is-creating-an-oracle-for-catching-biased-ai-algorithms" TargetMode="External"/><Relationship Id="rId1" Type="http://schemas.openxmlformats.org/officeDocument/2006/relationships/hyperlink" Target="http://ec.europa.eu/competition/antitrust/cases/dec_docs/39740/39740_14996_3.pdf" TargetMode="External"/><Relationship Id="rId2" Type="http://schemas.openxmlformats.org/officeDocument/2006/relationships/hyperlink" Target="https://fatconfer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35</Pages>
  <Words>14177</Words>
  <Characters>80815</Characters>
  <Application>Microsoft Macintosh Word</Application>
  <DocSecurity>0</DocSecurity>
  <Lines>673</Lines>
  <Paragraphs>189</Paragraphs>
  <ScaleCrop>false</ScaleCrop>
  <Company/>
  <LinksUpToDate>false</LinksUpToDate>
  <CharactersWithSpaces>94803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Nicolo Zingales</dc:creator>
  <cp:keywords/>
  <dc:description/>
  <cp:lastModifiedBy>Nicolo Zingales</cp:lastModifiedBy>
  <cp:revision>25</cp:revision>
  <dcterms:created xsi:type="dcterms:W3CDTF">2018-06-11T00:23:00Z</dcterms:created>
  <dcterms:modified xsi:type="dcterms:W3CDTF">2018-06-14T11:58:00Z</dcterms:modified>
</cp:coreProperties>
</file>