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9E554" w14:textId="77777777" w:rsidR="00EA0019" w:rsidRDefault="00EA0019" w:rsidP="00EA0019">
      <w:pPr>
        <w:spacing w:line="480" w:lineRule="auto"/>
        <w:jc w:val="center"/>
      </w:pPr>
    </w:p>
    <w:p w14:paraId="321FCA7E" w14:textId="77777777" w:rsidR="00EA0019" w:rsidRDefault="00EA0019" w:rsidP="00EA0019">
      <w:pPr>
        <w:spacing w:line="480" w:lineRule="auto"/>
        <w:jc w:val="center"/>
      </w:pPr>
    </w:p>
    <w:p w14:paraId="08A80ABC" w14:textId="77777777" w:rsidR="00EA0019" w:rsidRDefault="00EA0019" w:rsidP="00EA0019">
      <w:pPr>
        <w:spacing w:line="480" w:lineRule="auto"/>
        <w:jc w:val="center"/>
      </w:pPr>
      <w:r>
        <w:t>CONSTITUTIONAL LITERACY</w:t>
      </w:r>
    </w:p>
    <w:p w14:paraId="31B0824C" w14:textId="77777777" w:rsidR="00EA0019" w:rsidRPr="00881992" w:rsidRDefault="00EA0019" w:rsidP="00EA0019">
      <w:pPr>
        <w:spacing w:line="480" w:lineRule="auto"/>
        <w:jc w:val="center"/>
        <w:rPr>
          <w:smallCaps/>
        </w:rPr>
      </w:pPr>
      <w:r>
        <w:rPr>
          <w:b/>
          <w:noProof/>
        </w:rPr>
        <w:drawing>
          <wp:anchor distT="0" distB="0" distL="114300" distR="114300" simplePos="0" relativeHeight="251659264" behindDoc="0" locked="0" layoutInCell="1" allowOverlap="1" wp14:anchorId="153FDA25" wp14:editId="4DA06DC5">
            <wp:simplePos x="0" y="0"/>
            <wp:positionH relativeFrom="margin">
              <wp:posOffset>228600</wp:posOffset>
            </wp:positionH>
            <wp:positionV relativeFrom="margin">
              <wp:posOffset>1485900</wp:posOffset>
            </wp:positionV>
            <wp:extent cx="5372100" cy="3305175"/>
            <wp:effectExtent l="0" t="0" r="1270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94v.jpg"/>
                    <pic:cNvPicPr/>
                  </pic:nvPicPr>
                  <pic:blipFill>
                    <a:blip r:embed="rId8">
                      <a:extLst>
                        <a:ext uri="{28A0092B-C50C-407E-A947-70E740481C1C}">
                          <a14:useLocalDpi xmlns:a14="http://schemas.microsoft.com/office/drawing/2010/main" val="0"/>
                        </a:ext>
                      </a:extLst>
                    </a:blip>
                    <a:stretch>
                      <a:fillRect/>
                    </a:stretch>
                  </pic:blipFill>
                  <pic:spPr>
                    <a:xfrm>
                      <a:off x="0" y="0"/>
                      <a:ext cx="5372100" cy="3305175"/>
                    </a:xfrm>
                    <a:prstGeom prst="rect">
                      <a:avLst/>
                    </a:prstGeom>
                  </pic:spPr>
                </pic:pic>
              </a:graphicData>
            </a:graphic>
            <wp14:sizeRelH relativeFrom="margin">
              <wp14:pctWidth>0</wp14:pctWidth>
            </wp14:sizeRelH>
            <wp14:sizeRelV relativeFrom="margin">
              <wp14:pctHeight>0</wp14:pctHeight>
            </wp14:sizeRelV>
          </wp:anchor>
        </w:drawing>
      </w:r>
      <w:r w:rsidRPr="00881992">
        <w:rPr>
          <w:smallCaps/>
        </w:rPr>
        <w:t xml:space="preserve">Joshua David </w:t>
      </w:r>
      <w:proofErr w:type="spellStart"/>
      <w:r w:rsidRPr="00881992">
        <w:rPr>
          <w:smallCaps/>
        </w:rPr>
        <w:t>Riegel</w:t>
      </w:r>
      <w:proofErr w:type="spellEnd"/>
    </w:p>
    <w:p w14:paraId="5B8379B2" w14:textId="77777777" w:rsidR="0000302B" w:rsidRDefault="0000302B" w:rsidP="009A13A9">
      <w:pPr>
        <w:spacing w:line="480" w:lineRule="auto"/>
      </w:pPr>
      <w:r>
        <w:rPr>
          <w:rStyle w:val="FootnoteReference"/>
        </w:rPr>
        <w:footnoteReference w:id="1"/>
      </w:r>
    </w:p>
    <w:p w14:paraId="5DE08491" w14:textId="77777777" w:rsidR="00EA0019" w:rsidRDefault="00EA0019">
      <w:pPr>
        <w:rPr>
          <w:i/>
        </w:rPr>
      </w:pPr>
      <w:r>
        <w:rPr>
          <w:i/>
        </w:rPr>
        <w:br w:type="page"/>
      </w:r>
    </w:p>
    <w:p w14:paraId="094AA5E4" w14:textId="77777777" w:rsidR="00AD4DBF" w:rsidRDefault="00AD4DBF" w:rsidP="00467FD8">
      <w:pPr>
        <w:ind w:left="720" w:right="720"/>
        <w:jc w:val="center"/>
      </w:pPr>
      <w:r>
        <w:rPr>
          <w:i/>
        </w:rPr>
        <w:lastRenderedPageBreak/>
        <w:t xml:space="preserve">If a house burns down, it’s gone, but the place—the picture of it—stays, and not just in my memory, but out there, in the </w:t>
      </w:r>
      <w:proofErr w:type="gramStart"/>
      <w:r>
        <w:rPr>
          <w:i/>
        </w:rPr>
        <w:t>world.</w:t>
      </w:r>
      <w:proofErr w:type="gramEnd"/>
      <w:r>
        <w:rPr>
          <w:i/>
        </w:rPr>
        <w:t xml:space="preserve"> . . . Someday you be walking down the road and you hear something or see something going </w:t>
      </w:r>
      <w:proofErr w:type="gramStart"/>
      <w:r>
        <w:rPr>
          <w:i/>
        </w:rPr>
        <w:t>on.</w:t>
      </w:r>
      <w:proofErr w:type="gramEnd"/>
      <w:r>
        <w:rPr>
          <w:i/>
        </w:rPr>
        <w:t xml:space="preserve"> . . . It’s when you bump into a </w:t>
      </w:r>
      <w:proofErr w:type="spellStart"/>
      <w:r>
        <w:rPr>
          <w:i/>
        </w:rPr>
        <w:t>rememory</w:t>
      </w:r>
      <w:proofErr w:type="spellEnd"/>
      <w:r>
        <w:rPr>
          <w:i/>
        </w:rPr>
        <w:t xml:space="preserve"> . . </w:t>
      </w:r>
      <w:proofErr w:type="gramStart"/>
      <w:r>
        <w:rPr>
          <w:i/>
        </w:rPr>
        <w:t>. .[</w:t>
      </w:r>
      <w:proofErr w:type="gramEnd"/>
      <w:r>
        <w:rPr>
          <w:i/>
        </w:rPr>
        <w:t>I]f you go there and stand in the place where it was, it will happen again; it will be there for you, waiting for you.</w:t>
      </w:r>
      <w:r w:rsidRPr="00AC4026">
        <w:rPr>
          <w:rStyle w:val="FootnoteReference"/>
        </w:rPr>
        <w:footnoteReference w:id="2"/>
      </w:r>
    </w:p>
    <w:p w14:paraId="0FCACEEF" w14:textId="77777777" w:rsidR="00467FD8" w:rsidRDefault="00467FD8" w:rsidP="00467FD8">
      <w:pPr>
        <w:ind w:left="720" w:right="720"/>
        <w:jc w:val="center"/>
      </w:pPr>
    </w:p>
    <w:p w14:paraId="727155A7" w14:textId="77777777" w:rsidR="00AD4DBF" w:rsidRDefault="00467FD8" w:rsidP="00F63446">
      <w:pPr>
        <w:spacing w:line="480" w:lineRule="auto"/>
        <w:jc w:val="center"/>
        <w:rPr>
          <w:i/>
        </w:rPr>
      </w:pPr>
      <w:r w:rsidRPr="00F7194E">
        <w:rPr>
          <w:i/>
        </w:rPr>
        <w:t>In this sense, not only is the Civil War not over; it can still be lost.</w:t>
      </w:r>
      <w:r w:rsidRPr="00467FD8">
        <w:rPr>
          <w:rStyle w:val="FootnoteReference"/>
        </w:rPr>
        <w:footnoteReference w:id="3"/>
      </w:r>
    </w:p>
    <w:p w14:paraId="00EFD5AB" w14:textId="77777777" w:rsidR="00F03B04" w:rsidRDefault="00F03B04" w:rsidP="00F03B04">
      <w:pPr>
        <w:jc w:val="center"/>
      </w:pPr>
      <w:r>
        <w:rPr>
          <w:i/>
        </w:rPr>
        <w:t xml:space="preserve">There are words like </w:t>
      </w:r>
      <w:r>
        <w:t>Freedom</w:t>
      </w:r>
    </w:p>
    <w:p w14:paraId="0BE4A71D" w14:textId="77777777" w:rsidR="00F03B04" w:rsidRDefault="00F03B04" w:rsidP="00F03B04">
      <w:pPr>
        <w:jc w:val="center"/>
        <w:rPr>
          <w:i/>
        </w:rPr>
      </w:pPr>
      <w:proofErr w:type="gramStart"/>
      <w:r>
        <w:rPr>
          <w:i/>
        </w:rPr>
        <w:t>Sweet and wonderful to say.</w:t>
      </w:r>
      <w:proofErr w:type="gramEnd"/>
    </w:p>
    <w:p w14:paraId="5DEBBA88" w14:textId="77777777" w:rsidR="00F03B04" w:rsidRDefault="00F03B04" w:rsidP="00F03B04">
      <w:pPr>
        <w:jc w:val="center"/>
        <w:rPr>
          <w:i/>
        </w:rPr>
      </w:pPr>
      <w:r>
        <w:rPr>
          <w:i/>
        </w:rPr>
        <w:t>On my heartstrings freedom sings</w:t>
      </w:r>
    </w:p>
    <w:p w14:paraId="375FE530" w14:textId="77777777" w:rsidR="00F03B04" w:rsidRDefault="00F03B04" w:rsidP="00F03B04">
      <w:pPr>
        <w:jc w:val="center"/>
        <w:rPr>
          <w:i/>
        </w:rPr>
      </w:pPr>
      <w:proofErr w:type="gramStart"/>
      <w:r>
        <w:rPr>
          <w:i/>
        </w:rPr>
        <w:t>All day everyday.</w:t>
      </w:r>
      <w:proofErr w:type="gramEnd"/>
    </w:p>
    <w:p w14:paraId="74E82246" w14:textId="77777777" w:rsidR="00F03B04" w:rsidRDefault="00F03B04" w:rsidP="00F03B04">
      <w:pPr>
        <w:jc w:val="center"/>
        <w:rPr>
          <w:i/>
        </w:rPr>
      </w:pPr>
    </w:p>
    <w:p w14:paraId="0877CE58" w14:textId="77777777" w:rsidR="00F03B04" w:rsidRDefault="00F03B04" w:rsidP="00F03B04">
      <w:pPr>
        <w:jc w:val="center"/>
      </w:pPr>
      <w:r>
        <w:rPr>
          <w:i/>
        </w:rPr>
        <w:t xml:space="preserve">There are words like </w:t>
      </w:r>
      <w:r>
        <w:t>liberty</w:t>
      </w:r>
    </w:p>
    <w:p w14:paraId="7733C3A2" w14:textId="77777777" w:rsidR="00F03B04" w:rsidRDefault="00F03B04" w:rsidP="00F03B04">
      <w:pPr>
        <w:jc w:val="center"/>
        <w:rPr>
          <w:i/>
        </w:rPr>
      </w:pPr>
      <w:proofErr w:type="gramStart"/>
      <w:r>
        <w:rPr>
          <w:i/>
        </w:rPr>
        <w:t>That almost make</w:t>
      </w:r>
      <w:proofErr w:type="gramEnd"/>
      <w:r>
        <w:rPr>
          <w:i/>
        </w:rPr>
        <w:t xml:space="preserve"> me cry.</w:t>
      </w:r>
    </w:p>
    <w:p w14:paraId="17E50A80" w14:textId="77777777" w:rsidR="00F03B04" w:rsidRDefault="00F03B04" w:rsidP="00F03B04">
      <w:pPr>
        <w:jc w:val="center"/>
        <w:rPr>
          <w:i/>
        </w:rPr>
      </w:pPr>
      <w:r>
        <w:rPr>
          <w:i/>
        </w:rPr>
        <w:t>If you had known what I know</w:t>
      </w:r>
    </w:p>
    <w:p w14:paraId="48D092A9" w14:textId="77777777" w:rsidR="00F03B04" w:rsidRPr="00F03B04" w:rsidRDefault="00F03B04" w:rsidP="00F03B04">
      <w:pPr>
        <w:jc w:val="center"/>
      </w:pPr>
      <w:r>
        <w:rPr>
          <w:i/>
        </w:rPr>
        <w:t>You would know why.</w:t>
      </w:r>
      <w:r w:rsidRPr="00F03B04">
        <w:rPr>
          <w:rStyle w:val="FootnoteReference"/>
        </w:rPr>
        <w:footnoteReference w:id="4"/>
      </w:r>
    </w:p>
    <w:p w14:paraId="04974626" w14:textId="77777777" w:rsidR="00561396" w:rsidRPr="002F741E" w:rsidRDefault="00D64F4A" w:rsidP="00F636E5">
      <w:pPr>
        <w:pStyle w:val="ListParagraph"/>
        <w:numPr>
          <w:ilvl w:val="0"/>
          <w:numId w:val="10"/>
        </w:numPr>
        <w:spacing w:line="480" w:lineRule="auto"/>
      </w:pPr>
      <w:r>
        <w:t>INTRODUCTION</w:t>
      </w:r>
    </w:p>
    <w:p w14:paraId="3A6AD0BC" w14:textId="069B3C0E" w:rsidR="001E3871" w:rsidRPr="00CD3B03" w:rsidRDefault="00D64F4A" w:rsidP="002F741E">
      <w:pPr>
        <w:spacing w:line="480" w:lineRule="auto"/>
        <w:ind w:firstLine="720"/>
        <w:rPr>
          <w:b/>
        </w:rPr>
      </w:pPr>
      <w:r>
        <w:t>This essay envisions an affirmative, constitutional right to an adequate education</w:t>
      </w:r>
      <w:r w:rsidR="001E3871">
        <w:t xml:space="preserve"> flowing from the Privileges and Immunities Clause of the Fourteenth Amendment</w:t>
      </w:r>
      <w:r>
        <w:t>.</w:t>
      </w:r>
      <w:r w:rsidR="001E3871">
        <w:t xml:space="preserve"> </w:t>
      </w:r>
      <w:r w:rsidR="001E3871">
        <w:rPr>
          <w:b/>
        </w:rPr>
        <w:t>[</w:t>
      </w:r>
      <w:r w:rsidR="00E443C4">
        <w:rPr>
          <w:b/>
        </w:rPr>
        <w:t>I</w:t>
      </w:r>
      <w:r w:rsidR="001E3871">
        <w:rPr>
          <w:b/>
        </w:rPr>
        <w:t>s education the right or is education a prophylactic remedy to ensure t</w:t>
      </w:r>
      <w:r w:rsidR="00E443C4">
        <w:rPr>
          <w:b/>
        </w:rPr>
        <w:t>he</w:t>
      </w:r>
      <w:r w:rsidR="001E3871">
        <w:rPr>
          <w:b/>
        </w:rPr>
        <w:t xml:space="preserve"> right?] </w:t>
      </w:r>
      <w:r w:rsidR="001E3871">
        <w:t xml:space="preserve">Commentators often turn to the Due Process Clause to </w:t>
      </w:r>
      <w:r w:rsidR="002705A6">
        <w:t>locate</w:t>
      </w:r>
      <w:r w:rsidR="001E3871">
        <w:t xml:space="preserve"> such a </w:t>
      </w:r>
      <w:r w:rsidR="00E443C4">
        <w:t>right</w:t>
      </w:r>
      <w:r w:rsidR="001E3871">
        <w:t xml:space="preserve">, but </w:t>
      </w:r>
      <w:r w:rsidR="00E251F3">
        <w:t>substantive due process jurisprudence</w:t>
      </w:r>
      <w:r w:rsidR="00365FE1">
        <w:t xml:space="preserve"> is</w:t>
      </w:r>
      <w:r w:rsidR="00E251F3">
        <w:t xml:space="preserve"> notoriously shallow water</w:t>
      </w:r>
      <w:r w:rsidR="005050F6">
        <w:t>.</w:t>
      </w:r>
      <w:r w:rsidR="005050F6">
        <w:rPr>
          <w:rStyle w:val="FootnoteReference"/>
        </w:rPr>
        <w:footnoteReference w:id="5"/>
      </w:r>
      <w:r>
        <w:t xml:space="preserve"> </w:t>
      </w:r>
      <w:r w:rsidR="00C15A07">
        <w:t xml:space="preserve">I </w:t>
      </w:r>
      <w:r w:rsidR="007E2CAE">
        <w:t>also</w:t>
      </w:r>
      <w:r w:rsidR="002705A6">
        <w:t>?</w:t>
      </w:r>
      <w:r w:rsidR="007E2CAE">
        <w:t xml:space="preserve"> </w:t>
      </w:r>
      <w:proofErr w:type="gramStart"/>
      <w:r w:rsidR="007E2CAE">
        <w:t>suggest</w:t>
      </w:r>
      <w:proofErr w:type="gramEnd"/>
      <w:r w:rsidR="007E2CAE">
        <w:t xml:space="preserve"> a bottom-up theory </w:t>
      </w:r>
      <w:r w:rsidR="0001367A">
        <w:t xml:space="preserve">for arriving at such a right that focuses on the demand-side of </w:t>
      </w:r>
      <w:r w:rsidR="004C4152">
        <w:t>constitutional theory</w:t>
      </w:r>
      <w:r w:rsidR="009C6B38">
        <w:t xml:space="preserve"> to </w:t>
      </w:r>
      <w:r w:rsidR="002705A6">
        <w:t xml:space="preserve">rescue? </w:t>
      </w:r>
      <w:proofErr w:type="gramStart"/>
      <w:r w:rsidR="002705A6">
        <w:t>recover</w:t>
      </w:r>
      <w:proofErr w:type="gramEnd"/>
      <w:r w:rsidR="002705A6">
        <w:t>?</w:t>
      </w:r>
      <w:r w:rsidR="009C6B38">
        <w:t xml:space="preserve"> </w:t>
      </w:r>
      <w:proofErr w:type="gramStart"/>
      <w:r w:rsidR="0009156A">
        <w:t>the</w:t>
      </w:r>
      <w:proofErr w:type="gramEnd"/>
      <w:r w:rsidR="0009156A">
        <w:t xml:space="preserve"> hopes and dreams of </w:t>
      </w:r>
      <w:r w:rsidR="00557A13">
        <w:t xml:space="preserve">the </w:t>
      </w:r>
      <w:proofErr w:type="spellStart"/>
      <w:r w:rsidR="00557A13">
        <w:t>Freepeople</w:t>
      </w:r>
      <w:proofErr w:type="spellEnd"/>
      <w:r w:rsidR="00557A13">
        <w:rPr>
          <w:rStyle w:val="FootnoteReference"/>
        </w:rPr>
        <w:footnoteReference w:id="6"/>
      </w:r>
      <w:r w:rsidR="0009156A">
        <w:t xml:space="preserve"> </w:t>
      </w:r>
      <w:r w:rsidR="009C6B38">
        <w:t>f</w:t>
      </w:r>
      <w:r w:rsidR="002705A6">
        <w:t>ro</w:t>
      </w:r>
      <w:r w:rsidR="009C6B38">
        <w:t xml:space="preserve">m the </w:t>
      </w:r>
      <w:r w:rsidR="00A17721">
        <w:t xml:space="preserve">jurisprudential </w:t>
      </w:r>
      <w:r w:rsidR="0009156A">
        <w:t>backwaters of constitutional reconstruction</w:t>
      </w:r>
      <w:r w:rsidR="004C4152">
        <w:t>.</w:t>
      </w:r>
      <w:r w:rsidR="00CD3B03">
        <w:t xml:space="preserve"> </w:t>
      </w:r>
      <w:proofErr w:type="gramStart"/>
      <w:r w:rsidR="00CD3B03">
        <w:rPr>
          <w:b/>
        </w:rPr>
        <w:t>[.</w:t>
      </w:r>
      <w:proofErr w:type="gramEnd"/>
      <w:r w:rsidR="00CD3B03">
        <w:rPr>
          <w:b/>
        </w:rPr>
        <w:t xml:space="preserve"> . .]</w:t>
      </w:r>
    </w:p>
    <w:p w14:paraId="2ED6873A" w14:textId="77777777" w:rsidR="002E7B55" w:rsidRDefault="002E7B55" w:rsidP="002E7B55">
      <w:pPr>
        <w:spacing w:line="480" w:lineRule="auto"/>
        <w:jc w:val="center"/>
      </w:pPr>
      <w:r w:rsidRPr="002F741E">
        <w:rPr>
          <w:noProof/>
        </w:rPr>
        <w:lastRenderedPageBreak/>
        <w:drawing>
          <wp:inline distT="0" distB="0" distL="0" distR="0" wp14:anchorId="1E9FFE7A" wp14:editId="7AF254F9">
            <wp:extent cx="3336242" cy="535451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ac and Rosa.jpg"/>
                    <pic:cNvPicPr/>
                  </pic:nvPicPr>
                  <pic:blipFill>
                    <a:blip r:embed="rId9">
                      <a:extLst>
                        <a:ext uri="{28A0092B-C50C-407E-A947-70E740481C1C}">
                          <a14:useLocalDpi xmlns:a14="http://schemas.microsoft.com/office/drawing/2010/main" val="0"/>
                        </a:ext>
                      </a:extLst>
                    </a:blip>
                    <a:stretch>
                      <a:fillRect/>
                    </a:stretch>
                  </pic:blipFill>
                  <pic:spPr>
                    <a:xfrm>
                      <a:off x="0" y="0"/>
                      <a:ext cx="3337150" cy="5355973"/>
                    </a:xfrm>
                    <a:prstGeom prst="rect">
                      <a:avLst/>
                    </a:prstGeom>
                  </pic:spPr>
                </pic:pic>
              </a:graphicData>
            </a:graphic>
          </wp:inline>
        </w:drawing>
      </w:r>
      <w:r>
        <w:t xml:space="preserve"> </w:t>
      </w:r>
      <w:r w:rsidRPr="002F741E">
        <w:rPr>
          <w:rStyle w:val="FootnoteReference"/>
        </w:rPr>
        <w:footnoteReference w:id="7"/>
      </w:r>
    </w:p>
    <w:p w14:paraId="770E881F" w14:textId="77777777" w:rsidR="002E7B55" w:rsidRDefault="002E7B55" w:rsidP="002E7B55">
      <w:pPr>
        <w:pStyle w:val="ListParagraph"/>
        <w:numPr>
          <w:ilvl w:val="0"/>
          <w:numId w:val="10"/>
        </w:numPr>
        <w:spacing w:line="480" w:lineRule="auto"/>
      </w:pPr>
      <w:r>
        <w:t>LITERACY AND FREEDOM</w:t>
      </w:r>
      <w:r w:rsidR="008D7827">
        <w:rPr>
          <w:rStyle w:val="FootnoteReference"/>
        </w:rPr>
        <w:footnoteReference w:id="8"/>
      </w:r>
    </w:p>
    <w:p w14:paraId="0388F51E" w14:textId="77777777" w:rsidR="00BE4EC6" w:rsidRPr="002F741E" w:rsidRDefault="00BE4EC6" w:rsidP="002F741E">
      <w:pPr>
        <w:spacing w:line="480" w:lineRule="auto"/>
        <w:ind w:firstLine="720"/>
      </w:pPr>
      <w:r w:rsidRPr="002F741E">
        <w:lastRenderedPageBreak/>
        <w:t xml:space="preserve">Isaac and Rosa were born into slavery not long before they </w:t>
      </w:r>
      <w:r w:rsidR="00365718" w:rsidRPr="002F741E">
        <w:t>found themselves in a photo</w:t>
      </w:r>
      <w:r w:rsidR="00521991" w:rsidRPr="002F741E">
        <w:t>grapher’s</w:t>
      </w:r>
      <w:r w:rsidR="00365718" w:rsidRPr="002F741E">
        <w:t xml:space="preserve"> studio in New York City</w:t>
      </w:r>
      <w:r w:rsidR="00175A27" w:rsidRPr="002F741E">
        <w:t xml:space="preserve"> in 1863</w:t>
      </w:r>
      <w:r w:rsidRPr="002F741E">
        <w:t xml:space="preserve">. The opposite side of the </w:t>
      </w:r>
      <w:commentRangeStart w:id="0"/>
      <w:r w:rsidRPr="002F741E">
        <w:rPr>
          <w:bCs/>
          <w:i/>
        </w:rPr>
        <w:t xml:space="preserve">carte de </w:t>
      </w:r>
      <w:proofErr w:type="spellStart"/>
      <w:r w:rsidRPr="002F741E">
        <w:rPr>
          <w:bCs/>
          <w:i/>
        </w:rPr>
        <w:t>visite</w:t>
      </w:r>
      <w:proofErr w:type="spellEnd"/>
      <w:r w:rsidRPr="002F741E">
        <w:t xml:space="preserve"> </w:t>
      </w:r>
      <w:commentRangeEnd w:id="0"/>
      <w:r w:rsidR="004038FD">
        <w:rPr>
          <w:rStyle w:val="CommentReference"/>
        </w:rPr>
        <w:commentReference w:id="0"/>
      </w:r>
      <w:r w:rsidRPr="002F741E">
        <w:t xml:space="preserve">reads: “The </w:t>
      </w:r>
      <w:proofErr w:type="spellStart"/>
      <w:r w:rsidRPr="002F741E">
        <w:t>nett</w:t>
      </w:r>
      <w:proofErr w:type="spellEnd"/>
      <w:r w:rsidRPr="002F741E">
        <w:t xml:space="preserve"> [sic] proceeds from the sale of these photographs will be devoted exclusively to the education of colored people in the Department of the Gulf, now under the command of Major-General-Banks.”</w:t>
      </w:r>
      <w:r w:rsidR="006A61FB">
        <w:rPr>
          <w:rStyle w:val="FootnoteReference"/>
        </w:rPr>
        <w:footnoteReference w:id="9"/>
      </w:r>
      <w:r w:rsidRPr="002F741E">
        <w:t xml:space="preserve"> </w:t>
      </w:r>
      <w:r w:rsidR="00175A27" w:rsidRPr="002F741E">
        <w:t>By 1863, the Union army occupied southern Louisiana</w:t>
      </w:r>
      <w:r w:rsidR="0082744C" w:rsidRPr="002F741E">
        <w:t>,</w:t>
      </w:r>
      <w:bookmarkStart w:id="1" w:name="_Ref290802137"/>
      <w:r w:rsidR="0082744C" w:rsidRPr="002F741E">
        <w:rPr>
          <w:rStyle w:val="FootnoteReference"/>
        </w:rPr>
        <w:footnoteReference w:id="10"/>
      </w:r>
      <w:bookmarkEnd w:id="1"/>
      <w:r w:rsidR="001B0E21" w:rsidRPr="002F741E">
        <w:t xml:space="preserve"> </w:t>
      </w:r>
      <w:r w:rsidR="0082744C" w:rsidRPr="002F741E">
        <w:t>and in 1864 Major Genera N. P. Banks</w:t>
      </w:r>
      <w:r w:rsidR="000C6A4A" w:rsidRPr="002F741E">
        <w:t xml:space="preserve"> </w:t>
      </w:r>
      <w:r w:rsidR="0082744C" w:rsidRPr="002F741E">
        <w:t>issued an order</w:t>
      </w:r>
      <w:r w:rsidR="001B0E21" w:rsidRPr="002F741E">
        <w:t xml:space="preserve"> establishing a system of schools for free and freed children</w:t>
      </w:r>
      <w:r w:rsidR="00B450DB" w:rsidRPr="002F741E">
        <w:t xml:space="preserve"> of Louisiana, Mississippi, Alabama, and Texas</w:t>
      </w:r>
      <w:r w:rsidR="001B0E21" w:rsidRPr="002F741E">
        <w:t>.</w:t>
      </w:r>
      <w:r w:rsidR="001B0E21" w:rsidRPr="002F741E">
        <w:rPr>
          <w:rStyle w:val="FootnoteReference"/>
        </w:rPr>
        <w:footnoteReference w:id="11"/>
      </w:r>
      <w:r w:rsidR="001D1066">
        <w:t xml:space="preserve"> [</w:t>
      </w:r>
      <w:proofErr w:type="gramStart"/>
      <w:r w:rsidR="001D1066">
        <w:t>expand</w:t>
      </w:r>
      <w:proofErr w:type="gramEnd"/>
      <w:r w:rsidR="001D1066">
        <w:t xml:space="preserve"> and move note text?]</w:t>
      </w:r>
    </w:p>
    <w:p w14:paraId="38302A15" w14:textId="77777777" w:rsidR="00A52601" w:rsidRPr="002F741E" w:rsidRDefault="00B74102" w:rsidP="002F741E">
      <w:pPr>
        <w:spacing w:line="480" w:lineRule="auto"/>
        <w:ind w:firstLine="720"/>
        <w:rPr>
          <w:bCs/>
        </w:rPr>
      </w:pPr>
      <w:r w:rsidRPr="002F741E">
        <w:t>Despite their tender years, the</w:t>
      </w:r>
      <w:r w:rsidR="00734929">
        <w:t>se</w:t>
      </w:r>
      <w:r w:rsidRPr="002F741E">
        <w:t xml:space="preserve"> </w:t>
      </w:r>
      <w:r w:rsidR="00401C90" w:rsidRPr="002F741E">
        <w:t xml:space="preserve">children </w:t>
      </w:r>
      <w:r w:rsidRPr="002F741E">
        <w:t xml:space="preserve">of freedom </w:t>
      </w:r>
      <w:r w:rsidR="00401C90" w:rsidRPr="002F741E">
        <w:t>are poised</w:t>
      </w:r>
      <w:r w:rsidRPr="002F741E">
        <w:t xml:space="preserve"> for the future,</w:t>
      </w:r>
      <w:r w:rsidR="00401C90" w:rsidRPr="002F741E">
        <w:t xml:space="preserve"> </w:t>
      </w:r>
      <w:r w:rsidRPr="002F741E">
        <w:t>having cast off any mark of</w:t>
      </w:r>
      <w:r w:rsidR="007F33A9" w:rsidRPr="002F741E">
        <w:t xml:space="preserve"> beginning</w:t>
      </w:r>
      <w:r w:rsidR="00C7503C" w:rsidRPr="002F741E">
        <w:t xml:space="preserve"> life</w:t>
      </w:r>
      <w:r w:rsidR="007F33A9" w:rsidRPr="002F741E">
        <w:t xml:space="preserve"> as constitutional property.</w:t>
      </w:r>
      <w:bookmarkStart w:id="2" w:name="_Ref291257911"/>
      <w:r w:rsidR="00517D87">
        <w:rPr>
          <w:rStyle w:val="FootnoteReference"/>
        </w:rPr>
        <w:footnoteReference w:id="12"/>
      </w:r>
      <w:bookmarkEnd w:id="2"/>
      <w:r w:rsidR="007F33A9" w:rsidRPr="002F741E">
        <w:t xml:space="preserve"> Undoubtedly, the </w:t>
      </w:r>
      <w:proofErr w:type="gramStart"/>
      <w:r w:rsidR="007F33A9" w:rsidRPr="002F741E">
        <w:rPr>
          <w:bCs/>
          <w:i/>
        </w:rPr>
        <w:t>carte</w:t>
      </w:r>
      <w:proofErr w:type="gramEnd"/>
      <w:r w:rsidR="007F33A9" w:rsidRPr="002F741E">
        <w:rPr>
          <w:bCs/>
          <w:i/>
        </w:rPr>
        <w:t xml:space="preserve"> de </w:t>
      </w:r>
      <w:proofErr w:type="spellStart"/>
      <w:r w:rsidR="007F33A9" w:rsidRPr="002F741E">
        <w:rPr>
          <w:bCs/>
          <w:i/>
        </w:rPr>
        <w:t>visite</w:t>
      </w:r>
      <w:proofErr w:type="spellEnd"/>
      <w:r w:rsidR="007F33A9" w:rsidRPr="002F741E">
        <w:rPr>
          <w:bCs/>
        </w:rPr>
        <w:t xml:space="preserve"> was </w:t>
      </w:r>
      <w:r w:rsidR="007F33A9" w:rsidRPr="002F741E">
        <w:rPr>
          <w:bCs/>
        </w:rPr>
        <w:lastRenderedPageBreak/>
        <w:t xml:space="preserve">meant as entreaty to a host of audiences, </w:t>
      </w:r>
      <w:r w:rsidR="00EF6DD6">
        <w:rPr>
          <w:bCs/>
        </w:rPr>
        <w:t>in particular</w:t>
      </w:r>
      <w:r w:rsidR="007F33A9" w:rsidRPr="002F741E">
        <w:rPr>
          <w:bCs/>
        </w:rPr>
        <w:t xml:space="preserve"> sympathetic Northerners, but </w:t>
      </w:r>
      <w:r w:rsidR="00C7503C" w:rsidRPr="002F741E">
        <w:rPr>
          <w:bCs/>
        </w:rPr>
        <w:t>th</w:t>
      </w:r>
      <w:r w:rsidR="0060190F" w:rsidRPr="002F741E">
        <w:rPr>
          <w:bCs/>
        </w:rPr>
        <w:t xml:space="preserve">is </w:t>
      </w:r>
      <w:r w:rsidR="00826191">
        <w:rPr>
          <w:bCs/>
        </w:rPr>
        <w:t>Part</w:t>
      </w:r>
      <w:r w:rsidR="00C7503C" w:rsidRPr="002F741E">
        <w:rPr>
          <w:bCs/>
        </w:rPr>
        <w:t xml:space="preserve"> takes </w:t>
      </w:r>
      <w:r w:rsidR="00826191">
        <w:rPr>
          <w:bCs/>
        </w:rPr>
        <w:t xml:space="preserve">as its subject </w:t>
      </w:r>
      <w:r w:rsidR="009E7C02" w:rsidRPr="002F741E">
        <w:rPr>
          <w:bCs/>
        </w:rPr>
        <w:t xml:space="preserve">how the </w:t>
      </w:r>
      <w:proofErr w:type="spellStart"/>
      <w:r w:rsidR="00826191">
        <w:rPr>
          <w:bCs/>
        </w:rPr>
        <w:t>Free</w:t>
      </w:r>
      <w:r w:rsidR="00B954A7" w:rsidRPr="002F741E">
        <w:rPr>
          <w:bCs/>
        </w:rPr>
        <w:t>people</w:t>
      </w:r>
      <w:proofErr w:type="spellEnd"/>
      <w:r w:rsidR="009E7C02" w:rsidRPr="002F741E">
        <w:rPr>
          <w:bCs/>
        </w:rPr>
        <w:t xml:space="preserve"> envisioned and experienced freedom through the </w:t>
      </w:r>
      <w:r w:rsidR="0060190F" w:rsidRPr="002F741E">
        <w:rPr>
          <w:bCs/>
        </w:rPr>
        <w:t>process</w:t>
      </w:r>
      <w:r w:rsidR="009E7C02" w:rsidRPr="002F741E">
        <w:rPr>
          <w:bCs/>
        </w:rPr>
        <w:t xml:space="preserve"> of becoming learned</w:t>
      </w:r>
      <w:r w:rsidR="00D81A96" w:rsidRPr="002F741E">
        <w:rPr>
          <w:bCs/>
        </w:rPr>
        <w:t xml:space="preserve"> and </w:t>
      </w:r>
      <w:r w:rsidR="00826191">
        <w:rPr>
          <w:bCs/>
        </w:rPr>
        <w:t xml:space="preserve">in turn </w:t>
      </w:r>
      <w:r w:rsidR="00D81A96" w:rsidRPr="002F741E">
        <w:rPr>
          <w:bCs/>
        </w:rPr>
        <w:t>advocating for universal education</w:t>
      </w:r>
      <w:r w:rsidR="009E7C02" w:rsidRPr="002F741E">
        <w:rPr>
          <w:bCs/>
        </w:rPr>
        <w:t xml:space="preserve">. </w:t>
      </w:r>
      <w:r w:rsidR="009E7C02" w:rsidRPr="002F741E">
        <w:t>The photographic image, in particular, and its commercialization in the mid-twentieth century played a ce</w:t>
      </w:r>
      <w:r w:rsidR="0076341B" w:rsidRPr="002F741E">
        <w:t xml:space="preserve">ntral role, much like education, </w:t>
      </w:r>
      <w:r w:rsidR="009E7C02" w:rsidRPr="002F741E">
        <w:t xml:space="preserve">in allowing the free and freed to imagine what the future would hold. Of the photographic image, </w:t>
      </w:r>
      <w:r w:rsidR="00B3387F" w:rsidRPr="002F741E">
        <w:t>Frederick Douglass</w:t>
      </w:r>
      <w:r w:rsidR="009E7C02" w:rsidRPr="002F741E">
        <w:t xml:space="preserve"> </w:t>
      </w:r>
      <w:r w:rsidR="00F14CD3">
        <w:t xml:space="preserve">once </w:t>
      </w:r>
      <w:r w:rsidR="009E7C02" w:rsidRPr="002F741E">
        <w:t>wrote, “</w:t>
      </w:r>
      <w:r w:rsidR="007916CA">
        <w:t>[</w:t>
      </w:r>
      <w:proofErr w:type="gramStart"/>
      <w:r w:rsidR="007916CA">
        <w:t>t]</w:t>
      </w:r>
      <w:r w:rsidR="009E7C02" w:rsidRPr="002F741E">
        <w:t>he</w:t>
      </w:r>
      <w:proofErr w:type="gramEnd"/>
      <w:r w:rsidR="009E7C02" w:rsidRPr="002F741E">
        <w:t xml:space="preserve"> servant girl can now see a likeness of herself.”</w:t>
      </w:r>
      <w:r w:rsidR="009E7C02" w:rsidRPr="002F741E">
        <w:rPr>
          <w:rStyle w:val="FootnoteReference"/>
        </w:rPr>
        <w:footnoteReference w:id="13"/>
      </w:r>
      <w:r w:rsidR="009E7C02" w:rsidRPr="002F741E">
        <w:t xml:space="preserve"> He continued, “</w:t>
      </w:r>
      <w:r w:rsidR="007916CA">
        <w:t>[</w:t>
      </w:r>
      <w:proofErr w:type="gramStart"/>
      <w:r w:rsidR="007916CA">
        <w:t>f]</w:t>
      </w:r>
      <w:proofErr w:type="spellStart"/>
      <w:r w:rsidR="009E7C02" w:rsidRPr="002F741E">
        <w:t>ormerly</w:t>
      </w:r>
      <w:proofErr w:type="spellEnd"/>
      <w:proofErr w:type="gramEnd"/>
      <w:r w:rsidR="009E7C02" w:rsidRPr="002F741E">
        <w:t>, the luxury of a likeness was the exclusive privilege of the rich and great. But now, like education and a thousand other blessings brought to us by the advancing march of civilization, such pictures, are placed within easy reach of the humblest members of society.”</w:t>
      </w:r>
      <w:r w:rsidR="009E7C02" w:rsidRPr="002F741E">
        <w:rPr>
          <w:rStyle w:val="FootnoteReference"/>
        </w:rPr>
        <w:footnoteReference w:id="14"/>
      </w:r>
      <w:r w:rsidR="009E7C02" w:rsidRPr="002F741E">
        <w:t xml:space="preserve"> </w:t>
      </w:r>
    </w:p>
    <w:p w14:paraId="2ACB4B96" w14:textId="77777777" w:rsidR="00A52601" w:rsidRPr="002F741E" w:rsidRDefault="005531B2" w:rsidP="002F741E">
      <w:pPr>
        <w:pStyle w:val="FootnoteText"/>
        <w:spacing w:line="480" w:lineRule="auto"/>
        <w:ind w:firstLine="720"/>
      </w:pPr>
      <w:r w:rsidRPr="002F741E">
        <w:rPr>
          <w:bCs/>
        </w:rPr>
        <w:t>Though complex and freighted with many</w:t>
      </w:r>
      <w:r w:rsidR="00AD4171" w:rsidRPr="002F741E">
        <w:rPr>
          <w:bCs/>
        </w:rPr>
        <w:t xml:space="preserve"> at times conflicting meaning</w:t>
      </w:r>
      <w:r w:rsidR="00E443C4">
        <w:rPr>
          <w:bCs/>
        </w:rPr>
        <w:t>s</w:t>
      </w:r>
      <w:r w:rsidRPr="002F741E">
        <w:rPr>
          <w:bCs/>
        </w:rPr>
        <w:t>,</w:t>
      </w:r>
      <w:r w:rsidR="00AD4171" w:rsidRPr="002F741E">
        <w:rPr>
          <w:rStyle w:val="FootnoteReference"/>
          <w:bCs/>
        </w:rPr>
        <w:footnoteReference w:id="15"/>
      </w:r>
      <w:r w:rsidRPr="002F741E">
        <w:rPr>
          <w:bCs/>
        </w:rPr>
        <w:t xml:space="preserve"> this </w:t>
      </w:r>
      <w:r w:rsidR="00991727">
        <w:rPr>
          <w:bCs/>
        </w:rPr>
        <w:t>P</w:t>
      </w:r>
      <w:r w:rsidR="00B3387F" w:rsidRPr="002F741E">
        <w:rPr>
          <w:bCs/>
        </w:rPr>
        <w:t>art</w:t>
      </w:r>
      <w:r w:rsidRPr="002F741E">
        <w:rPr>
          <w:bCs/>
        </w:rPr>
        <w:t xml:space="preserve"> will</w:t>
      </w:r>
      <w:r w:rsidR="001D5046">
        <w:rPr>
          <w:bCs/>
        </w:rPr>
        <w:t xml:space="preserve"> further</w:t>
      </w:r>
      <w:r w:rsidR="00E64B0E">
        <w:rPr>
          <w:bCs/>
        </w:rPr>
        <w:t>?</w:t>
      </w:r>
      <w:r w:rsidRPr="002F741E">
        <w:rPr>
          <w:bCs/>
        </w:rPr>
        <w:t xml:space="preserve"> address how literacy and education were foundational to the constitutional personhood</w:t>
      </w:r>
      <w:r w:rsidR="008218D6">
        <w:rPr>
          <w:rStyle w:val="FootnoteReference"/>
          <w:bCs/>
        </w:rPr>
        <w:footnoteReference w:id="16"/>
      </w:r>
      <w:r w:rsidRPr="002F741E">
        <w:rPr>
          <w:bCs/>
        </w:rPr>
        <w:t xml:space="preserve"> </w:t>
      </w:r>
      <w:r w:rsidRPr="002F741E">
        <w:rPr>
          <w:bCs/>
        </w:rPr>
        <w:lastRenderedPageBreak/>
        <w:t xml:space="preserve">of the </w:t>
      </w:r>
      <w:proofErr w:type="spellStart"/>
      <w:r w:rsidR="00F86338">
        <w:rPr>
          <w:bCs/>
        </w:rPr>
        <w:t>Free</w:t>
      </w:r>
      <w:r w:rsidR="00B954A7" w:rsidRPr="002F741E">
        <w:rPr>
          <w:bCs/>
        </w:rPr>
        <w:t>people</w:t>
      </w:r>
      <w:proofErr w:type="spellEnd"/>
      <w:r w:rsidRPr="002F741E">
        <w:rPr>
          <w:bCs/>
        </w:rPr>
        <w:t xml:space="preserve"> and inextricably married to their understanding of </w:t>
      </w:r>
      <w:r w:rsidR="00712EBE">
        <w:rPr>
          <w:bCs/>
        </w:rPr>
        <w:t>n</w:t>
      </w:r>
      <w:r w:rsidRPr="002F741E">
        <w:rPr>
          <w:bCs/>
        </w:rPr>
        <w:t xml:space="preserve">ational citizenship. Much has been said about Reconstruction, but </w:t>
      </w:r>
      <w:r w:rsidR="00CD40BE">
        <w:rPr>
          <w:bCs/>
        </w:rPr>
        <w:t>this essay</w:t>
      </w:r>
      <w:r w:rsidR="00E541BC" w:rsidRPr="002F741E">
        <w:rPr>
          <w:bCs/>
        </w:rPr>
        <w:t xml:space="preserve"> is an </w:t>
      </w:r>
      <w:r w:rsidR="00C7503C" w:rsidRPr="002F741E">
        <w:rPr>
          <w:bCs/>
        </w:rPr>
        <w:t>“an effort to avert the critical gaze from the racial subject to the racial object; from the described and imagined to the describers and the imaginers; from being served to the served.”</w:t>
      </w:r>
      <w:r w:rsidR="00E541BC" w:rsidRPr="002F741E">
        <w:rPr>
          <w:rStyle w:val="FootnoteReference"/>
          <w:bCs/>
        </w:rPr>
        <w:footnoteReference w:id="17"/>
      </w:r>
      <w:r w:rsidR="007F33A9" w:rsidRPr="002F741E">
        <w:rPr>
          <w:smallCaps/>
        </w:rPr>
        <w:t xml:space="preserve"> </w:t>
      </w:r>
      <w:r w:rsidR="00E541BC" w:rsidRPr="002F741E">
        <w:t xml:space="preserve">Put differently, this essay seeks to recover the political imagination of the </w:t>
      </w:r>
      <w:proofErr w:type="spellStart"/>
      <w:r w:rsidR="00B3387F" w:rsidRPr="002F741E">
        <w:t>Free</w:t>
      </w:r>
      <w:r w:rsidR="00B954A7" w:rsidRPr="002F741E">
        <w:t>people</w:t>
      </w:r>
      <w:proofErr w:type="spellEnd"/>
      <w:r w:rsidR="00E541BC" w:rsidRPr="002F741E">
        <w:t xml:space="preserve"> and their</w:t>
      </w:r>
      <w:r w:rsidR="00796780">
        <w:t>, habits of mind,</w:t>
      </w:r>
      <w:r w:rsidR="00E541BC" w:rsidRPr="002F741E">
        <w:t xml:space="preserve"> deep pride</w:t>
      </w:r>
      <w:r w:rsidR="00796780">
        <w:t>,</w:t>
      </w:r>
      <w:r w:rsidR="00E541BC" w:rsidRPr="002F741E">
        <w:t xml:space="preserve"> and </w:t>
      </w:r>
      <w:r w:rsidR="00337F52">
        <w:t xml:space="preserve">critical </w:t>
      </w:r>
      <w:r w:rsidR="00E541BC" w:rsidRPr="002F741E">
        <w:t>patriotism</w:t>
      </w:r>
      <w:bookmarkStart w:id="3" w:name="_Ref291436620"/>
      <w:r w:rsidR="00337F52">
        <w:rPr>
          <w:rStyle w:val="FootnoteReference"/>
        </w:rPr>
        <w:footnoteReference w:id="18"/>
      </w:r>
      <w:bookmarkEnd w:id="3"/>
      <w:r w:rsidR="00E541BC" w:rsidRPr="002F741E">
        <w:t xml:space="preserve"> as </w:t>
      </w:r>
      <w:r w:rsidR="00FF1BF5">
        <w:t>n</w:t>
      </w:r>
      <w:r w:rsidR="00E541BC" w:rsidRPr="002F741E">
        <w:t>ational citizens</w:t>
      </w:r>
      <w:r w:rsidR="00976DFA" w:rsidRPr="002F741E">
        <w:t>,</w:t>
      </w:r>
      <w:r w:rsidR="00E541BC" w:rsidRPr="002F741E">
        <w:t xml:space="preserve"> not to displace</w:t>
      </w:r>
      <w:r w:rsidR="009B20F9" w:rsidRPr="002F741E">
        <w:t xml:space="preserve"> but to compliment</w:t>
      </w:r>
      <w:r w:rsidR="00E541BC" w:rsidRPr="002F741E">
        <w:t xml:space="preserve"> scholarship </w:t>
      </w:r>
      <w:r w:rsidR="007916CA">
        <w:t xml:space="preserve">on </w:t>
      </w:r>
      <w:r w:rsidR="00E541BC" w:rsidRPr="002F741E">
        <w:t xml:space="preserve">the original public understanding of the </w:t>
      </w:r>
      <w:r w:rsidR="009B20F9" w:rsidRPr="002F741E">
        <w:t xml:space="preserve">Reconstruction Amendments. </w:t>
      </w:r>
    </w:p>
    <w:p w14:paraId="541F78CE" w14:textId="77777777" w:rsidR="00C66E62" w:rsidRDefault="00A52601" w:rsidP="00C66E62">
      <w:pPr>
        <w:pStyle w:val="FootnoteText"/>
        <w:spacing w:line="480" w:lineRule="auto"/>
        <w:ind w:firstLine="720"/>
      </w:pPr>
      <w:r w:rsidRPr="002F741E">
        <w:t>But it goes further still,</w:t>
      </w:r>
      <w:r w:rsidR="009B20F9" w:rsidRPr="002F741E">
        <w:t xml:space="preserve"> </w:t>
      </w:r>
      <w:r w:rsidRPr="002F741E">
        <w:t>f</w:t>
      </w:r>
      <w:r w:rsidR="009B20F9" w:rsidRPr="002F741E">
        <w:t xml:space="preserve">or </w:t>
      </w:r>
      <w:proofErr w:type="spellStart"/>
      <w:r w:rsidR="009B20F9" w:rsidRPr="002F741E">
        <w:t>originalism</w:t>
      </w:r>
      <w:proofErr w:type="spellEnd"/>
      <w:r w:rsidR="009B20F9" w:rsidRPr="002F741E">
        <w:t xml:space="preserve"> only carries the analysis so far. </w:t>
      </w:r>
      <w:r w:rsidR="00E77A87" w:rsidRPr="002F741E">
        <w:t>T</w:t>
      </w:r>
      <w:r w:rsidR="009B20F9" w:rsidRPr="002F741E">
        <w:t xml:space="preserve">he antislavery tradition and its manifestation in the ebullience with which the </w:t>
      </w:r>
      <w:proofErr w:type="spellStart"/>
      <w:r w:rsidR="00976DFA" w:rsidRPr="002F741E">
        <w:t>Free</w:t>
      </w:r>
      <w:r w:rsidR="00B954A7" w:rsidRPr="002F741E">
        <w:t>people</w:t>
      </w:r>
      <w:proofErr w:type="spellEnd"/>
      <w:r w:rsidR="00C406CE">
        <w:t xml:space="preserve"> sought schooling</w:t>
      </w:r>
      <w:r w:rsidR="009B20F9" w:rsidRPr="002F741E">
        <w:t xml:space="preserve"> </w:t>
      </w:r>
      <w:r w:rsidR="00E77A87" w:rsidRPr="002F741E">
        <w:t xml:space="preserve">gives new content and meaning to the open texture of the </w:t>
      </w:r>
      <w:r w:rsidR="007916CA">
        <w:t>Fourteenth Amendment</w:t>
      </w:r>
      <w:r w:rsidR="00C406CE">
        <w:t xml:space="preserve"> with particular emphasis on the Citizenship Clause</w:t>
      </w:r>
      <w:r w:rsidR="00E77A87" w:rsidRPr="002F741E">
        <w:t>.</w:t>
      </w:r>
      <w:r w:rsidR="00C406CE">
        <w:rPr>
          <w:rStyle w:val="FootnoteReference"/>
        </w:rPr>
        <w:footnoteReference w:id="19"/>
      </w:r>
      <w:r w:rsidR="00E77A87" w:rsidRPr="002F741E">
        <w:t xml:space="preserve"> </w:t>
      </w:r>
      <w:r w:rsidR="002033AF" w:rsidRPr="002F741E">
        <w:t xml:space="preserve">This is not to argue for </w:t>
      </w:r>
      <w:r w:rsidR="000C3505" w:rsidRPr="002F741E">
        <w:t xml:space="preserve">analytical </w:t>
      </w:r>
      <w:r w:rsidR="002033AF" w:rsidRPr="002F741E">
        <w:t>stasis</w:t>
      </w:r>
      <w:r w:rsidR="00070EAB">
        <w:t xml:space="preserve">, </w:t>
      </w:r>
      <w:r w:rsidR="002033AF" w:rsidRPr="002F741E">
        <w:t>but instead</w:t>
      </w:r>
      <w:r w:rsidR="0083240A">
        <w:t xml:space="preserve"> to conceptualize the Amendments</w:t>
      </w:r>
      <w:r w:rsidR="002033AF" w:rsidRPr="002F741E">
        <w:t xml:space="preserve"> as a </w:t>
      </w:r>
      <w:r w:rsidR="005B27EC">
        <w:t xml:space="preserve">mutually reinforcing </w:t>
      </w:r>
      <w:r w:rsidR="002033AF" w:rsidRPr="002F741E">
        <w:t xml:space="preserve">charter of </w:t>
      </w:r>
      <w:r w:rsidR="00A52B64">
        <w:t>liberty, from which we can discern a thick notion of freedom</w:t>
      </w:r>
      <w:r w:rsidR="001B6DDD">
        <w:t xml:space="preserve"> </w:t>
      </w:r>
      <w:r w:rsidR="000C3505" w:rsidRPr="002F741E">
        <w:t>meant to</w:t>
      </w:r>
      <w:r w:rsidR="001A068B" w:rsidRPr="002F741E">
        <w:t xml:space="preserve"> deliver all persons from the “badges and incidents </w:t>
      </w:r>
      <w:r w:rsidR="000C3505" w:rsidRPr="002F741E">
        <w:t>of slavery</w:t>
      </w:r>
      <w:r w:rsidR="001A068B" w:rsidRPr="002F741E">
        <w:t>”</w:t>
      </w:r>
      <w:r w:rsidR="000C3505" w:rsidRPr="002F741E">
        <w:t xml:space="preserve"> in all </w:t>
      </w:r>
      <w:r w:rsidR="00077FDA">
        <w:t>their</w:t>
      </w:r>
      <w:r w:rsidR="000C3505" w:rsidRPr="002F741E">
        <w:t xml:space="preserve"> forms.</w:t>
      </w:r>
      <w:r w:rsidR="00BC627B" w:rsidRPr="002F741E">
        <w:rPr>
          <w:rStyle w:val="FootnoteReference"/>
        </w:rPr>
        <w:footnoteReference w:id="20"/>
      </w:r>
      <w:r w:rsidR="00757D1A">
        <w:t xml:space="preserve"> </w:t>
      </w:r>
    </w:p>
    <w:p w14:paraId="566A6355" w14:textId="77777777" w:rsidR="00EF4CA8" w:rsidRPr="007042F9" w:rsidRDefault="00757D1A" w:rsidP="00D70ED5">
      <w:pPr>
        <w:pStyle w:val="FootnoteText"/>
        <w:spacing w:line="480" w:lineRule="auto"/>
        <w:ind w:firstLine="720"/>
        <w:rPr>
          <w:bCs/>
        </w:rPr>
      </w:pPr>
      <w:r>
        <w:lastRenderedPageBreak/>
        <w:t xml:space="preserve">Similarly, </w:t>
      </w:r>
      <w:r>
        <w:rPr>
          <w:bCs/>
        </w:rPr>
        <w:t>r</w:t>
      </w:r>
      <w:r w:rsidR="00A52601" w:rsidRPr="002F741E">
        <w:rPr>
          <w:bCs/>
        </w:rPr>
        <w:t xml:space="preserve">ather than </w:t>
      </w:r>
      <w:r>
        <w:rPr>
          <w:bCs/>
        </w:rPr>
        <w:t xml:space="preserve">arguing for </w:t>
      </w:r>
      <w:r w:rsidR="00A52601" w:rsidRPr="002F741E">
        <w:rPr>
          <w:bCs/>
        </w:rPr>
        <w:t xml:space="preserve">racial particularity, this essay strategically intervenes in the </w:t>
      </w:r>
      <w:r w:rsidR="00E4076E">
        <w:rPr>
          <w:bCs/>
        </w:rPr>
        <w:t xml:space="preserve">prevailing </w:t>
      </w:r>
      <w:r w:rsidR="00A52601" w:rsidRPr="002F741E">
        <w:rPr>
          <w:bCs/>
        </w:rPr>
        <w:t>myth</w:t>
      </w:r>
      <w:r w:rsidR="00A350B3">
        <w:rPr>
          <w:rStyle w:val="FootnoteReference"/>
          <w:bCs/>
        </w:rPr>
        <w:footnoteReference w:id="21"/>
      </w:r>
      <w:r w:rsidR="00A52601" w:rsidRPr="002F741E">
        <w:rPr>
          <w:bCs/>
        </w:rPr>
        <w:t xml:space="preserve"> of slavery that </w:t>
      </w:r>
      <w:r w:rsidR="00E4076E">
        <w:rPr>
          <w:bCs/>
        </w:rPr>
        <w:t>arose in the</w:t>
      </w:r>
      <w:r>
        <w:rPr>
          <w:bCs/>
        </w:rPr>
        <w:t xml:space="preserve"> wake of </w:t>
      </w:r>
      <w:r w:rsidR="00E4076E">
        <w:rPr>
          <w:bCs/>
        </w:rPr>
        <w:t xml:space="preserve">war </w:t>
      </w:r>
      <w:r w:rsidR="00A310BA">
        <w:rPr>
          <w:bCs/>
        </w:rPr>
        <w:t xml:space="preserve">and was? </w:t>
      </w:r>
      <w:proofErr w:type="gramStart"/>
      <w:r w:rsidR="00DE5F13" w:rsidRPr="002F741E">
        <w:rPr>
          <w:bCs/>
        </w:rPr>
        <w:t>saliently</w:t>
      </w:r>
      <w:proofErr w:type="gramEnd"/>
      <w:r w:rsidR="00A52601" w:rsidRPr="002F741E">
        <w:rPr>
          <w:bCs/>
        </w:rPr>
        <w:t xml:space="preserve"> captured by </w:t>
      </w:r>
      <w:r w:rsidR="00461502">
        <w:rPr>
          <w:bCs/>
        </w:rPr>
        <w:t xml:space="preserve">the Court in </w:t>
      </w:r>
      <w:r w:rsidR="002236ED" w:rsidRPr="002F741E">
        <w:rPr>
          <w:bCs/>
          <w:i/>
        </w:rPr>
        <w:t>The Civil Rights Cases</w:t>
      </w:r>
      <w:r w:rsidR="002236ED" w:rsidRPr="002F741E">
        <w:rPr>
          <w:bCs/>
        </w:rPr>
        <w:t>.</w:t>
      </w:r>
      <w:r w:rsidR="00D2785A" w:rsidRPr="002F741E">
        <w:rPr>
          <w:bCs/>
        </w:rPr>
        <w:t xml:space="preserve"> </w:t>
      </w:r>
      <w:r w:rsidR="004A1480" w:rsidRPr="002F741E">
        <w:rPr>
          <w:bCs/>
        </w:rPr>
        <w:t xml:space="preserve">A mere </w:t>
      </w:r>
      <w:r w:rsidR="00AE656D" w:rsidRPr="002F741E">
        <w:rPr>
          <w:bCs/>
        </w:rPr>
        <w:t xml:space="preserve">two decades after the formal end of chattel slavery in the United States, </w:t>
      </w:r>
      <w:r w:rsidR="00AC3148" w:rsidRPr="002F741E">
        <w:rPr>
          <w:bCs/>
        </w:rPr>
        <w:t xml:space="preserve">the Court held that </w:t>
      </w:r>
      <w:r w:rsidR="00662D5D" w:rsidRPr="002F741E">
        <w:rPr>
          <w:bCs/>
        </w:rPr>
        <w:t xml:space="preserve">the </w:t>
      </w:r>
      <w:r w:rsidR="005313F4" w:rsidRPr="002F741E">
        <w:rPr>
          <w:bCs/>
        </w:rPr>
        <w:t>enforcement</w:t>
      </w:r>
      <w:r w:rsidR="00662D5D" w:rsidRPr="002F741E">
        <w:rPr>
          <w:bCs/>
        </w:rPr>
        <w:t xml:space="preserve"> powers of the </w:t>
      </w:r>
      <w:r w:rsidR="005313F4" w:rsidRPr="002F741E">
        <w:rPr>
          <w:bCs/>
        </w:rPr>
        <w:t xml:space="preserve">Thirteenth and </w:t>
      </w:r>
      <w:r w:rsidR="00C8128A" w:rsidRPr="002F741E">
        <w:rPr>
          <w:bCs/>
        </w:rPr>
        <w:t>Fourteenth Amendments</w:t>
      </w:r>
      <w:r w:rsidR="00FF56ED" w:rsidRPr="002F741E">
        <w:rPr>
          <w:bCs/>
        </w:rPr>
        <w:t xml:space="preserve"> </w:t>
      </w:r>
      <w:r w:rsidR="00C8128A" w:rsidRPr="002F741E">
        <w:rPr>
          <w:bCs/>
        </w:rPr>
        <w:t xml:space="preserve">did not properly support </w:t>
      </w:r>
      <w:r w:rsidR="009D2126" w:rsidRPr="002F741E">
        <w:rPr>
          <w:bCs/>
        </w:rPr>
        <w:t xml:space="preserve">sections of </w:t>
      </w:r>
      <w:r w:rsidR="00C8128A" w:rsidRPr="002F741E">
        <w:rPr>
          <w:bCs/>
        </w:rPr>
        <w:t>the Civil Rights Act of 1875</w:t>
      </w:r>
      <w:r w:rsidR="00B7266B">
        <w:rPr>
          <w:bCs/>
        </w:rPr>
        <w:t>.</w:t>
      </w:r>
      <w:r w:rsidR="00DF100F" w:rsidRPr="002F741E">
        <w:rPr>
          <w:rStyle w:val="FootnoteReference"/>
          <w:bCs/>
        </w:rPr>
        <w:footnoteReference w:id="22"/>
      </w:r>
      <w:r w:rsidR="004A1480" w:rsidRPr="002F741E">
        <w:rPr>
          <w:bCs/>
        </w:rPr>
        <w:t xml:space="preserve"> </w:t>
      </w:r>
      <w:r w:rsidR="00C93829" w:rsidRPr="002F741E">
        <w:rPr>
          <w:bCs/>
        </w:rPr>
        <w:t>In declaring the Ac</w:t>
      </w:r>
      <w:r>
        <w:rPr>
          <w:bCs/>
        </w:rPr>
        <w:t xml:space="preserve">t ultra vires, </w:t>
      </w:r>
      <w:r w:rsidR="00C66E62">
        <w:rPr>
          <w:bCs/>
        </w:rPr>
        <w:t xml:space="preserve">the Court </w:t>
      </w:r>
      <w:r>
        <w:rPr>
          <w:bCs/>
        </w:rPr>
        <w:t>created</w:t>
      </w:r>
      <w:r w:rsidR="00C66E62">
        <w:rPr>
          <w:bCs/>
        </w:rPr>
        <w:t xml:space="preserve"> </w:t>
      </w:r>
      <w:r w:rsidR="00C66E62" w:rsidRPr="002F741E">
        <w:rPr>
          <w:bCs/>
        </w:rPr>
        <w:t>out of whole cloth</w:t>
      </w:r>
      <w:r w:rsidR="00C93829" w:rsidRPr="002F741E">
        <w:rPr>
          <w:bCs/>
        </w:rPr>
        <w:t xml:space="preserve"> the state action doctrine.</w:t>
      </w:r>
      <w:r w:rsidR="003C5706">
        <w:rPr>
          <w:rStyle w:val="FootnoteReference"/>
          <w:bCs/>
        </w:rPr>
        <w:footnoteReference w:id="23"/>
      </w:r>
      <w:r w:rsidR="00C93829" w:rsidRPr="002F741E">
        <w:rPr>
          <w:bCs/>
        </w:rPr>
        <w:t xml:space="preserve"> </w:t>
      </w:r>
      <w:r w:rsidR="00280EC0">
        <w:rPr>
          <w:bCs/>
        </w:rPr>
        <w:t xml:space="preserve">As </w:t>
      </w:r>
      <w:r w:rsidR="00C35B84" w:rsidRPr="002F741E">
        <w:rPr>
          <w:rFonts w:eastAsia="Times New Roman"/>
        </w:rPr>
        <w:t xml:space="preserve">a substantive limitation on the Fourteenth Amendment’s </w:t>
      </w:r>
      <w:r w:rsidR="00910C63">
        <w:rPr>
          <w:rFonts w:eastAsia="Times New Roman"/>
        </w:rPr>
        <w:t xml:space="preserve">enforcement powers, the doctrine </w:t>
      </w:r>
      <w:r w:rsidR="00C35B84" w:rsidRPr="002F741E">
        <w:rPr>
          <w:rFonts w:eastAsia="Times New Roman"/>
        </w:rPr>
        <w:t>operated in lo</w:t>
      </w:r>
      <w:r w:rsidR="00AB516E" w:rsidRPr="002F741E">
        <w:rPr>
          <w:rFonts w:eastAsia="Times New Roman"/>
        </w:rPr>
        <w:t>ckstep w</w:t>
      </w:r>
      <w:r w:rsidR="003C5706">
        <w:rPr>
          <w:rFonts w:eastAsia="Times New Roman"/>
        </w:rPr>
        <w:t>ith a narrative framing of the A</w:t>
      </w:r>
      <w:r w:rsidR="00AB516E" w:rsidRPr="002F741E">
        <w:rPr>
          <w:rFonts w:eastAsia="Times New Roman"/>
        </w:rPr>
        <w:t>ct, and by implication the Reconstruction Amendments mor</w:t>
      </w:r>
      <w:r w:rsidR="000A0F54" w:rsidRPr="002F741E">
        <w:rPr>
          <w:rFonts w:eastAsia="Times New Roman"/>
        </w:rPr>
        <w:t>e broadly, as</w:t>
      </w:r>
      <w:r w:rsidR="00685E61">
        <w:rPr>
          <w:rFonts w:eastAsia="Times New Roman"/>
        </w:rPr>
        <w:t xml:space="preserve"> class legislation, the </w:t>
      </w:r>
      <w:r w:rsidR="002462E6">
        <w:rPr>
          <w:rFonts w:eastAsia="Times New Roman"/>
        </w:rPr>
        <w:t xml:space="preserve">very </w:t>
      </w:r>
      <w:r w:rsidR="00685E61">
        <w:rPr>
          <w:rFonts w:eastAsia="Times New Roman"/>
        </w:rPr>
        <w:t xml:space="preserve">evil </w:t>
      </w:r>
      <w:r w:rsidR="002462E6">
        <w:rPr>
          <w:rFonts w:eastAsia="Times New Roman"/>
        </w:rPr>
        <w:t>that</w:t>
      </w:r>
      <w:r w:rsidR="000A0F54" w:rsidRPr="002F741E">
        <w:rPr>
          <w:rFonts w:eastAsia="Times New Roman"/>
        </w:rPr>
        <w:t xml:space="preserve"> the Fourteenth Amendment was meant to </w:t>
      </w:r>
      <w:r w:rsidR="002462E6">
        <w:rPr>
          <w:rFonts w:eastAsia="Times New Roman"/>
        </w:rPr>
        <w:t>tamp out</w:t>
      </w:r>
      <w:r w:rsidR="000A0F54" w:rsidRPr="002F741E">
        <w:rPr>
          <w:rFonts w:eastAsia="Times New Roman"/>
        </w:rPr>
        <w:t xml:space="preserve">. </w:t>
      </w:r>
      <w:r w:rsidR="00B82223">
        <w:rPr>
          <w:rFonts w:eastAsia="Times New Roman"/>
        </w:rPr>
        <w:t xml:space="preserve">Justice </w:t>
      </w:r>
      <w:r w:rsidR="00C407D8">
        <w:rPr>
          <w:rFonts w:eastAsia="Times New Roman"/>
        </w:rPr>
        <w:t>Bradley wrote:</w:t>
      </w:r>
      <w:r w:rsidR="004623DE">
        <w:rPr>
          <w:rFonts w:eastAsia="Times New Roman"/>
        </w:rPr>
        <w:t xml:space="preserve"> “</w:t>
      </w:r>
      <w:r w:rsidR="00AE656D" w:rsidRPr="00E4076E">
        <w:t xml:space="preserve">When a man has emerged from slavery, </w:t>
      </w:r>
      <w:r w:rsidR="004623DE">
        <w:t>. . .</w:t>
      </w:r>
      <w:r w:rsidR="00AE656D" w:rsidRPr="00E4076E">
        <w:t xml:space="preserve"> there must be some stage in the progress of his elevation when he takes the rank of a mere citizen, and ceases to be t</w:t>
      </w:r>
      <w:r w:rsidR="004623DE">
        <w:t>he special favorite of the laws.”</w:t>
      </w:r>
      <w:r w:rsidR="00AE656D" w:rsidRPr="00E4076E">
        <w:rPr>
          <w:rStyle w:val="FootnoteReference"/>
        </w:rPr>
        <w:footnoteReference w:id="24"/>
      </w:r>
      <w:r w:rsidR="00AE656D" w:rsidRPr="00E4076E">
        <w:t xml:space="preserve"> </w:t>
      </w:r>
      <w:r w:rsidR="004623DE">
        <w:t xml:space="preserve">Under this view, the Civil Rights Act, although a law of </w:t>
      </w:r>
      <w:r w:rsidR="004623DE">
        <w:lastRenderedPageBreak/>
        <w:t>general application, was contrary to “ordinary” legislation “by which other men’</w:t>
      </w:r>
      <w:r w:rsidR="004A3DA1">
        <w:t>s rights are protected,</w:t>
      </w:r>
      <w:r w:rsidR="004623DE">
        <w:t xml:space="preserve">” </w:t>
      </w:r>
      <w:r w:rsidR="004A3DA1">
        <w:t xml:space="preserve">suggesting that to the extent the </w:t>
      </w:r>
      <w:proofErr w:type="spellStart"/>
      <w:r w:rsidR="004A3DA1">
        <w:t>Freepeople</w:t>
      </w:r>
      <w:proofErr w:type="spellEnd"/>
      <w:r w:rsidR="004A3DA1">
        <w:t xml:space="preserve"> continu</w:t>
      </w:r>
      <w:r w:rsidR="00685E61">
        <w:t>ed to suffer a disability</w:t>
      </w:r>
      <w:r w:rsidR="00EC0F8E">
        <w:t xml:space="preserve"> related to being descendants of slaves</w:t>
      </w:r>
      <w:r w:rsidR="00685E61">
        <w:t>, it was a social matter to which the Constitution must remain impervious</w:t>
      </w:r>
      <w:r w:rsidR="004A3DA1">
        <w:t>.</w:t>
      </w:r>
      <w:r w:rsidR="004A3DA1">
        <w:rPr>
          <w:rStyle w:val="FootnoteReference"/>
        </w:rPr>
        <w:footnoteReference w:id="25"/>
      </w:r>
      <w:r w:rsidR="004A3DA1">
        <w:t xml:space="preserve"> </w:t>
      </w:r>
      <w:r w:rsidR="00685E61">
        <w:t xml:space="preserve">Under cover of remedying legislative overreach, the Court cleaves </w:t>
      </w:r>
      <w:r w:rsidR="007042F9">
        <w:t xml:space="preserve">into two </w:t>
      </w:r>
      <w:r w:rsidR="00EC0F8E">
        <w:t xml:space="preserve">the realm of </w:t>
      </w:r>
      <w:r w:rsidR="00097C7D">
        <w:t>national citizenship</w:t>
      </w:r>
      <w:r w:rsidR="00EC0F8E">
        <w:t xml:space="preserve">, leaving us with </w:t>
      </w:r>
      <w:r w:rsidR="00097C7D">
        <w:t xml:space="preserve">civil </w:t>
      </w:r>
      <w:r w:rsidR="007042F9">
        <w:t xml:space="preserve">rights </w:t>
      </w:r>
      <w:r w:rsidR="007C6264">
        <w:t>as distinct from</w:t>
      </w:r>
      <w:r w:rsidR="007042F9">
        <w:t xml:space="preserve"> social rights</w:t>
      </w:r>
      <w:r w:rsidR="00802508" w:rsidRPr="002F741E">
        <w:t>.</w:t>
      </w:r>
      <w:r w:rsidR="007042F9">
        <w:rPr>
          <w:rStyle w:val="FootnoteReference"/>
        </w:rPr>
        <w:footnoteReference w:id="26"/>
      </w:r>
      <w:r w:rsidR="002033AF" w:rsidRPr="002F741E">
        <w:t xml:space="preserve"> </w:t>
      </w:r>
    </w:p>
    <w:p w14:paraId="4A718E51" w14:textId="77777777" w:rsidR="00033E08" w:rsidRDefault="007042F9" w:rsidP="007042F9">
      <w:pPr>
        <w:spacing w:line="480" w:lineRule="auto"/>
        <w:ind w:firstLine="720"/>
      </w:pPr>
      <w:r>
        <w:t xml:space="preserve">Moving forward, </w:t>
      </w:r>
      <w:r w:rsidR="00E86C60">
        <w:t xml:space="preserve">at least as a historical matter, </w:t>
      </w:r>
      <w:r>
        <w:t xml:space="preserve">the Court and commentators </w:t>
      </w:r>
      <w:r w:rsidR="00BA0E44" w:rsidRPr="002F741E">
        <w:t>delineate and limit the privileged st</w:t>
      </w:r>
      <w:r>
        <w:t>atus of constitutional rights by</w:t>
      </w:r>
      <w:r w:rsidR="00BA0E44" w:rsidRPr="002F741E">
        <w:t xml:space="preserve"> </w:t>
      </w:r>
      <w:r>
        <w:t>segregating</w:t>
      </w:r>
      <w:r w:rsidR="00BA0E44" w:rsidRPr="002F741E">
        <w:t xml:space="preserve"> the constitutional realm of civil </w:t>
      </w:r>
      <w:r w:rsidR="003B3A01">
        <w:t>(</w:t>
      </w:r>
      <w:r w:rsidR="00BA0E44" w:rsidRPr="002F741E">
        <w:t>and political rights</w:t>
      </w:r>
      <w:r w:rsidR="003B3A01">
        <w:t>)</w:t>
      </w:r>
      <w:r w:rsidR="00BA0E44" w:rsidRPr="002F741E">
        <w:t xml:space="preserve"> from the inferior, at least </w:t>
      </w:r>
      <w:r w:rsidR="00536F4B">
        <w:t>constitutionally speaking</w:t>
      </w:r>
      <w:r w:rsidR="00BA0E44" w:rsidRPr="002F741E">
        <w:t>, realm of social rights.</w:t>
      </w:r>
      <w:bookmarkStart w:id="4" w:name="_Ref291334476"/>
      <w:r w:rsidR="00536F4B">
        <w:rPr>
          <w:rStyle w:val="FootnoteReference"/>
        </w:rPr>
        <w:footnoteReference w:id="27"/>
      </w:r>
      <w:bookmarkEnd w:id="4"/>
      <w:r w:rsidR="00D87EF4" w:rsidRPr="002F741E">
        <w:t xml:space="preserve"> </w:t>
      </w:r>
      <w:r w:rsidR="00D87EF4" w:rsidRPr="002F741E">
        <w:lastRenderedPageBreak/>
        <w:t>The civil</w:t>
      </w:r>
      <w:r w:rsidR="00743953" w:rsidRPr="002F741E">
        <w:t xml:space="preserve">/social right distinction in constitution law serves to maintain the illusion that the Fourteenth Amendment was originally understood </w:t>
      </w:r>
      <w:r w:rsidR="001C0E53" w:rsidRPr="002F741E">
        <w:t>as being</w:t>
      </w:r>
      <w:r w:rsidR="00743953" w:rsidRPr="002F741E">
        <w:t xml:space="preserve"> and should continue to be interpreted in </w:t>
      </w:r>
      <w:r w:rsidR="00951E89" w:rsidRPr="002F741E">
        <w:t xml:space="preserve">perfect </w:t>
      </w:r>
      <w:r w:rsidR="00743953" w:rsidRPr="002F741E">
        <w:t xml:space="preserve">congruence with </w:t>
      </w:r>
      <w:r w:rsidR="003B7295">
        <w:t>the negative</w:t>
      </w:r>
      <w:r w:rsidR="00743953" w:rsidRPr="002F741E">
        <w:t xml:space="preserve"> rights </w:t>
      </w:r>
      <w:r w:rsidR="003B7295">
        <w:t xml:space="preserve">framed in </w:t>
      </w:r>
      <w:r w:rsidR="00743953" w:rsidRPr="002F741E">
        <w:t>the Bill of Rights</w:t>
      </w:r>
      <w:r w:rsidR="003B7295">
        <w:t xml:space="preserve"> and </w:t>
      </w:r>
      <w:r w:rsidR="00951E89" w:rsidRPr="002F741E">
        <w:t xml:space="preserve">thus in accord with </w:t>
      </w:r>
      <w:r w:rsidR="003B7295">
        <w:t xml:space="preserve">the </w:t>
      </w:r>
      <w:r w:rsidR="00951E89" w:rsidRPr="002F741E">
        <w:t>“pure” constitutional values of the Framers</w:t>
      </w:r>
      <w:r w:rsidR="003B7295">
        <w:t xml:space="preserve">. </w:t>
      </w:r>
      <w:r w:rsidR="00EE255F">
        <w:t xml:space="preserve">Yet, </w:t>
      </w:r>
      <w:r w:rsidR="00033E08">
        <w:t>Reconstruction was a radical break from the past, “a stunning and unprecedented experiment” in interracial democracy.</w:t>
      </w:r>
      <w:bookmarkStart w:id="5" w:name="_Ref291520820"/>
      <w:r w:rsidR="00033E08">
        <w:rPr>
          <w:rStyle w:val="FootnoteReference"/>
        </w:rPr>
        <w:footnoteReference w:id="28"/>
      </w:r>
      <w:bookmarkEnd w:id="5"/>
      <w:r w:rsidR="00033E08">
        <w:t xml:space="preserve"> As </w:t>
      </w:r>
      <w:r w:rsidR="00C15A07">
        <w:t>I set out below</w:t>
      </w:r>
      <w:r w:rsidR="00033E08">
        <w:t xml:space="preserve">, </w:t>
      </w:r>
      <w:r w:rsidR="006A3BE8">
        <w:t xml:space="preserve">buoyed by the Thirteenth and Fourteenth Amendments, </w:t>
      </w:r>
      <w:r w:rsidR="00033E08">
        <w:t xml:space="preserve">for the </w:t>
      </w:r>
      <w:proofErr w:type="spellStart"/>
      <w:r w:rsidR="00033E08">
        <w:t>Freepeople</w:t>
      </w:r>
      <w:proofErr w:type="spellEnd"/>
      <w:r w:rsidR="008519CB">
        <w:t>,</w:t>
      </w:r>
      <w:r w:rsidR="00033E08">
        <w:t xml:space="preserve"> </w:t>
      </w:r>
      <w:r w:rsidR="00FB6641">
        <w:t>universal education</w:t>
      </w:r>
      <w:r w:rsidR="00033E08">
        <w:t xml:space="preserve"> provided a foundation for </w:t>
      </w:r>
      <w:r w:rsidR="00AF3943">
        <w:t>a new</w:t>
      </w:r>
      <w:r w:rsidR="00033E08">
        <w:t xml:space="preserve"> “collective national identity</w:t>
      </w:r>
      <w:r w:rsidR="006A3BE8">
        <w:t>.</w:t>
      </w:r>
      <w:r w:rsidR="00033E08">
        <w:t>”</w:t>
      </w:r>
      <w:r w:rsidR="00033E08">
        <w:rPr>
          <w:rStyle w:val="FootnoteReference"/>
        </w:rPr>
        <w:footnoteReference w:id="29"/>
      </w:r>
    </w:p>
    <w:p w14:paraId="016D9C7C" w14:textId="77777777" w:rsidR="00710512" w:rsidRDefault="008519CB" w:rsidP="00710512">
      <w:pPr>
        <w:spacing w:line="480" w:lineRule="auto"/>
        <w:ind w:firstLine="720"/>
      </w:pPr>
      <w:r>
        <w:t xml:space="preserve">This social/civil rights binary </w:t>
      </w:r>
      <w:r w:rsidR="00372CAD" w:rsidRPr="002F741E">
        <w:t xml:space="preserve">is fundamental to </w:t>
      </w:r>
      <w:r w:rsidR="00745E1D" w:rsidRPr="002F741E">
        <w:t xml:space="preserve">the effective propagation of </w:t>
      </w:r>
      <w:r w:rsidR="00937059" w:rsidRPr="002F741E">
        <w:t xml:space="preserve">a constitutional narrative </w:t>
      </w:r>
      <w:r w:rsidR="00510078" w:rsidRPr="002F741E">
        <w:t>that</w:t>
      </w:r>
      <w:r w:rsidR="00745E1D" w:rsidRPr="002F741E">
        <w:t>,</w:t>
      </w:r>
      <w:r w:rsidR="00783A49" w:rsidRPr="002F741E">
        <w:t xml:space="preserve"> as early as Appomattox</w:t>
      </w:r>
      <w:r w:rsidR="00745E1D" w:rsidRPr="002F741E">
        <w:t>,</w:t>
      </w:r>
      <w:r w:rsidR="00510078" w:rsidRPr="002F741E">
        <w:t xml:space="preserve"> sought to rewrite the story of Reconstruction</w:t>
      </w:r>
      <w:r w:rsidR="00783A49" w:rsidRPr="002F741E">
        <w:t xml:space="preserve"> as recklessly out of step </w:t>
      </w:r>
      <w:r w:rsidR="00EF4CA8" w:rsidRPr="002F741E">
        <w:t>with</w:t>
      </w:r>
      <w:r w:rsidR="002277E8">
        <w:t xml:space="preserve"> our constitutional order;</w:t>
      </w:r>
      <w:r w:rsidR="00855A08">
        <w:t xml:space="preserve"> that the n</w:t>
      </w:r>
      <w:r w:rsidR="00783A49" w:rsidRPr="002F741E">
        <w:t xml:space="preserve">ational power </w:t>
      </w:r>
      <w:r w:rsidR="00EF4CA8" w:rsidRPr="002F741E">
        <w:t>inherent</w:t>
      </w:r>
      <w:r w:rsidR="00783A49" w:rsidRPr="002F741E">
        <w:t xml:space="preserve"> in the </w:t>
      </w:r>
      <w:r w:rsidR="002277E8">
        <w:t xml:space="preserve">Reconstruction Amendments </w:t>
      </w:r>
      <w:r w:rsidR="00783A49" w:rsidRPr="002F741E">
        <w:t>needed to revert back to the states.</w:t>
      </w:r>
      <w:bookmarkStart w:id="6" w:name="_Ref291272874"/>
      <w:r w:rsidR="002277E8">
        <w:rPr>
          <w:rStyle w:val="FootnoteReference"/>
        </w:rPr>
        <w:footnoteReference w:id="30"/>
      </w:r>
      <w:bookmarkEnd w:id="6"/>
      <w:r w:rsidR="00783A49" w:rsidRPr="002F741E">
        <w:t xml:space="preserve"> </w:t>
      </w:r>
      <w:r w:rsidR="0017359A" w:rsidRPr="002F741E">
        <w:t>In recoverin</w:t>
      </w:r>
      <w:r w:rsidR="0022392B" w:rsidRPr="002F741E">
        <w:t xml:space="preserve">g </w:t>
      </w:r>
      <w:r w:rsidR="0022392B" w:rsidRPr="002F741E">
        <w:lastRenderedPageBreak/>
        <w:t xml:space="preserve">the </w:t>
      </w:r>
      <w:r w:rsidR="002277E8">
        <w:t>“</w:t>
      </w:r>
      <w:r w:rsidR="0022392B" w:rsidRPr="002F741E">
        <w:t>neglected stories</w:t>
      </w:r>
      <w:r w:rsidR="002277E8">
        <w:t>”</w:t>
      </w:r>
      <w:r w:rsidR="00710512">
        <w:rPr>
          <w:rStyle w:val="FootnoteReference"/>
        </w:rPr>
        <w:footnoteReference w:id="31"/>
      </w:r>
      <w:r w:rsidR="0022392B" w:rsidRPr="002F741E">
        <w:t xml:space="preserve"> of the </w:t>
      </w:r>
      <w:proofErr w:type="spellStart"/>
      <w:r w:rsidR="0022392B" w:rsidRPr="002F741E">
        <w:t>F</w:t>
      </w:r>
      <w:r w:rsidR="00710512">
        <w:t>reepeople’s</w:t>
      </w:r>
      <w:proofErr w:type="spellEnd"/>
      <w:r w:rsidR="00710512">
        <w:t xml:space="preserve"> </w:t>
      </w:r>
      <w:r w:rsidR="0017359A" w:rsidRPr="002F741E">
        <w:t xml:space="preserve">élan for literacy as making a particular claim on citizenship, however, the qualitative distinction between civil and social rights blurs, or even dissolves. For free and freed African Americans, </w:t>
      </w:r>
      <w:r w:rsidR="007F59B8" w:rsidRPr="002F741E">
        <w:t>c</w:t>
      </w:r>
      <w:r w:rsidR="0017359A" w:rsidRPr="002F741E">
        <w:t>ivil and social rights, at least with respect to literacy</w:t>
      </w:r>
      <w:r w:rsidR="007F59B8" w:rsidRPr="002F741E">
        <w:t>, national citizenship,</w:t>
      </w:r>
      <w:r w:rsidR="0017359A" w:rsidRPr="002F741E">
        <w:t xml:space="preserve"> and constitutional personhood </w:t>
      </w:r>
      <w:r w:rsidR="007A3E1A" w:rsidRPr="002F741E">
        <w:t>were interdependent and inextricably intertwined.</w:t>
      </w:r>
      <w:r w:rsidR="0017359A" w:rsidRPr="002F741E">
        <w:t xml:space="preserve"> </w:t>
      </w:r>
    </w:p>
    <w:p w14:paraId="6518F977" w14:textId="77777777" w:rsidR="00710512" w:rsidRPr="002F741E" w:rsidRDefault="00710512" w:rsidP="00710512">
      <w:pPr>
        <w:spacing w:line="480" w:lineRule="auto"/>
        <w:ind w:firstLine="720"/>
      </w:pPr>
    </w:p>
    <w:p w14:paraId="0A2741D2" w14:textId="77777777" w:rsidR="005C4561" w:rsidRPr="00FB10D1" w:rsidRDefault="00ED5EFD" w:rsidP="002F741E">
      <w:pPr>
        <w:pStyle w:val="ListParagraph"/>
        <w:numPr>
          <w:ilvl w:val="1"/>
          <w:numId w:val="10"/>
        </w:numPr>
        <w:spacing w:line="480" w:lineRule="auto"/>
        <w:rPr>
          <w:i/>
          <w:iCs/>
          <w:smallCaps/>
        </w:rPr>
      </w:pPr>
      <w:r w:rsidRPr="00FB10D1">
        <w:rPr>
          <w:i/>
          <w:iCs/>
          <w:smallCaps/>
        </w:rPr>
        <w:t xml:space="preserve">The Meaning of </w:t>
      </w:r>
      <w:r w:rsidR="00710512" w:rsidRPr="00FB10D1">
        <w:rPr>
          <w:i/>
          <w:iCs/>
          <w:smallCaps/>
        </w:rPr>
        <w:t>Freedom</w:t>
      </w:r>
    </w:p>
    <w:p w14:paraId="1F14D056" w14:textId="77777777" w:rsidR="007B1EAA" w:rsidRDefault="005C4561" w:rsidP="00E90D2A">
      <w:pPr>
        <w:spacing w:line="480" w:lineRule="auto"/>
        <w:ind w:firstLine="720"/>
      </w:pPr>
      <w:r w:rsidRPr="002F741E">
        <w:t>“Neither slavery nor involuntary servitude</w:t>
      </w:r>
      <w:r w:rsidR="00B3246E" w:rsidRPr="002F741E">
        <w:t xml:space="preserve"> . . . </w:t>
      </w:r>
      <w:r w:rsidRPr="002F741E">
        <w:t>shall exist within the United States, . . .”</w:t>
      </w:r>
      <w:r w:rsidR="00710512">
        <w:rPr>
          <w:rStyle w:val="FootnoteReference"/>
        </w:rPr>
        <w:footnoteReference w:id="32"/>
      </w:r>
      <w:r w:rsidR="005410EB">
        <w:t xml:space="preserve"> </w:t>
      </w:r>
      <w:r w:rsidR="00FD620F">
        <w:t>The Thirteenth amendment may have been</w:t>
      </w:r>
      <w:r w:rsidR="00623FA1">
        <w:t xml:space="preserve"> unilateral in effect,</w:t>
      </w:r>
      <w:r w:rsidR="00DA5254">
        <w:t xml:space="preserve"> but </w:t>
      </w:r>
      <w:r w:rsidR="00AE30FA">
        <w:t xml:space="preserve">in practice </w:t>
      </w:r>
      <w:r w:rsidR="00DA5254">
        <w:t xml:space="preserve">freedom </w:t>
      </w:r>
      <w:r w:rsidR="00C463E0">
        <w:t>was episodic.</w:t>
      </w:r>
      <w:r w:rsidR="00AE30FA">
        <w:rPr>
          <w:rStyle w:val="FootnoteReference"/>
        </w:rPr>
        <w:footnoteReference w:id="33"/>
      </w:r>
      <w:r w:rsidR="00E90D2A">
        <w:t xml:space="preserve"> </w:t>
      </w:r>
      <w:r w:rsidR="0089043D">
        <w:t>That the Amendment abolished chattel slavery is beyond dispute</w:t>
      </w:r>
      <w:r w:rsidR="00DA3B85">
        <w:t>,</w:t>
      </w:r>
      <w:r w:rsidR="0089043D">
        <w:rPr>
          <w:rStyle w:val="FootnoteReference"/>
        </w:rPr>
        <w:footnoteReference w:id="34"/>
      </w:r>
      <w:r w:rsidR="00DA3B85">
        <w:t xml:space="preserve"> but </w:t>
      </w:r>
      <w:r w:rsidR="00634621">
        <w:t>where precisely does the outer boundary lie</w:t>
      </w:r>
      <w:r w:rsidR="00DA3B85">
        <w:t xml:space="preserve">? </w:t>
      </w:r>
      <w:r w:rsidR="00ED5EFD">
        <w:t xml:space="preserve">And what are appropriate sources for constitutional </w:t>
      </w:r>
      <w:r w:rsidR="00ED5EFD">
        <w:lastRenderedPageBreak/>
        <w:t>construction to give meaning to and apply the Amendment’s prohibition on “slavery” to the exten</w:t>
      </w:r>
      <w:r w:rsidR="0026782D">
        <w:t>t</w:t>
      </w:r>
      <w:r w:rsidR="00ED5EFD">
        <w:t xml:space="preserve"> that </w:t>
      </w:r>
      <w:proofErr w:type="gramStart"/>
      <w:r w:rsidR="0026782D">
        <w:t>it</w:t>
      </w:r>
      <w:r w:rsidR="009B3ADC">
        <w:t>s</w:t>
      </w:r>
      <w:proofErr w:type="gramEnd"/>
      <w:r w:rsidR="009B3ADC">
        <w:t xml:space="preserve"> meaning</w:t>
      </w:r>
      <w:r w:rsidR="0026782D">
        <w:t xml:space="preserve"> is</w:t>
      </w:r>
      <w:r w:rsidR="00ED5EFD">
        <w:t xml:space="preserve"> </w:t>
      </w:r>
      <w:r w:rsidR="00C8731A">
        <w:t>“abstract, vague, or indeterminate?”</w:t>
      </w:r>
      <w:bookmarkStart w:id="7" w:name="_Ref291446684"/>
      <w:r w:rsidR="007B1EAA">
        <w:rPr>
          <w:rStyle w:val="FootnoteReference"/>
        </w:rPr>
        <w:footnoteReference w:id="35"/>
      </w:r>
      <w:bookmarkEnd w:id="7"/>
      <w:r w:rsidR="00C8731A">
        <w:t xml:space="preserve"> </w:t>
      </w:r>
    </w:p>
    <w:p w14:paraId="7C892BCF" w14:textId="77777777" w:rsidR="009F2F38" w:rsidRDefault="00E87170" w:rsidP="00E90D2A">
      <w:pPr>
        <w:spacing w:line="480" w:lineRule="auto"/>
        <w:ind w:firstLine="720"/>
      </w:pPr>
      <w:r>
        <w:t>The language of Section 1 is taken fr</w:t>
      </w:r>
      <w:r w:rsidR="00822935">
        <w:t>om the Northwest Ordinance of 1787</w:t>
      </w:r>
      <w:r>
        <w:t>,</w:t>
      </w:r>
      <w:r>
        <w:rPr>
          <w:rStyle w:val="FootnoteReference"/>
        </w:rPr>
        <w:footnoteReference w:id="36"/>
      </w:r>
      <w:r>
        <w:t xml:space="preserve"> and Congress used similar language in the 1862 acts ending slavery in the District of Columbia</w:t>
      </w:r>
      <w:bookmarkStart w:id="8" w:name="_Ref291416648"/>
      <w:r w:rsidR="00E92A93">
        <w:rPr>
          <w:rStyle w:val="FootnoteReference"/>
        </w:rPr>
        <w:footnoteReference w:id="37"/>
      </w:r>
      <w:bookmarkEnd w:id="8"/>
      <w:r>
        <w:t xml:space="preserve"> and federal territories.</w:t>
      </w:r>
      <w:bookmarkStart w:id="9" w:name="_Ref291416674"/>
      <w:r w:rsidR="00E92A93">
        <w:rPr>
          <w:rStyle w:val="FootnoteReference"/>
        </w:rPr>
        <w:footnoteReference w:id="38"/>
      </w:r>
      <w:bookmarkEnd w:id="9"/>
      <w:r>
        <w:t xml:space="preserve"> </w:t>
      </w:r>
      <w:r w:rsidR="004A017B">
        <w:t>While congressional debate on the Thirteenth Amendment demonstrates discord as to the scope of the text, the Amendment that came into force reflected familiar language, and while perhaps not perfect to all parties, reflected the exigency of the time: the Emancipation Proclamation, issued under President Lincoln’s war-time powers, threatened to expire as of the end of war and</w:t>
      </w:r>
      <w:r w:rsidR="008F2118">
        <w:t xml:space="preserve"> with it</w:t>
      </w:r>
      <w:r w:rsidR="005F70AF">
        <w:t xml:space="preserve"> </w:t>
      </w:r>
      <w:r w:rsidR="0055187D">
        <w:t xml:space="preserve">the </w:t>
      </w:r>
      <w:r w:rsidR="00BA0886">
        <w:t xml:space="preserve">legal </w:t>
      </w:r>
      <w:r w:rsidR="0055187D">
        <w:t xml:space="preserve">status of the people it had freed </w:t>
      </w:r>
      <w:r w:rsidR="00BF6839">
        <w:t xml:space="preserve">would </w:t>
      </w:r>
      <w:r w:rsidR="0055187D">
        <w:t>return to the status quo ante</w:t>
      </w:r>
      <w:r w:rsidR="00107F7F">
        <w:t>.</w:t>
      </w:r>
      <w:r w:rsidR="006E1936">
        <w:rPr>
          <w:rStyle w:val="FootnoteReference"/>
        </w:rPr>
        <w:footnoteReference w:id="39"/>
      </w:r>
      <w:r w:rsidR="00C02F94">
        <w:t xml:space="preserve"> </w:t>
      </w:r>
    </w:p>
    <w:p w14:paraId="3562A9B9" w14:textId="0C5B90B3" w:rsidR="009F2F38" w:rsidRDefault="00D03FD9" w:rsidP="00DB4389">
      <w:pPr>
        <w:spacing w:line="480" w:lineRule="auto"/>
        <w:ind w:firstLine="720"/>
      </w:pPr>
      <w:r>
        <w:lastRenderedPageBreak/>
        <w:t xml:space="preserve">While history need not be a dead hand in constitutional construction, it can serve as a lodestar for understanding and furthering “a </w:t>
      </w:r>
      <w:proofErr w:type="spellStart"/>
      <w:r>
        <w:t>transgenerational</w:t>
      </w:r>
      <w:proofErr w:type="spellEnd"/>
      <w:r>
        <w:t xml:space="preserve"> project of self-governance.”</w:t>
      </w:r>
      <w:r>
        <w:rPr>
          <w:rStyle w:val="FootnoteReference"/>
        </w:rPr>
        <w:footnoteReference w:id="40"/>
      </w:r>
      <w:r w:rsidR="00937994">
        <w:t xml:space="preserve"> </w:t>
      </w:r>
      <w:r w:rsidR="00822935">
        <w:t>Given that the phrasing Section 1 was grafted from</w:t>
      </w:r>
      <w:r w:rsidR="00E01509">
        <w:t xml:space="preserve"> the pre-constitutional era, </w:t>
      </w:r>
      <w:r w:rsidR="001F5F42">
        <w:t xml:space="preserve">Professors </w:t>
      </w:r>
      <w:proofErr w:type="spellStart"/>
      <w:r w:rsidR="001F5F42">
        <w:t>Balkin</w:t>
      </w:r>
      <w:proofErr w:type="spellEnd"/>
      <w:r w:rsidR="001F5F42">
        <w:t xml:space="preserve"> and Levinson suggest that evidence about </w:t>
      </w:r>
      <w:r w:rsidR="00CF19A0">
        <w:t xml:space="preserve">the meaning of </w:t>
      </w:r>
      <w:r w:rsidR="001F5F42">
        <w:t>slavery at the time of the Founding may be probative</w:t>
      </w:r>
      <w:r w:rsidR="00085BA5">
        <w:t xml:space="preserve"> </w:t>
      </w:r>
      <w:r w:rsidR="00003752">
        <w:t>with regard to</w:t>
      </w:r>
      <w:r w:rsidR="00085BA5">
        <w:t xml:space="preserve"> understanding a text from 1865</w:t>
      </w:r>
      <w:r w:rsidR="001F5F42">
        <w:t>.</w:t>
      </w:r>
      <w:r w:rsidR="00085BA5">
        <w:rPr>
          <w:rStyle w:val="FootnoteReference"/>
        </w:rPr>
        <w:footnoteReference w:id="41"/>
      </w:r>
      <w:r w:rsidR="000F0324">
        <w:t xml:space="preserve"> After all, proponents of the </w:t>
      </w:r>
      <w:r w:rsidR="0020094E">
        <w:t xml:space="preserve">Amendment </w:t>
      </w:r>
      <w:r w:rsidR="00553465">
        <w:t>referred as a matter of course to it as incorporating the “Jeffersonian ordinance.”</w:t>
      </w:r>
      <w:r w:rsidR="00553465">
        <w:rPr>
          <w:rStyle w:val="FootnoteReference"/>
        </w:rPr>
        <w:footnoteReference w:id="42"/>
      </w:r>
      <w:r w:rsidR="00D75843">
        <w:t xml:space="preserve"> </w:t>
      </w:r>
      <w:r w:rsidR="00CC571E">
        <w:t xml:space="preserve">In turning to the </w:t>
      </w:r>
      <w:r w:rsidR="00ED1520">
        <w:t xml:space="preserve">Founding, </w:t>
      </w:r>
      <w:r w:rsidR="006319C1">
        <w:t>on</w:t>
      </w:r>
      <w:r w:rsidR="0093658F">
        <w:t>e</w:t>
      </w:r>
      <w:r w:rsidR="006319C1">
        <w:t xml:space="preserve"> discovers </w:t>
      </w:r>
      <w:r w:rsidR="00ED1520">
        <w:t>the word “slavery</w:t>
      </w:r>
      <w:r w:rsidR="00976F44">
        <w:t>,</w:t>
      </w:r>
      <w:r w:rsidR="00ED1520">
        <w:t>”</w:t>
      </w:r>
      <w:r w:rsidR="00976F44">
        <w:t xml:space="preserve"> as a legal matter,</w:t>
      </w:r>
      <w:r w:rsidR="00ED1520">
        <w:t xml:space="preserve"> had a dramatic sweep</w:t>
      </w:r>
      <w:r w:rsidR="006116BB">
        <w:t>, reaching</w:t>
      </w:r>
      <w:r w:rsidR="00ED1520">
        <w:t xml:space="preserve"> far beyond the </w:t>
      </w:r>
      <w:proofErr w:type="spellStart"/>
      <w:r w:rsidR="00ED1520">
        <w:t>racialized</w:t>
      </w:r>
      <w:proofErr w:type="spellEnd"/>
      <w:r w:rsidR="00ED1520">
        <w:t xml:space="preserve"> regime of chattel slavery the Reconstruction Era framers sought to vitiate.</w:t>
      </w:r>
      <w:r w:rsidR="00ED1520">
        <w:rPr>
          <w:rStyle w:val="FootnoteReference"/>
        </w:rPr>
        <w:footnoteReference w:id="43"/>
      </w:r>
      <w:r w:rsidR="006116BB">
        <w:t xml:space="preserve"> </w:t>
      </w:r>
      <w:r w:rsidR="001334F6">
        <w:t xml:space="preserve">Professors Jack </w:t>
      </w:r>
      <w:proofErr w:type="spellStart"/>
      <w:r w:rsidR="001334F6">
        <w:t>Balkin</w:t>
      </w:r>
      <w:proofErr w:type="spellEnd"/>
      <w:r w:rsidR="001334F6">
        <w:t xml:space="preserve"> and Sanford Levinson argue that “‘[</w:t>
      </w:r>
      <w:proofErr w:type="gramStart"/>
      <w:r w:rsidR="001334F6">
        <w:t>c]</w:t>
      </w:r>
      <w:proofErr w:type="spellStart"/>
      <w:r w:rsidR="001334F6">
        <w:t>hattel</w:t>
      </w:r>
      <w:proofErr w:type="spellEnd"/>
      <w:proofErr w:type="gramEnd"/>
      <w:r w:rsidR="001334F6">
        <w:t xml:space="preserve"> slavery’</w:t>
      </w:r>
      <w:r w:rsidR="001334F6" w:rsidRPr="001334F6">
        <w:t xml:space="preserve"> was only the most extreme and visible example of</w:t>
      </w:r>
      <w:r w:rsidR="001334F6">
        <w:t xml:space="preserve"> ‘slavery,’</w:t>
      </w:r>
      <w:r w:rsidR="001334F6" w:rsidRPr="001334F6">
        <w:t xml:space="preserve"> which meant illegitimate domination, political subordination,</w:t>
      </w:r>
      <w:r w:rsidR="001334F6">
        <w:t xml:space="preserve"> </w:t>
      </w:r>
      <w:r w:rsidR="001334F6" w:rsidRPr="001334F6">
        <w:t>and the absence of republican government.</w:t>
      </w:r>
      <w:r w:rsidR="001334F6">
        <w:t>”</w:t>
      </w:r>
      <w:bookmarkStart w:id="10" w:name="_Ref291683103"/>
      <w:r w:rsidR="001334F6">
        <w:rPr>
          <w:rStyle w:val="FootnoteReference"/>
        </w:rPr>
        <w:footnoteReference w:id="44"/>
      </w:r>
      <w:bookmarkEnd w:id="10"/>
      <w:r w:rsidR="00DB4389">
        <w:t xml:space="preserve"> While</w:t>
      </w:r>
      <w:r w:rsidR="00C17B0B">
        <w:t xml:space="preserve"> it </w:t>
      </w:r>
      <w:r w:rsidR="00DB4389">
        <w:lastRenderedPageBreak/>
        <w:t xml:space="preserve">perhaps </w:t>
      </w:r>
      <w:r w:rsidR="00C17B0B">
        <w:t xml:space="preserve">feels </w:t>
      </w:r>
      <w:r w:rsidR="00DB4389">
        <w:t>grotesque</w:t>
      </w:r>
      <w:r w:rsidR="00C17B0B">
        <w:t xml:space="preserve"> from a contemporary viewpoint to </w:t>
      </w:r>
      <w:r w:rsidR="00EC4AFC">
        <w:t>conceptualize</w:t>
      </w:r>
      <w:r w:rsidR="00C17B0B">
        <w:t xml:space="preserve"> of the difference between bondage and civil disfranchisement as a difference in degree rather than a difference in kind, </w:t>
      </w:r>
      <w:r w:rsidR="00B0176D">
        <w:t xml:space="preserve">the despotism of the latter registered so strongly among the colonists that they chose to break with England’s colonial power. </w:t>
      </w:r>
      <w:r w:rsidR="00D05BB2">
        <w:t>A young soldier in New York wrote</w:t>
      </w:r>
      <w:r w:rsidR="00D46ACF">
        <w:t xml:space="preserve"> to his father:</w:t>
      </w:r>
      <w:r w:rsidR="00D05BB2">
        <w:t xml:space="preserve"> “</w:t>
      </w:r>
      <w:r w:rsidR="006D1A7B">
        <w:t xml:space="preserve">I most heartily congratulate you on the Declaration of Independence, a Declaration which happily dissolves our </w:t>
      </w:r>
      <w:proofErr w:type="spellStart"/>
      <w:r w:rsidR="006D1A7B">
        <w:t>Connexions</w:t>
      </w:r>
      <w:proofErr w:type="spellEnd"/>
      <w:r w:rsidR="006D1A7B">
        <w:t xml:space="preserve"> with the Kingdom where the Name of King is synonymous to that of Tyrant, and the name of Subjects to that of Slaves.”</w:t>
      </w:r>
      <w:r w:rsidR="00175F49">
        <w:rPr>
          <w:rStyle w:val="FootnoteReference"/>
        </w:rPr>
        <w:footnoteReference w:id="45"/>
      </w:r>
      <w:r w:rsidR="00D8018E">
        <w:t xml:space="preserve"> His faith in the Revolution </w:t>
      </w:r>
      <w:r w:rsidR="004C6AF6">
        <w:t xml:space="preserve">bonded with his faith that it would deliver the colonists from </w:t>
      </w:r>
      <w:r w:rsidR="0001490C">
        <w:t xml:space="preserve">civil </w:t>
      </w:r>
      <w:r w:rsidR="004C6AF6">
        <w:t>bondage</w:t>
      </w:r>
      <w:commentRangeStart w:id="11"/>
      <w:r w:rsidR="004C6AF6">
        <w:t>.</w:t>
      </w:r>
      <w:r w:rsidR="00E13AF8">
        <w:rPr>
          <w:rStyle w:val="FootnoteReference"/>
        </w:rPr>
        <w:footnoteReference w:id="46"/>
      </w:r>
      <w:commentRangeEnd w:id="11"/>
      <w:r w:rsidR="003F237F">
        <w:rPr>
          <w:rStyle w:val="CommentReference"/>
        </w:rPr>
        <w:commentReference w:id="11"/>
      </w:r>
    </w:p>
    <w:p w14:paraId="2515EC0F" w14:textId="77777777" w:rsidR="00C53C00" w:rsidRPr="002F741E" w:rsidRDefault="00962197" w:rsidP="002F741E">
      <w:pPr>
        <w:spacing w:line="480" w:lineRule="auto"/>
      </w:pPr>
      <w:r>
        <w:lastRenderedPageBreak/>
        <w:tab/>
        <w:t>The s</w:t>
      </w:r>
      <w:r w:rsidR="00CC0335">
        <w:t xml:space="preserve">oldier’s faith, however, would not have seemed </w:t>
      </w:r>
      <w:r w:rsidR="00FF7C0D">
        <w:t>anachronistic</w:t>
      </w:r>
      <w:r w:rsidR="00C4629F">
        <w:t xml:space="preserve"> to enslaved African Americans in antebellum America. </w:t>
      </w:r>
      <w:r w:rsidR="00A71743">
        <w:t>Recognizing the possible strain on credulity, h</w:t>
      </w:r>
      <w:r w:rsidR="00C7164C" w:rsidRPr="002F741E">
        <w:t xml:space="preserve">istorian Leon </w:t>
      </w:r>
      <w:proofErr w:type="spellStart"/>
      <w:r w:rsidR="00C7164C" w:rsidRPr="002F741E">
        <w:t>Litwack</w:t>
      </w:r>
      <w:proofErr w:type="spellEnd"/>
      <w:r w:rsidR="00C7164C" w:rsidRPr="002F741E">
        <w:t xml:space="preserve"> writes,”[</w:t>
      </w:r>
      <w:proofErr w:type="gramStart"/>
      <w:r w:rsidR="00C7164C" w:rsidRPr="002F741E">
        <w:t>t]o</w:t>
      </w:r>
      <w:proofErr w:type="gramEnd"/>
      <w:r w:rsidR="00C7164C" w:rsidRPr="002F741E">
        <w:t xml:space="preserve"> </w:t>
      </w:r>
      <w:r w:rsidR="00A71743" w:rsidRPr="002F741E">
        <w:t>describe</w:t>
      </w:r>
      <w:r w:rsidR="00C7164C" w:rsidRPr="002F741E">
        <w:t xml:space="preserve"> the significance of freedom to four million black slaves of the South is to test severely our historical imagination.”</w:t>
      </w:r>
      <w:bookmarkStart w:id="12" w:name="_Ref291624652"/>
      <w:r w:rsidR="00A71743">
        <w:rPr>
          <w:rStyle w:val="FootnoteReference"/>
        </w:rPr>
        <w:footnoteReference w:id="47"/>
      </w:r>
      <w:bookmarkEnd w:id="12"/>
      <w:r w:rsidR="00C7164C" w:rsidRPr="002F741E">
        <w:t xml:space="preserve"> </w:t>
      </w:r>
      <w:r w:rsidR="00C21FCC">
        <w:t>When freedom arrived for enslaved African Americans, its meaning registered as the hue</w:t>
      </w:r>
      <w:r w:rsidR="003F237F">
        <w:t>?</w:t>
      </w:r>
      <w:r w:rsidR="00C21FCC">
        <w:t xml:space="preserve"> </w:t>
      </w:r>
      <w:proofErr w:type="gramStart"/>
      <w:r w:rsidR="00C21FCC">
        <w:t>of</w:t>
      </w:r>
      <w:proofErr w:type="gramEnd"/>
      <w:r w:rsidR="00C21FCC">
        <w:t xml:space="preserve"> revolution enshrined in the Declaration of Independence. T</w:t>
      </w:r>
      <w:r w:rsidR="00FB2715" w:rsidRPr="002F741E">
        <w:t xml:space="preserve">he most egalitarian of abolitionists </w:t>
      </w:r>
      <w:r w:rsidR="00EA2B53" w:rsidRPr="002F741E">
        <w:t xml:space="preserve">assumed that the </w:t>
      </w:r>
      <w:proofErr w:type="spellStart"/>
      <w:r w:rsidR="00B954A7" w:rsidRPr="002F741E">
        <w:t>Freedpeople</w:t>
      </w:r>
      <w:proofErr w:type="spellEnd"/>
      <w:r w:rsidR="00EA2B53" w:rsidRPr="002F741E">
        <w:t xml:space="preserve"> would stand with equal posture to all other citizens in the civic community of the republic.</w:t>
      </w:r>
      <w:bookmarkStart w:id="13" w:name="_Ref291515864"/>
      <w:r w:rsidR="00C21FCC">
        <w:rPr>
          <w:rStyle w:val="FootnoteReference"/>
        </w:rPr>
        <w:footnoteReference w:id="48"/>
      </w:r>
      <w:bookmarkEnd w:id="13"/>
      <w:r w:rsidR="00347B9C" w:rsidRPr="002F741E">
        <w:t xml:space="preserve"> </w:t>
      </w:r>
    </w:p>
    <w:p w14:paraId="550DCAB9" w14:textId="77777777" w:rsidR="00A04981" w:rsidRDefault="00C53C00" w:rsidP="002F741E">
      <w:pPr>
        <w:spacing w:line="480" w:lineRule="auto"/>
      </w:pPr>
      <w:r w:rsidRPr="002F741E">
        <w:t xml:space="preserve">“As friends of the freedmen,” </w:t>
      </w:r>
      <w:r w:rsidRPr="002F741E">
        <w:rPr>
          <w:i/>
        </w:rPr>
        <w:t xml:space="preserve">The American Freedman </w:t>
      </w:r>
      <w:r w:rsidR="00705167">
        <w:t>proclaimed</w:t>
      </w:r>
      <w:r w:rsidRPr="002F741E">
        <w:t xml:space="preserve">, </w:t>
      </w:r>
    </w:p>
    <w:p w14:paraId="0D26FBCB" w14:textId="77777777" w:rsidR="00A04981" w:rsidRDefault="00C53C00" w:rsidP="003607A1">
      <w:pPr>
        <w:spacing w:after="240"/>
        <w:ind w:left="720" w:right="720"/>
      </w:pPr>
      <w:proofErr w:type="gramStart"/>
      <w:r w:rsidRPr="002F741E">
        <w:t>we</w:t>
      </w:r>
      <w:proofErr w:type="gramEnd"/>
      <w:r w:rsidRPr="002F741E">
        <w:t xml:space="preserve"> demand for them no special immunities or privileges. We demand the recognition of their manhood, and the accord to them of equal rights</w:t>
      </w:r>
      <w:proofErr w:type="gramStart"/>
      <w:r w:rsidRPr="002F741E">
        <w:t>;</w:t>
      </w:r>
      <w:proofErr w:type="gramEnd"/>
      <w:r w:rsidRPr="002F741E">
        <w:t xml:space="preserve"> nothing more, nothing less. Friends, not only of the freedman, but of the Republic of humanity, recognizing the issue of the future, and </w:t>
      </w:r>
      <w:proofErr w:type="spellStart"/>
      <w:r w:rsidRPr="002F741E">
        <w:t>unhesitantly</w:t>
      </w:r>
      <w:proofErr w:type="spellEnd"/>
      <w:r w:rsidRPr="002F741E">
        <w:t xml:space="preserve"> meeting it, we proclaim</w:t>
      </w:r>
      <w:r w:rsidR="00A04981">
        <w:t xml:space="preserve"> as the motto of our movement: “</w:t>
      </w:r>
      <w:r w:rsidRPr="002F741E">
        <w:t>No distinction of race, c</w:t>
      </w:r>
      <w:r w:rsidR="00A04981">
        <w:t>aste, or color in the Republic.”</w:t>
      </w:r>
      <w:r w:rsidR="00B36229">
        <w:rPr>
          <w:rStyle w:val="FootnoteReference"/>
        </w:rPr>
        <w:footnoteReference w:id="49"/>
      </w:r>
    </w:p>
    <w:p w14:paraId="2B965365" w14:textId="77777777" w:rsidR="00C7164C" w:rsidRPr="002F741E" w:rsidRDefault="00723416" w:rsidP="002F741E">
      <w:pPr>
        <w:spacing w:line="480" w:lineRule="auto"/>
      </w:pPr>
      <w:r>
        <w:t>Hardly a passing reference to gender</w:t>
      </w:r>
      <w:r w:rsidRPr="007F352B">
        <w:t>,</w:t>
      </w:r>
      <w:r w:rsidR="007F352B" w:rsidRPr="007F352B">
        <w:t xml:space="preserve"> </w:t>
      </w:r>
      <w:r w:rsidR="00B03531">
        <w:t>as has perhaps always been the case</w:t>
      </w:r>
      <w:proofErr w:type="gramStart"/>
      <w:r w:rsidR="00B03531">
        <w:t>,</w:t>
      </w:r>
      <w:r w:rsidR="003F237F">
        <w:t>??</w:t>
      </w:r>
      <w:proofErr w:type="gramEnd"/>
      <w:r w:rsidR="00B03531">
        <w:t xml:space="preserve"> </w:t>
      </w:r>
      <w:proofErr w:type="gramStart"/>
      <w:r w:rsidR="00B03531">
        <w:t>black</w:t>
      </w:r>
      <w:proofErr w:type="gramEnd"/>
      <w:r w:rsidR="00B03531">
        <w:t xml:space="preserve"> manhood (and womanhood) </w:t>
      </w:r>
      <w:r w:rsidR="007F352B">
        <w:t>in the nineteenth</w:t>
      </w:r>
      <w:r w:rsidR="007F352B" w:rsidRPr="007F352B">
        <w:t xml:space="preserve"> century lexicon of race</w:t>
      </w:r>
      <w:r w:rsidR="00B03531">
        <w:t xml:space="preserve"> </w:t>
      </w:r>
      <w:r w:rsidR="00234EAE">
        <w:t>was</w:t>
      </w:r>
      <w:r w:rsidR="007F352B" w:rsidRPr="007F352B">
        <w:t xml:space="preserve"> politically freighted.</w:t>
      </w:r>
      <w:bookmarkStart w:id="14" w:name="_Ref291597951"/>
      <w:r w:rsidR="00234EAE">
        <w:rPr>
          <w:rStyle w:val="FootnoteReference"/>
        </w:rPr>
        <w:footnoteReference w:id="50"/>
      </w:r>
      <w:bookmarkEnd w:id="14"/>
      <w:r w:rsidR="007F352B" w:rsidRPr="007F352B">
        <w:rPr>
          <w:smallCaps/>
        </w:rPr>
        <w:t xml:space="preserve"> </w:t>
      </w:r>
      <w:proofErr w:type="spellStart"/>
      <w:r w:rsidR="007F352B" w:rsidRPr="007F352B">
        <w:t>Edmonia</w:t>
      </w:r>
      <w:proofErr w:type="spellEnd"/>
      <w:r w:rsidR="007F352B" w:rsidRPr="007F352B">
        <w:t xml:space="preserve"> G. </w:t>
      </w:r>
      <w:proofErr w:type="spellStart"/>
      <w:r w:rsidR="007F352B" w:rsidRPr="007F352B">
        <w:t>Highgate</w:t>
      </w:r>
      <w:proofErr w:type="spellEnd"/>
      <w:r w:rsidR="007F352B" w:rsidRPr="007F352B">
        <w:t>, a black teacher, spoke of her work as “hastening the equalization of political and social recognition of manhood irrespective of color.”</w:t>
      </w:r>
      <w:r w:rsidR="00951C7B" w:rsidRPr="002F741E">
        <w:rPr>
          <w:rStyle w:val="FootnoteReference"/>
        </w:rPr>
        <w:footnoteReference w:id="51"/>
      </w:r>
      <w:r w:rsidR="00582BB1" w:rsidRPr="002F741E">
        <w:t xml:space="preserve"> Speaking in similarly political language, </w:t>
      </w:r>
      <w:r w:rsidR="007209B2" w:rsidRPr="002F741E">
        <w:t xml:space="preserve">Robert Martin expected that education of the </w:t>
      </w:r>
      <w:proofErr w:type="spellStart"/>
      <w:r w:rsidR="007209B2" w:rsidRPr="002F741E">
        <w:t>Freepeople</w:t>
      </w:r>
      <w:proofErr w:type="spellEnd"/>
      <w:r w:rsidR="007209B2" w:rsidRPr="002F741E">
        <w:t xml:space="preserve"> would prepare them “for the duties that seem to await us,” and Robert Harris understood that teaching the free and freed “promises so </w:t>
      </w:r>
      <w:r w:rsidR="007209B2" w:rsidRPr="002F741E">
        <w:lastRenderedPageBreak/>
        <w:t>much for the elevation of our race and the good of the State.”</w:t>
      </w:r>
      <w:r w:rsidR="0073737F" w:rsidRPr="002F741E">
        <w:rPr>
          <w:rStyle w:val="FootnoteReference"/>
        </w:rPr>
        <w:footnoteReference w:id="52"/>
      </w:r>
      <w:r w:rsidR="000F7DF3" w:rsidRPr="002F741E">
        <w:t xml:space="preserve"> For black teachers and in turn their pupils, education was intended to secure emancipation and conscript them into the political family of citizenship to which they had previously been denied.</w:t>
      </w:r>
      <w:r w:rsidR="000F7DF3" w:rsidRPr="002F741E">
        <w:rPr>
          <w:rStyle w:val="FootnoteReference"/>
        </w:rPr>
        <w:footnoteReference w:id="53"/>
      </w:r>
    </w:p>
    <w:p w14:paraId="410A0975" w14:textId="77777777" w:rsidR="00770A8C" w:rsidRDefault="00E022C0" w:rsidP="006E3594">
      <w:pPr>
        <w:spacing w:line="480" w:lineRule="auto"/>
        <w:ind w:firstLine="720"/>
      </w:pPr>
      <w:r w:rsidRPr="002F741E">
        <w:t>“‘Freedom,’ said a black minister, ‘burned in the black hear</w:t>
      </w:r>
      <w:r w:rsidR="005A12F1" w:rsidRPr="002F741E">
        <w:t>t</w:t>
      </w:r>
      <w:r w:rsidR="00235DE4">
        <w:t xml:space="preserve"> long before freedom was born,</w:t>
      </w:r>
      <w:r w:rsidRPr="002F741E">
        <w:t>”</w:t>
      </w:r>
      <w:r w:rsidR="00235DE4">
        <w:rPr>
          <w:rStyle w:val="FootnoteReference"/>
        </w:rPr>
        <w:footnoteReference w:id="54"/>
      </w:r>
      <w:r w:rsidR="008E3240">
        <w:t xml:space="preserve"> and </w:t>
      </w:r>
      <w:r w:rsidR="00964683">
        <w:t>the antislavery tradition of educational self-help</w:t>
      </w:r>
      <w:r w:rsidR="00CF5140">
        <w:t xml:space="preserve"> in African American communities</w:t>
      </w:r>
      <w:r w:rsidR="00964683">
        <w:t xml:space="preserve"> </w:t>
      </w:r>
      <w:r w:rsidR="00CF5140">
        <w:t xml:space="preserve">was the actualization of </w:t>
      </w:r>
      <w:r w:rsidR="00972F66">
        <w:t xml:space="preserve">a </w:t>
      </w:r>
      <w:r w:rsidR="00CF5140">
        <w:t xml:space="preserve">thick </w:t>
      </w:r>
      <w:r w:rsidR="008E3240">
        <w:t>freedom</w:t>
      </w:r>
      <w:r w:rsidR="0045270A">
        <w:t xml:space="preserve"> of Jeffersonian </w:t>
      </w:r>
      <w:r w:rsidR="0054448D">
        <w:t>pedigree</w:t>
      </w:r>
      <w:r w:rsidR="008E3240">
        <w:t>.</w:t>
      </w:r>
      <w:r w:rsidR="006E3594">
        <w:t xml:space="preserve"> </w:t>
      </w:r>
      <w:r w:rsidR="0054448D">
        <w:t>Perhaps in recognition of the commodious possibilities of freedom, m</w:t>
      </w:r>
      <w:r w:rsidR="001127FB" w:rsidRPr="002F741E">
        <w:t>any Southern whites assumed that freed blacks were unprepared for the solemn responsibilities of freedom and self-governance.</w:t>
      </w:r>
      <w:r w:rsidR="00D46E6E" w:rsidRPr="002F741E">
        <w:rPr>
          <w:rStyle w:val="FootnoteReference"/>
        </w:rPr>
        <w:footnoteReference w:id="55"/>
      </w:r>
      <w:r w:rsidR="00ED6B54" w:rsidRPr="002F741E">
        <w:t xml:space="preserve"> </w:t>
      </w:r>
      <w:r w:rsidR="00574E0F">
        <w:t>But it was precisely the socio</w:t>
      </w:r>
      <w:r w:rsidR="006438AF" w:rsidRPr="002F741E">
        <w:t xml:space="preserve">political arrangement of slavery that gave shape to the </w:t>
      </w:r>
      <w:proofErr w:type="spellStart"/>
      <w:r w:rsidR="006438AF" w:rsidRPr="002F741E">
        <w:t>Freepeople’s</w:t>
      </w:r>
      <w:proofErr w:type="spellEnd"/>
      <w:r w:rsidR="006438AF" w:rsidRPr="002F741E">
        <w:t xml:space="preserve"> sense of constitutional personhood. </w:t>
      </w:r>
      <w:r w:rsidR="00574E0F">
        <w:t>For in bondage the perspicacious slave</w:t>
      </w:r>
      <w:r w:rsidR="00BF3209" w:rsidRPr="002F741E">
        <w:t xml:space="preserve"> observ</w:t>
      </w:r>
      <w:r w:rsidR="00574E0F">
        <w:t>ed</w:t>
      </w:r>
      <w:r w:rsidR="00BF3209" w:rsidRPr="002F741E">
        <w:t xml:space="preserve"> that power in </w:t>
      </w:r>
      <w:r w:rsidR="00BF3209" w:rsidRPr="002F741E">
        <w:lastRenderedPageBreak/>
        <w:t>southern society was associated with literacy</w:t>
      </w:r>
      <w:bookmarkStart w:id="15" w:name="_Ref291714630"/>
      <w:r w:rsidR="00D717B2" w:rsidRPr="002F741E">
        <w:rPr>
          <w:rStyle w:val="FootnoteReference"/>
        </w:rPr>
        <w:footnoteReference w:id="56"/>
      </w:r>
      <w:bookmarkEnd w:id="15"/>
      <w:r w:rsidR="00BF3209" w:rsidRPr="002F741E">
        <w:t>; an educated class of wealthy whites monopolized this power.</w:t>
      </w:r>
      <w:r w:rsidR="00BF3209" w:rsidRPr="002F741E">
        <w:rPr>
          <w:rStyle w:val="FootnoteReference"/>
        </w:rPr>
        <w:footnoteReference w:id="57"/>
      </w:r>
      <w:r w:rsidR="006A00C1" w:rsidRPr="002F741E">
        <w:t xml:space="preserve"> </w:t>
      </w:r>
    </w:p>
    <w:p w14:paraId="39199716" w14:textId="77777777" w:rsidR="00CF2828" w:rsidRDefault="00770A8C" w:rsidP="00CF2828">
      <w:pPr>
        <w:spacing w:line="480" w:lineRule="auto"/>
        <w:ind w:firstLine="720"/>
      </w:pPr>
      <w:r>
        <w:t>T</w:t>
      </w:r>
      <w:r w:rsidR="00753B2C" w:rsidRPr="002F741E">
        <w:t xml:space="preserve">he </w:t>
      </w:r>
      <w:proofErr w:type="spellStart"/>
      <w:r w:rsidR="00753B2C" w:rsidRPr="002F741E">
        <w:t>Freepeople’s</w:t>
      </w:r>
      <w:proofErr w:type="spellEnd"/>
      <w:r w:rsidR="00753B2C" w:rsidRPr="002F741E">
        <w:t xml:space="preserve"> understanding of literacy as </w:t>
      </w:r>
      <w:r>
        <w:t xml:space="preserve">a particular </w:t>
      </w:r>
      <w:r w:rsidR="00753B2C" w:rsidRPr="002F741E">
        <w:t xml:space="preserve">expression of freedom </w:t>
      </w:r>
      <w:r w:rsidR="00A3654E" w:rsidRPr="002F741E">
        <w:t>was</w:t>
      </w:r>
      <w:r w:rsidR="00753B2C" w:rsidRPr="002F741E">
        <w:t xml:space="preserve"> </w:t>
      </w:r>
      <w:r w:rsidR="00CB26E1" w:rsidRPr="002F741E">
        <w:t xml:space="preserve">an autochthonous consolidation of their political </w:t>
      </w:r>
      <w:r w:rsidR="00E168DC">
        <w:t>imagination</w:t>
      </w:r>
      <w:r w:rsidR="00CB26E1" w:rsidRPr="002F741E">
        <w:t>.</w:t>
      </w:r>
      <w:r w:rsidR="00753B2C" w:rsidRPr="002F741E">
        <w:t xml:space="preserve"> </w:t>
      </w:r>
      <w:r w:rsidR="005A12F1" w:rsidRPr="002F741E">
        <w:t>“Emerging from their bondage, the negroes in the very beginning manifested the utmost eagerness for instruction, . . .”</w:t>
      </w:r>
      <w:r>
        <w:rPr>
          <w:rStyle w:val="FootnoteReference"/>
        </w:rPr>
        <w:footnoteReference w:id="58"/>
      </w:r>
      <w:r w:rsidR="005A12F1" w:rsidRPr="002F741E">
        <w:rPr>
          <w:smallCaps/>
        </w:rPr>
        <w:t xml:space="preserve"> </w:t>
      </w:r>
      <w:r w:rsidR="00CF2828">
        <w:t xml:space="preserve">But the </w:t>
      </w:r>
      <w:proofErr w:type="spellStart"/>
      <w:r w:rsidR="00CF2828">
        <w:t>post</w:t>
      </w:r>
      <w:r w:rsidR="002E2B50" w:rsidRPr="002F741E">
        <w:t>bellum</w:t>
      </w:r>
      <w:proofErr w:type="spellEnd"/>
      <w:r w:rsidR="002E2B50" w:rsidRPr="002F741E">
        <w:t xml:space="preserve"> yearning of the </w:t>
      </w:r>
      <w:proofErr w:type="spellStart"/>
      <w:r w:rsidR="00B954A7" w:rsidRPr="002F741E">
        <w:t>Freepeople</w:t>
      </w:r>
      <w:proofErr w:type="spellEnd"/>
      <w:r w:rsidR="002E2B50" w:rsidRPr="002F741E">
        <w:t xml:space="preserve"> for knowledge through literacy, was prefigured in the hopes, aspirations, and transgressions of enslaved blacks </w:t>
      </w:r>
      <w:r w:rsidR="00CF2828">
        <w:t xml:space="preserve">long </w:t>
      </w:r>
      <w:r w:rsidR="002E2B50" w:rsidRPr="002F741E">
        <w:t>before the War.</w:t>
      </w:r>
      <w:r w:rsidR="00CF2828">
        <w:t xml:space="preserve"> “I was a slave,” wrote Thomas Jones.</w:t>
      </w:r>
      <w:r w:rsidR="00CF2828" w:rsidRPr="002F741E">
        <w:t xml:space="preserve"> </w:t>
      </w:r>
    </w:p>
    <w:p w14:paraId="25C5E8B5" w14:textId="77777777" w:rsidR="0016299C" w:rsidRPr="002F741E" w:rsidRDefault="00CF2828" w:rsidP="00D06775">
      <w:pPr>
        <w:spacing w:after="240"/>
        <w:ind w:left="720" w:right="720"/>
      </w:pPr>
      <w:r w:rsidRPr="002F741E">
        <w:t>I knew that the whole community was in league to keep the poor slave in ignorance and chains. Yet I longed to be free, and to be able to move the minds of other men by my thoughts. It seemed to me now, that, if I could learn to read and write, this learning might—nay, I really thought it would, point out to me the way to freedom, influence, and real, secure happiness.</w:t>
      </w:r>
      <w:r w:rsidRPr="002F741E">
        <w:rPr>
          <w:rStyle w:val="FootnoteReference"/>
        </w:rPr>
        <w:footnoteReference w:id="59"/>
      </w:r>
    </w:p>
    <w:p w14:paraId="347D26B2" w14:textId="77777777" w:rsidR="00387F63" w:rsidRDefault="00866280" w:rsidP="002F741E">
      <w:pPr>
        <w:spacing w:line="480" w:lineRule="auto"/>
      </w:pPr>
      <w:r w:rsidRPr="002F741E">
        <w:t>“</w:t>
      </w:r>
      <w:proofErr w:type="spellStart"/>
      <w:r w:rsidRPr="002F741E">
        <w:t>Da</w:t>
      </w:r>
      <w:r w:rsidR="005E3F96">
        <w:t>t</w:t>
      </w:r>
      <w:proofErr w:type="spellEnd"/>
      <w:r w:rsidRPr="002F741E">
        <w:t xml:space="preserve"> is one thing </w:t>
      </w:r>
      <w:r>
        <w:t>I surely do want to do,” asserted</w:t>
      </w:r>
      <w:r w:rsidRPr="002F741E">
        <w:t xml:space="preserve"> Mary Ella </w:t>
      </w:r>
      <w:proofErr w:type="spellStart"/>
      <w:r w:rsidRPr="002F741E">
        <w:t>Grandberry</w:t>
      </w:r>
      <w:proofErr w:type="spellEnd"/>
      <w:r w:rsidRPr="002F741E">
        <w:t xml:space="preserve">, “and </w:t>
      </w:r>
      <w:proofErr w:type="spellStart"/>
      <w:r w:rsidRPr="002F741E">
        <w:t>dat</w:t>
      </w:r>
      <w:proofErr w:type="spellEnd"/>
      <w:r w:rsidRPr="002F741E">
        <w:t xml:space="preserve"> was to learn to read and write.”</w:t>
      </w:r>
      <w:bookmarkStart w:id="16" w:name="_Ref291714769"/>
      <w:r w:rsidRPr="002F741E">
        <w:rPr>
          <w:rStyle w:val="FootnoteReference"/>
        </w:rPr>
        <w:footnoteReference w:id="60"/>
      </w:r>
      <w:bookmarkEnd w:id="16"/>
      <w:r w:rsidR="0007544A">
        <w:t xml:space="preserve"> Henry </w:t>
      </w:r>
      <w:proofErr w:type="spellStart"/>
      <w:r w:rsidR="0007544A">
        <w:t>Moorehood</w:t>
      </w:r>
      <w:proofErr w:type="spellEnd"/>
      <w:r w:rsidR="0007544A">
        <w:t xml:space="preserve"> note</w:t>
      </w:r>
      <w:r w:rsidR="00E44CE7">
        <w:t>d</w:t>
      </w:r>
      <w:r w:rsidR="0007544A">
        <w:t>:</w:t>
      </w:r>
      <w:r w:rsidR="0007544A" w:rsidRPr="002F741E">
        <w:t xml:space="preserve"> “The time is now, when the colored men being to see that it is the want of education which has kept them in bondage so long.”</w:t>
      </w:r>
      <w:bookmarkStart w:id="17" w:name="_Ref291714841"/>
      <w:r w:rsidR="0007544A">
        <w:rPr>
          <w:rStyle w:val="FootnoteReference"/>
        </w:rPr>
        <w:footnoteReference w:id="61"/>
      </w:r>
      <w:bookmarkEnd w:id="17"/>
      <w:r w:rsidR="00C257CB">
        <w:t xml:space="preserve"> “[</w:t>
      </w:r>
      <w:proofErr w:type="gramStart"/>
      <w:r w:rsidR="00C257CB">
        <w:t>W]</w:t>
      </w:r>
      <w:r w:rsidR="00C257CB" w:rsidRPr="002F741E">
        <w:t>hat</w:t>
      </w:r>
      <w:proofErr w:type="gramEnd"/>
      <w:r w:rsidR="00C257CB" w:rsidRPr="002F741E">
        <w:t xml:space="preserve"> little knowledge I have, h</w:t>
      </w:r>
      <w:r w:rsidR="00C257CB">
        <w:t>as just made me hungry for more,</w:t>
      </w:r>
      <w:r w:rsidR="00C257CB" w:rsidRPr="002F741E">
        <w:t>”</w:t>
      </w:r>
      <w:r w:rsidR="00C257CB">
        <w:t xml:space="preserve"> </w:t>
      </w:r>
      <w:r w:rsidR="0044391A">
        <w:t xml:space="preserve">declared Mrs. Henry </w:t>
      </w:r>
      <w:proofErr w:type="spellStart"/>
      <w:r w:rsidR="0044391A">
        <w:t>Gowens</w:t>
      </w:r>
      <w:proofErr w:type="spellEnd"/>
      <w:r w:rsidR="0044391A">
        <w:t xml:space="preserve">. It was her </w:t>
      </w:r>
      <w:r w:rsidR="0044391A">
        <w:lastRenderedPageBreak/>
        <w:t>own nascent knowledge that drove wanting all of her children to have a “good education.”</w:t>
      </w:r>
      <w:r w:rsidR="00D2326A">
        <w:rPr>
          <w:rStyle w:val="FootnoteReference"/>
        </w:rPr>
        <w:footnoteReference w:id="62"/>
      </w:r>
      <w:r w:rsidR="000C4BB6">
        <w:t xml:space="preserve"> Another former slave shared with </w:t>
      </w:r>
      <w:r w:rsidR="00CD2661" w:rsidRPr="002F741E">
        <w:t>journalist Octavia V. Rogers Albert</w:t>
      </w:r>
      <w:r w:rsidR="000C4BB6">
        <w:t>, herself a former slave,</w:t>
      </w:r>
      <w:r w:rsidR="00CD2661" w:rsidRPr="002F741E">
        <w:t xml:space="preserve"> </w:t>
      </w:r>
      <w:r w:rsidR="000C4BB6">
        <w:t>the urgency she felt in learning to cipher:</w:t>
      </w:r>
      <w:r w:rsidR="00CD2661" w:rsidRPr="002F741E">
        <w:t xml:space="preserve"> “It is true that slaves were not permitted to learn how to read; but I was determined to learn if it was any way possible to do so.”</w:t>
      </w:r>
      <w:bookmarkStart w:id="18" w:name="_Ref291616864"/>
      <w:r w:rsidR="000C4BB6">
        <w:rPr>
          <w:rStyle w:val="FootnoteReference"/>
        </w:rPr>
        <w:footnoteReference w:id="63"/>
      </w:r>
      <w:bookmarkEnd w:id="18"/>
      <w:r w:rsidR="00CD2661" w:rsidRPr="002F741E">
        <w:t xml:space="preserve"> </w:t>
      </w:r>
    </w:p>
    <w:p w14:paraId="40424452" w14:textId="77777777" w:rsidR="00B05D45" w:rsidRPr="002F741E" w:rsidRDefault="00B05D45" w:rsidP="002F741E">
      <w:pPr>
        <w:spacing w:line="480" w:lineRule="auto"/>
      </w:pPr>
    </w:p>
    <w:p w14:paraId="4943C678" w14:textId="77777777" w:rsidR="001774D6" w:rsidRPr="00FB10D1" w:rsidRDefault="000154C6" w:rsidP="00B05D45">
      <w:pPr>
        <w:pStyle w:val="ListParagraph"/>
        <w:numPr>
          <w:ilvl w:val="1"/>
          <w:numId w:val="10"/>
        </w:numPr>
        <w:spacing w:line="480" w:lineRule="auto"/>
        <w:rPr>
          <w:i/>
          <w:iCs/>
          <w:smallCaps/>
        </w:rPr>
      </w:pPr>
      <w:r w:rsidRPr="00FB10D1">
        <w:rPr>
          <w:i/>
          <w:iCs/>
          <w:smallCaps/>
        </w:rPr>
        <w:t>The Black Political Imagination</w:t>
      </w:r>
    </w:p>
    <w:p w14:paraId="4821CAC7" w14:textId="2FCACB91" w:rsidR="009567BC" w:rsidRDefault="00831673" w:rsidP="007D061D">
      <w:pPr>
        <w:spacing w:line="480" w:lineRule="auto"/>
        <w:ind w:firstLine="720"/>
      </w:pPr>
      <w:r>
        <w:t>Almost without exception, slaves were de jure prohibited from learning to read and write.</w:t>
      </w:r>
      <w:bookmarkStart w:id="19" w:name="_Ref291537796"/>
      <w:r w:rsidR="00972ED9" w:rsidRPr="002F741E">
        <w:rPr>
          <w:rStyle w:val="FootnoteReference"/>
        </w:rPr>
        <w:footnoteReference w:id="64"/>
      </w:r>
      <w:bookmarkEnd w:id="19"/>
      <w:r w:rsidR="00972ED9">
        <w:t xml:space="preserve"> </w:t>
      </w:r>
      <w:r w:rsidR="000D71B7">
        <w:t>There were examples of slave owners</w:t>
      </w:r>
      <w:r w:rsidR="0024518D">
        <w:t xml:space="preserve"> </w:t>
      </w:r>
      <w:r w:rsidR="000D71B7">
        <w:t xml:space="preserve">who taught their </w:t>
      </w:r>
      <w:r w:rsidR="00247D6A">
        <w:t>slaves</w:t>
      </w:r>
      <w:r w:rsidR="000D71B7">
        <w:t xml:space="preserve"> to read or do arithmetic for religious purposes or personal gain,</w:t>
      </w:r>
      <w:r w:rsidR="006408BB">
        <w:rPr>
          <w:rStyle w:val="FootnoteReference"/>
        </w:rPr>
        <w:footnoteReference w:id="65"/>
      </w:r>
      <w:r w:rsidR="000D71B7">
        <w:t xml:space="preserve"> but for most slaves, their sole educa</w:t>
      </w:r>
      <w:r w:rsidR="00247D6A">
        <w:t xml:space="preserve">tion was in </w:t>
      </w:r>
      <w:r w:rsidR="006408BB">
        <w:t>subordination.</w:t>
      </w:r>
      <w:r w:rsidR="000D71B7">
        <w:t xml:space="preserve"> </w:t>
      </w:r>
      <w:r w:rsidR="00E946FA">
        <w:t>“[</w:t>
      </w:r>
      <w:proofErr w:type="gramStart"/>
      <w:r w:rsidR="00E946FA">
        <w:t>W]</w:t>
      </w:r>
      <w:proofErr w:type="spellStart"/>
      <w:r w:rsidR="00E946FA">
        <w:t>hite</w:t>
      </w:r>
      <w:proofErr w:type="spellEnd"/>
      <w:proofErr w:type="gramEnd"/>
      <w:r w:rsidR="00E946FA">
        <w:t xml:space="preserve"> people never teach colored people nothing, but to be good to de Master </w:t>
      </w:r>
      <w:r w:rsidR="00E946FA">
        <w:lastRenderedPageBreak/>
        <w:t xml:space="preserve">and Mistress,” acknowledged Louisa </w:t>
      </w:r>
      <w:proofErr w:type="spellStart"/>
      <w:r w:rsidR="00E946FA">
        <w:t>Gause</w:t>
      </w:r>
      <w:proofErr w:type="spellEnd"/>
      <w:r w:rsidR="00E946FA">
        <w:t>, a slave from North Carolina.</w:t>
      </w:r>
      <w:bookmarkStart w:id="20" w:name="_Ref291600379"/>
      <w:r w:rsidR="00E946FA">
        <w:rPr>
          <w:rStyle w:val="FootnoteReference"/>
        </w:rPr>
        <w:footnoteReference w:id="66"/>
      </w:r>
      <w:bookmarkEnd w:id="20"/>
      <w:r w:rsidR="00DA59FE">
        <w:t xml:space="preserve"> A small percentage of slaves, however, managed through “ingenuity and will” to acquire rudimentary ciphering skills; as </w:t>
      </w:r>
      <w:proofErr w:type="spellStart"/>
      <w:r w:rsidR="00DA59FE">
        <w:t>Gause</w:t>
      </w:r>
      <w:proofErr w:type="spellEnd"/>
      <w:r w:rsidR="00DA59FE">
        <w:t xml:space="preserve"> phrased it: “What learning </w:t>
      </w:r>
      <w:proofErr w:type="spellStart"/>
      <w:r w:rsidR="00DA59FE">
        <w:t>dey</w:t>
      </w:r>
      <w:proofErr w:type="spellEnd"/>
      <w:r w:rsidR="00DA59FE">
        <w:t xml:space="preserve"> would get in </w:t>
      </w:r>
      <w:proofErr w:type="spellStart"/>
      <w:r w:rsidR="00DA59FE">
        <w:t>dem</w:t>
      </w:r>
      <w:proofErr w:type="spellEnd"/>
      <w:r w:rsidR="00DA59FE">
        <w:t xml:space="preserve"> days, day been get it at night. Taught </w:t>
      </w:r>
      <w:proofErr w:type="spellStart"/>
      <w:r w:rsidR="00DA59FE">
        <w:t>demselves</w:t>
      </w:r>
      <w:proofErr w:type="spellEnd"/>
      <w:r w:rsidR="00DA59FE">
        <w:t>.”</w:t>
      </w:r>
      <w:bookmarkStart w:id="21" w:name="_Ref291600383"/>
      <w:r w:rsidR="00DA59FE">
        <w:rPr>
          <w:rStyle w:val="FootnoteReference"/>
        </w:rPr>
        <w:footnoteReference w:id="67"/>
      </w:r>
      <w:bookmarkEnd w:id="21"/>
      <w:r w:rsidR="00DA59FE">
        <w:t xml:space="preserve"> </w:t>
      </w:r>
      <w:r w:rsidR="00E15198">
        <w:t xml:space="preserve">Placing </w:t>
      </w:r>
      <w:proofErr w:type="spellStart"/>
      <w:r w:rsidR="00E15198">
        <w:t>antiliteracy</w:t>
      </w:r>
      <w:proofErr w:type="spellEnd"/>
      <w:r w:rsidR="00E15198">
        <w:t xml:space="preserve"> laws in dialog with the </w:t>
      </w:r>
      <w:r w:rsidR="005A7E47">
        <w:t xml:space="preserve">experience </w:t>
      </w:r>
      <w:r w:rsidR="0024518D">
        <w:t xml:space="preserve">of </w:t>
      </w:r>
      <w:proofErr w:type="spellStart"/>
      <w:r w:rsidR="00E15198">
        <w:t>Gaus</w:t>
      </w:r>
      <w:r w:rsidR="00EC4AFC">
        <w:t>e</w:t>
      </w:r>
      <w:proofErr w:type="spellEnd"/>
      <w:r w:rsidR="00E15198">
        <w:t xml:space="preserve"> and her brothers and sisters in bondage highlights the mischief slave literacy provoked between the owned and owner.</w:t>
      </w:r>
      <w:r w:rsidR="00E15198">
        <w:rPr>
          <w:rStyle w:val="FootnoteReference"/>
        </w:rPr>
        <w:footnoteReference w:id="68"/>
      </w:r>
      <w:r w:rsidR="00E15198">
        <w:t xml:space="preserve"> </w:t>
      </w:r>
      <w:r w:rsidR="00AB7728">
        <w:t>The ambition to be self taught</w:t>
      </w:r>
      <w:r w:rsidR="00DA59FE">
        <w:t xml:space="preserve"> </w:t>
      </w:r>
      <w:r w:rsidR="00E15198">
        <w:t xml:space="preserve">necessarily </w:t>
      </w:r>
      <w:r w:rsidR="00AB7728">
        <w:t xml:space="preserve">unfolded surreptitiously, </w:t>
      </w:r>
      <w:r w:rsidR="00E15198">
        <w:t xml:space="preserve">because learning to read </w:t>
      </w:r>
      <w:r w:rsidR="00581E74">
        <w:t>provided to the un-free the ability to imagine a world of moral self-determination and political freedom.</w:t>
      </w:r>
      <w:r w:rsidR="007D061D">
        <w:t xml:space="preserve"> </w:t>
      </w:r>
      <w:r w:rsidR="00601FD4" w:rsidRPr="002F741E">
        <w:t>“</w:t>
      </w:r>
      <w:r w:rsidR="00B05D45">
        <w:t xml:space="preserve">The alphabet is an abolitionist,” declared </w:t>
      </w:r>
      <w:r w:rsidR="00B05D45">
        <w:rPr>
          <w:i/>
        </w:rPr>
        <w:t>Harper’s Weekly</w:t>
      </w:r>
      <w:r w:rsidR="00B05D45">
        <w:t>.</w:t>
      </w:r>
      <w:r w:rsidR="00601FD4" w:rsidRPr="002F741E">
        <w:t xml:space="preserve"> </w:t>
      </w:r>
    </w:p>
    <w:p w14:paraId="536CFE52" w14:textId="77777777" w:rsidR="009C14D4" w:rsidRDefault="00601FD4" w:rsidP="00BD1342">
      <w:pPr>
        <w:ind w:left="720" w:right="720"/>
      </w:pPr>
      <w:r w:rsidRPr="002F741E">
        <w:t>If you would keep a people enslaved, refused</w:t>
      </w:r>
      <w:r w:rsidR="00D14110">
        <w:t>??</w:t>
      </w:r>
      <w:r w:rsidRPr="002F741E">
        <w:t xml:space="preserve"> </w:t>
      </w:r>
      <w:proofErr w:type="gramStart"/>
      <w:r w:rsidRPr="002F741E">
        <w:t>to</w:t>
      </w:r>
      <w:proofErr w:type="gramEnd"/>
      <w:r w:rsidRPr="002F741E">
        <w:t xml:space="preserve"> teach them to read. . . . The despotic spirit which instinctively disliked free schools also sought to exclude books and newspapers except for the </w:t>
      </w:r>
      <w:proofErr w:type="gramStart"/>
      <w:r w:rsidRPr="002F741E">
        <w:t>aristocracy.</w:t>
      </w:r>
      <w:proofErr w:type="gramEnd"/>
      <w:r w:rsidRPr="002F741E">
        <w:t xml:space="preserve"> . . . It struck also at the tongue. It abhorred free speech. It knew that knowledge is power, and it trembled.</w:t>
      </w:r>
      <w:r w:rsidRPr="002F741E">
        <w:rPr>
          <w:rStyle w:val="FootnoteReference"/>
        </w:rPr>
        <w:footnoteReference w:id="69"/>
      </w:r>
      <w:r w:rsidR="00BD1342">
        <w:br/>
      </w:r>
    </w:p>
    <w:p w14:paraId="17657B50" w14:textId="77777777" w:rsidR="00F15B51" w:rsidRPr="002F741E" w:rsidRDefault="00A05C04" w:rsidP="008E136B">
      <w:pPr>
        <w:spacing w:line="480" w:lineRule="auto"/>
        <w:ind w:right="720" w:firstLine="720"/>
      </w:pPr>
      <w:proofErr w:type="spellStart"/>
      <w:r>
        <w:t>Gaus</w:t>
      </w:r>
      <w:r w:rsidR="00EC4AFC">
        <w:t>e</w:t>
      </w:r>
      <w:r>
        <w:t>’</w:t>
      </w:r>
      <w:r w:rsidR="006E2926">
        <w:t>s</w:t>
      </w:r>
      <w:proofErr w:type="spellEnd"/>
      <w:r>
        <w:t xml:space="preserve"> observation also </w:t>
      </w:r>
      <w:r w:rsidR="00743EC2">
        <w:t xml:space="preserve">demonstrates </w:t>
      </w:r>
      <w:r>
        <w:t xml:space="preserve">that the states’ </w:t>
      </w:r>
      <w:proofErr w:type="spellStart"/>
      <w:r>
        <w:t>antiliteracy</w:t>
      </w:r>
      <w:proofErr w:type="spellEnd"/>
      <w:r>
        <w:t xml:space="preserve"> acts were part and parcel to a broader scheme of surveillance and subordination</w:t>
      </w:r>
      <w:r w:rsidR="00743EC2">
        <w:t>.</w:t>
      </w:r>
      <w:r w:rsidR="00264883">
        <w:t xml:space="preserve"> </w:t>
      </w:r>
      <w:r w:rsidR="00BD1342">
        <w:t xml:space="preserve">Slaves who endeavored to learn understood the stakes and </w:t>
      </w:r>
      <w:r w:rsidR="009E6E60">
        <w:t>adopted</w:t>
      </w:r>
      <w:r w:rsidR="00FA2B60">
        <w:t xml:space="preserve"> clandestine pra</w:t>
      </w:r>
      <w:r w:rsidR="009E6E60">
        <w:t>ctices of learning and mastered</w:t>
      </w:r>
      <w:r w:rsidR="00BD1342">
        <w:t xml:space="preserve"> the art of dissembling.</w:t>
      </w:r>
      <w:bookmarkStart w:id="22" w:name="_Ref291600109"/>
      <w:r w:rsidR="004900DA">
        <w:rPr>
          <w:rStyle w:val="FootnoteReference"/>
        </w:rPr>
        <w:footnoteReference w:id="70"/>
      </w:r>
      <w:bookmarkEnd w:id="22"/>
      <w:r w:rsidR="000776CD">
        <w:t xml:space="preserve"> </w:t>
      </w:r>
      <w:r w:rsidR="00CE2192">
        <w:t xml:space="preserve">Alice Green recalled how her mother, a cook at the “big house,” </w:t>
      </w:r>
      <w:r w:rsidR="00CE2192">
        <w:lastRenderedPageBreak/>
        <w:t>learned to read and write by asking the white kids returning from school “to</w:t>
      </w:r>
      <w:r w:rsidR="00F23D60" w:rsidRPr="002F741E">
        <w:t xml:space="preserve"> show her how to read a little book what she carried ‘round her bosom all de time, and to tell her de other things </w:t>
      </w:r>
      <w:proofErr w:type="spellStart"/>
      <w:r w:rsidR="00F23D60" w:rsidRPr="002F741E">
        <w:t>dey</w:t>
      </w:r>
      <w:proofErr w:type="spellEnd"/>
      <w:r w:rsidR="00F23D60" w:rsidRPr="002F741E">
        <w:t xml:space="preserve"> had </w:t>
      </w:r>
      <w:proofErr w:type="spellStart"/>
      <w:r w:rsidR="00F23D60" w:rsidRPr="002F741E">
        <w:t>larn’t</w:t>
      </w:r>
      <w:proofErr w:type="spellEnd"/>
      <w:r w:rsidR="00F23D60" w:rsidRPr="002F741E">
        <w:t xml:space="preserve"> in school </w:t>
      </w:r>
      <w:proofErr w:type="spellStart"/>
      <w:r w:rsidR="00F23D60" w:rsidRPr="002F741E">
        <w:t>dat</w:t>
      </w:r>
      <w:proofErr w:type="spellEnd"/>
      <w:r w:rsidR="00F23D60" w:rsidRPr="002F741E">
        <w:t xml:space="preserve"> </w:t>
      </w:r>
      <w:proofErr w:type="gramStart"/>
      <w:r w:rsidR="00F23D60" w:rsidRPr="002F741E">
        <w:t>day.</w:t>
      </w:r>
      <w:proofErr w:type="gramEnd"/>
      <w:r w:rsidR="00F23D60" w:rsidRPr="002F741E">
        <w:t xml:space="preserve"> </w:t>
      </w:r>
      <w:r w:rsidR="00CE2192">
        <w:t>. . .</w:t>
      </w:r>
      <w:r w:rsidR="00F23D60" w:rsidRPr="002F741E">
        <w:t xml:space="preserve"> </w:t>
      </w:r>
      <w:r w:rsidR="00CE2192">
        <w:t>[</w:t>
      </w:r>
      <w:proofErr w:type="gramStart"/>
      <w:r w:rsidR="00CE2192">
        <w:t>A]</w:t>
      </w:r>
      <w:proofErr w:type="spellStart"/>
      <w:r w:rsidR="00F23D60" w:rsidRPr="002F741E">
        <w:t>tter</w:t>
      </w:r>
      <w:proofErr w:type="spellEnd"/>
      <w:proofErr w:type="gramEnd"/>
      <w:r w:rsidR="00F23D60" w:rsidRPr="002F741E">
        <w:t xml:space="preserve"> de War was over Mammy </w:t>
      </w:r>
      <w:proofErr w:type="spellStart"/>
      <w:r w:rsidR="00F23D60" w:rsidRPr="002F741E">
        <w:t>teached</w:t>
      </w:r>
      <w:proofErr w:type="spellEnd"/>
      <w:r w:rsidR="00F23D60" w:rsidRPr="002F741E">
        <w:t xml:space="preserve"> school . . . .”</w:t>
      </w:r>
      <w:r w:rsidR="00CE2192">
        <w:rPr>
          <w:rStyle w:val="FootnoteReference"/>
        </w:rPr>
        <w:footnoteReference w:id="71"/>
      </w:r>
      <w:r w:rsidR="00F23D60" w:rsidRPr="002F741E">
        <w:t xml:space="preserve"> </w:t>
      </w:r>
      <w:r w:rsidR="00DF7C36">
        <w:t>Seeking literacy was often dangerous. Tom Hawkins relayed</w:t>
      </w:r>
      <w:r w:rsidR="00AE4ABE">
        <w:t xml:space="preserve">, </w:t>
      </w:r>
      <w:r w:rsidR="00AE4ABE" w:rsidRPr="002F741E">
        <w:t>“</w:t>
      </w:r>
      <w:proofErr w:type="spellStart"/>
      <w:r w:rsidR="00AE4ABE" w:rsidRPr="002F741E">
        <w:t>Dere</w:t>
      </w:r>
      <w:proofErr w:type="spellEnd"/>
      <w:r w:rsidR="00AE4ABE" w:rsidRPr="002F741E">
        <w:t xml:space="preserve"> </w:t>
      </w:r>
      <w:proofErr w:type="spellStart"/>
      <w:r w:rsidR="00AE4ABE" w:rsidRPr="002F741E">
        <w:t>warn’t</w:t>
      </w:r>
      <w:proofErr w:type="spellEnd"/>
      <w:r w:rsidR="00AE4ABE" w:rsidRPr="002F741E">
        <w:t xml:space="preserve"> no schools </w:t>
      </w:r>
      <w:proofErr w:type="spellStart"/>
      <w:r w:rsidR="00AE4ABE" w:rsidRPr="002F741E">
        <w:t>whar</w:t>
      </w:r>
      <w:proofErr w:type="spellEnd"/>
      <w:r w:rsidR="00AE4ABE" w:rsidRPr="002F741E">
        <w:t xml:space="preserve"> slaves could </w:t>
      </w:r>
      <w:proofErr w:type="spellStart"/>
      <w:r w:rsidR="00AE4ABE" w:rsidRPr="002F741E">
        <w:t>git</w:t>
      </w:r>
      <w:proofErr w:type="spellEnd"/>
      <w:r w:rsidR="00AE4ABE" w:rsidRPr="002F741E">
        <w:t xml:space="preserve"> book </w:t>
      </w:r>
      <w:proofErr w:type="spellStart"/>
      <w:r w:rsidR="00AE4ABE" w:rsidRPr="002F741E">
        <w:t>larnin</w:t>
      </w:r>
      <w:proofErr w:type="spellEnd"/>
      <w:r w:rsidR="00AE4ABE" w:rsidRPr="002F741E">
        <w:t xml:space="preserve">’ in </w:t>
      </w:r>
      <w:proofErr w:type="spellStart"/>
      <w:r w:rsidR="00AE4ABE" w:rsidRPr="002F741E">
        <w:t>dem</w:t>
      </w:r>
      <w:proofErr w:type="spellEnd"/>
      <w:r w:rsidR="00AE4ABE" w:rsidRPr="002F741E">
        <w:t xml:space="preserve"> days. </w:t>
      </w:r>
      <w:proofErr w:type="spellStart"/>
      <w:r w:rsidR="00AE4ABE" w:rsidRPr="002F741E">
        <w:t>Dey</w:t>
      </w:r>
      <w:proofErr w:type="spellEnd"/>
      <w:r w:rsidR="00AE4ABE" w:rsidRPr="002F741E">
        <w:t xml:space="preserve"> </w:t>
      </w:r>
      <w:proofErr w:type="spellStart"/>
      <w:r w:rsidR="00AE4ABE" w:rsidRPr="002F741E">
        <w:t>warn’t</w:t>
      </w:r>
      <w:proofErr w:type="spellEnd"/>
      <w:r w:rsidR="00AE4ABE" w:rsidRPr="002F741E">
        <w:t xml:space="preserve"> even ’lowed to read and writ</w:t>
      </w:r>
      <w:r w:rsidR="00AE4ABE">
        <w:t>e.</w:t>
      </w:r>
      <w:r w:rsidR="00355586">
        <w:t>” When his master discovered his carriage diver “</w:t>
      </w:r>
      <w:r w:rsidR="00AE4ABE" w:rsidRPr="002F741E">
        <w:t xml:space="preserve">had </w:t>
      </w:r>
      <w:proofErr w:type="spellStart"/>
      <w:r w:rsidR="00AE4ABE" w:rsidRPr="002F741E">
        <w:t>larned</w:t>
      </w:r>
      <w:proofErr w:type="spellEnd"/>
      <w:r w:rsidR="00AE4ABE" w:rsidRPr="002F741E">
        <w:t xml:space="preserve"> to read and write whilst he was </w:t>
      </w:r>
      <w:proofErr w:type="spellStart"/>
      <w:r w:rsidR="00AE4ABE" w:rsidRPr="002F741E">
        <w:t>takin</w:t>
      </w:r>
      <w:proofErr w:type="spellEnd"/>
      <w:r w:rsidR="00AE4ABE" w:rsidRPr="002F741E">
        <w:t xml:space="preserve">’ de doctor’s </w:t>
      </w:r>
      <w:proofErr w:type="spellStart"/>
      <w:r w:rsidR="00AE4ABE" w:rsidRPr="002F741E">
        <w:t>chillun</w:t>
      </w:r>
      <w:proofErr w:type="spellEnd"/>
      <w:r w:rsidR="00AE4ABE" w:rsidRPr="002F741E">
        <w:t xml:space="preserve"> to and </w:t>
      </w:r>
      <w:proofErr w:type="spellStart"/>
      <w:r w:rsidR="00AE4ABE" w:rsidRPr="002F741E">
        <w:t>f’um</w:t>
      </w:r>
      <w:proofErr w:type="spellEnd"/>
      <w:r w:rsidR="00AE4ABE" w:rsidRPr="002F741E">
        <w:t xml:space="preserve"> school, he had </w:t>
      </w:r>
      <w:proofErr w:type="spellStart"/>
      <w:r w:rsidR="00AE4ABE" w:rsidRPr="002F741E">
        <w:t>dat</w:t>
      </w:r>
      <w:proofErr w:type="spellEnd"/>
      <w:r w:rsidR="00AE4ABE" w:rsidRPr="002F741E">
        <w:t xml:space="preserve"> Niggers thumbs cut off . . </w:t>
      </w:r>
      <w:proofErr w:type="gramStart"/>
      <w:r w:rsidR="00AE4ABE" w:rsidRPr="002F741E">
        <w:t>. .</w:t>
      </w:r>
      <w:proofErr w:type="gramEnd"/>
      <w:r w:rsidR="00AE4ABE" w:rsidRPr="002F741E">
        <w:t>”</w:t>
      </w:r>
      <w:r w:rsidR="00AE4ABE">
        <w:rPr>
          <w:rStyle w:val="FootnoteReference"/>
        </w:rPr>
        <w:footnoteReference w:id="72"/>
      </w:r>
      <w:r w:rsidR="00AE4ABE" w:rsidRPr="002F741E">
        <w:t xml:space="preserve"> </w:t>
      </w:r>
      <w:r w:rsidR="008C2F62">
        <w:t xml:space="preserve">Former slave </w:t>
      </w:r>
      <w:proofErr w:type="spellStart"/>
      <w:r w:rsidR="008C2F62">
        <w:t>Ferebe</w:t>
      </w:r>
      <w:proofErr w:type="spellEnd"/>
      <w:r w:rsidR="008C2F62">
        <w:t xml:space="preserve"> Rogers was married by a slave, Enoch </w:t>
      </w:r>
      <w:proofErr w:type="spellStart"/>
      <w:r w:rsidR="008C2F62">
        <w:t>Goldern</w:t>
      </w:r>
      <w:proofErr w:type="spellEnd"/>
      <w:r w:rsidR="008C2F62">
        <w:t xml:space="preserve">, who </w:t>
      </w:r>
      <w:proofErr w:type="gramStart"/>
      <w:r w:rsidR="008C2F62">
        <w:t>spend</w:t>
      </w:r>
      <w:proofErr w:type="gramEnd"/>
      <w:r w:rsidR="008C2F62">
        <w:t xml:space="preserve"> his life</w:t>
      </w:r>
      <w:r w:rsidR="006420C7">
        <w:t xml:space="preserve"> teaching other slaves to read.</w:t>
      </w:r>
      <w:r w:rsidR="006420C7">
        <w:rPr>
          <w:rStyle w:val="FootnoteReference"/>
        </w:rPr>
        <w:footnoteReference w:id="73"/>
      </w:r>
      <w:r w:rsidR="007769E9">
        <w:t xml:space="preserve"> “On his </w:t>
      </w:r>
      <w:proofErr w:type="spellStart"/>
      <w:r w:rsidR="007769E9">
        <w:t>dyin</w:t>
      </w:r>
      <w:proofErr w:type="spellEnd"/>
      <w:r w:rsidR="007769E9">
        <w:t>’ bed he said he been de death o’ many a nigger ’cause he taught so many to read and write,” he told Rogers.</w:t>
      </w:r>
      <w:r w:rsidR="00E374F9">
        <w:rPr>
          <w:rStyle w:val="FootnoteReference"/>
        </w:rPr>
        <w:footnoteReference w:id="74"/>
      </w:r>
      <w:r w:rsidR="000F705B">
        <w:t xml:space="preserve"> On a separate occasion, a slave named Scipio was put to death for teaching a slave child to read and write; the child was </w:t>
      </w:r>
      <w:r w:rsidR="00DB152A">
        <w:t>beaten to make him “forget what he had learned.”</w:t>
      </w:r>
      <w:r w:rsidR="00A55CC2">
        <w:rPr>
          <w:rStyle w:val="FootnoteReference"/>
        </w:rPr>
        <w:footnoteReference w:id="75"/>
      </w:r>
      <w:r w:rsidR="00BD5201">
        <w:t xml:space="preserve"> Many paid a heavy price to learn to read.</w:t>
      </w:r>
      <w:r w:rsidR="00F15B51">
        <w:rPr>
          <w:rStyle w:val="FootnoteReference"/>
        </w:rPr>
        <w:footnoteReference w:id="76"/>
      </w:r>
    </w:p>
    <w:p w14:paraId="2B3878A4" w14:textId="77777777" w:rsidR="002702AC" w:rsidRDefault="00F9111F" w:rsidP="00F9111F">
      <w:pPr>
        <w:spacing w:line="480" w:lineRule="auto"/>
        <w:ind w:firstLine="720"/>
      </w:pPr>
      <w:r>
        <w:lastRenderedPageBreak/>
        <w:t>State imposed illiteracy was an attempt to impose “mental darkness.”</w:t>
      </w:r>
      <w:bookmarkStart w:id="23" w:name="_Ref291626782"/>
      <w:r>
        <w:rPr>
          <w:rStyle w:val="FootnoteReference"/>
        </w:rPr>
        <w:footnoteReference w:id="77"/>
      </w:r>
      <w:bookmarkEnd w:id="23"/>
      <w:r w:rsidR="002702AC">
        <w:t xml:space="preserve"> </w:t>
      </w:r>
    </w:p>
    <w:p w14:paraId="3078F77B" w14:textId="77777777" w:rsidR="00F9111F" w:rsidRDefault="006A337A" w:rsidP="00877ECA">
      <w:pPr>
        <w:spacing w:line="480" w:lineRule="auto"/>
        <w:ind w:right="720"/>
      </w:pPr>
      <w:r>
        <w:t>Salmon Chase, who would become the Chief Justice of the United States Supreme Court, d</w:t>
      </w:r>
      <w:r w:rsidRPr="002F741E">
        <w:t>escrib</w:t>
      </w:r>
      <w:r w:rsidR="006E2926">
        <w:t>ed</w:t>
      </w:r>
      <w:r w:rsidRPr="002F741E">
        <w:t xml:space="preserve"> the condition of th</w:t>
      </w:r>
      <w:r>
        <w:t xml:space="preserve">e </w:t>
      </w:r>
      <w:proofErr w:type="spellStart"/>
      <w:r>
        <w:t>Freepeople</w:t>
      </w:r>
      <w:proofErr w:type="spellEnd"/>
      <w:r>
        <w:t xml:space="preserve"> upon emancipation as “</w:t>
      </w:r>
      <w:r w:rsidRPr="002F741E">
        <w:t>virtually a state of serfdom,</w:t>
      </w:r>
      <w:r>
        <w:t>” under which enslaved persons had been “</w:t>
      </w:r>
      <w:r w:rsidRPr="002F741E">
        <w:t>subject to heavy legal and social disabilities; a state in which they were without civil or political rights, and with few, if any, friends in the South to advocate their elevation to the rank of citizenship, or their education into the fullness of manhood.”</w:t>
      </w:r>
      <w:r>
        <w:rPr>
          <w:rStyle w:val="FootnoteReference"/>
        </w:rPr>
        <w:footnoteReference w:id="78"/>
      </w:r>
      <w:r w:rsidRPr="002F741E">
        <w:t xml:space="preserve"> </w:t>
      </w:r>
      <w:r>
        <w:t xml:space="preserve">What Chase perhaps was not able to see, however, is that for </w:t>
      </w:r>
      <w:r w:rsidR="00D40E27">
        <w:t>blacks in bondage literacy allowed for the creation of a private life and</w:t>
      </w:r>
      <w:r w:rsidR="00EC4AFC">
        <w:t xml:space="preserve"> visions of self definition</w:t>
      </w:r>
      <w:r w:rsidR="004C7E8D">
        <w:t xml:space="preserve"> </w:t>
      </w:r>
      <w:r w:rsidR="00EC4AFC">
        <w:t xml:space="preserve">untethered from </w:t>
      </w:r>
      <w:r w:rsidR="006E2926">
        <w:t>t</w:t>
      </w:r>
      <w:r w:rsidR="004C7E8D">
        <w:t>he</w:t>
      </w:r>
      <w:r w:rsidR="006E2926">
        <w:t>i</w:t>
      </w:r>
      <w:r w:rsidR="004C7E8D">
        <w:t>r owner</w:t>
      </w:r>
      <w:r w:rsidR="00D40E27">
        <w:t>.</w:t>
      </w:r>
      <w:r w:rsidR="00D40E27">
        <w:rPr>
          <w:rStyle w:val="FootnoteReference"/>
        </w:rPr>
        <w:footnoteReference w:id="79"/>
      </w:r>
      <w:r w:rsidR="00D40E27">
        <w:t xml:space="preserve"> </w:t>
      </w:r>
      <w:r w:rsidR="0030620E">
        <w:t xml:space="preserve">For example, Mattie Jackson told the story of her mother, </w:t>
      </w:r>
      <w:r w:rsidR="00D40E27">
        <w:t xml:space="preserve">Ellen Turner, a slave from Missouri, </w:t>
      </w:r>
      <w:r w:rsidR="006E2926">
        <w:t xml:space="preserve">who </w:t>
      </w:r>
      <w:r w:rsidR="00D40E27">
        <w:t>had posted a newspaper photo of Abraham Lincoln on the wall of her room.</w:t>
      </w:r>
      <w:r w:rsidR="00D40E27">
        <w:rPr>
          <w:rStyle w:val="FootnoteReference"/>
        </w:rPr>
        <w:footnoteReference w:id="80"/>
      </w:r>
      <w:r w:rsidR="00D40E27">
        <w:t xml:space="preserve"> When the </w:t>
      </w:r>
      <w:r w:rsidR="0030620E">
        <w:t xml:space="preserve">master </w:t>
      </w:r>
      <w:r w:rsidR="00D40E27">
        <w:t>of the house found it and demanded an explanation, Turner, in a moment of de</w:t>
      </w:r>
      <w:r w:rsidR="00706216">
        <w:t>f</w:t>
      </w:r>
      <w:r w:rsidR="00D40E27">
        <w:t>iance</w:t>
      </w:r>
      <w:r w:rsidR="0030620E">
        <w:t>,</w:t>
      </w:r>
      <w:r w:rsidR="00D40E27">
        <w:t xml:space="preserve"> or</w:t>
      </w:r>
      <w:r w:rsidR="0030620E">
        <w:t>,</w:t>
      </w:r>
      <w:r w:rsidR="00FB2C93">
        <w:t xml:space="preserve"> perhaps a lapse of </w:t>
      </w:r>
      <w:r w:rsidR="00D40E27">
        <w:t>judgment, said she had hung the picture because she liked it, f</w:t>
      </w:r>
      <w:r w:rsidR="0030620E">
        <w:t xml:space="preserve">or which her </w:t>
      </w:r>
      <w:r w:rsidR="00B77447">
        <w:t xml:space="preserve">apoplectic </w:t>
      </w:r>
      <w:r w:rsidR="0030620E">
        <w:t>master</w:t>
      </w:r>
      <w:r w:rsidR="00D40E27">
        <w:t xml:space="preserve"> knocked her to the ground three times and sent her to the trader’s yard for a month as punishment.</w:t>
      </w:r>
      <w:r w:rsidR="00D40E27">
        <w:rPr>
          <w:rStyle w:val="FootnoteReference"/>
        </w:rPr>
        <w:footnoteReference w:id="81"/>
      </w:r>
      <w:r w:rsidR="00D40E27">
        <w:t xml:space="preserve"> The politics of Turner’s gesture were self-evident; it was an assertion of moral</w:t>
      </w:r>
      <w:r w:rsidR="00010F0D">
        <w:t>,</w:t>
      </w:r>
      <w:r w:rsidR="00D40E27">
        <w:t xml:space="preserve"> </w:t>
      </w:r>
      <w:r w:rsidR="00546963">
        <w:t>self-actualization</w:t>
      </w:r>
      <w:r w:rsidR="00D40E27">
        <w:t>,</w:t>
      </w:r>
      <w:r w:rsidR="00010F0D" w:rsidRPr="00010F0D">
        <w:rPr>
          <w:rStyle w:val="FootnoteReference"/>
        </w:rPr>
        <w:t xml:space="preserve"> </w:t>
      </w:r>
      <w:proofErr w:type="gramStart"/>
      <w:r w:rsidR="00D40E27">
        <w:t>her</w:t>
      </w:r>
      <w:proofErr w:type="gramEnd"/>
      <w:r w:rsidR="00D40E27">
        <w:t xml:space="preserve"> adumbration of the civil freedom that </w:t>
      </w:r>
      <w:r w:rsidR="00D40E27">
        <w:lastRenderedPageBreak/>
        <w:t>would attend emancipation</w:t>
      </w:r>
      <w:r w:rsidR="00010F0D">
        <w:t>.</w:t>
      </w:r>
      <w:r w:rsidR="00010F0D">
        <w:rPr>
          <w:rStyle w:val="FootnoteReference"/>
        </w:rPr>
        <w:footnoteReference w:id="82"/>
      </w:r>
      <w:r w:rsidR="00877ECA">
        <w:t xml:space="preserve"> </w:t>
      </w:r>
      <w:r w:rsidR="00FB2C93">
        <w:t xml:space="preserve">Like </w:t>
      </w:r>
      <w:r w:rsidR="00877ECA">
        <w:t>Turner’s moment of agency, t</w:t>
      </w:r>
      <w:r w:rsidR="00F9111F">
        <w:t>he acquisition of a learned mind was “tantamount to a declaration of domestic civil war,”</w:t>
      </w:r>
      <w:r w:rsidR="00F9111F">
        <w:rPr>
          <w:rStyle w:val="FootnoteReference"/>
        </w:rPr>
        <w:footnoteReference w:id="83"/>
      </w:r>
      <w:r w:rsidR="00F9111F">
        <w:t xml:space="preserve"> for it threatened assault “on the political community formed and brought into existence by the Constitution of the United States.”</w:t>
      </w:r>
      <w:bookmarkStart w:id="24" w:name="_Ref291616284"/>
      <w:r w:rsidR="00F9111F">
        <w:rPr>
          <w:rStyle w:val="FootnoteReference"/>
        </w:rPr>
        <w:footnoteReference w:id="84"/>
      </w:r>
      <w:bookmarkEnd w:id="24"/>
    </w:p>
    <w:p w14:paraId="2BBB0399" w14:textId="77777777" w:rsidR="00DB4573" w:rsidRPr="002F741E" w:rsidRDefault="00F9111F" w:rsidP="00DB4573">
      <w:pPr>
        <w:spacing w:line="480" w:lineRule="auto"/>
      </w:pPr>
      <w:r>
        <w:rPr>
          <w:sz w:val="20"/>
          <w:szCs w:val="20"/>
        </w:rPr>
        <w:tab/>
      </w:r>
      <w:r w:rsidR="007E1569">
        <w:t>Centering t</w:t>
      </w:r>
      <w:r w:rsidRPr="00D9109B">
        <w:t>he interior lives and struggles of en</w:t>
      </w:r>
      <w:r w:rsidR="007E1569">
        <w:t xml:space="preserve">slaved African Americans </w:t>
      </w:r>
      <w:r w:rsidRPr="00D9109B">
        <w:t>bring</w:t>
      </w:r>
      <w:r w:rsidR="007E1569">
        <w:t>s</w:t>
      </w:r>
      <w:r w:rsidRPr="00D9109B">
        <w:t xml:space="preserve"> into focus</w:t>
      </w:r>
      <w:r w:rsidR="007E1569">
        <w:t xml:space="preserve"> the inescapable truth that</w:t>
      </w:r>
      <w:r w:rsidRPr="00D9109B">
        <w:t xml:space="preserve"> slavery</w:t>
      </w:r>
      <w:r w:rsidR="001476F4">
        <w:t>, whether as chattel or of the Jeffersonian variety, w</w:t>
      </w:r>
      <w:r>
        <w:t xml:space="preserve">as a </w:t>
      </w:r>
      <w:r w:rsidR="005B55D1">
        <w:t xml:space="preserve">fundamental </w:t>
      </w:r>
      <w:r>
        <w:t xml:space="preserve">degradation of personhood. </w:t>
      </w:r>
      <w:r w:rsidR="006056A2">
        <w:t xml:space="preserve">William Still, an African American born into slavery, recounted the story of Julius Smith, who in 1858 escaped bondage in </w:t>
      </w:r>
      <w:proofErr w:type="spellStart"/>
      <w:r w:rsidR="006056A2">
        <w:t>Bellaeair</w:t>
      </w:r>
      <w:proofErr w:type="spellEnd"/>
      <w:r w:rsidR="006056A2">
        <w:t>, Virginia.</w:t>
      </w:r>
    </w:p>
    <w:p w14:paraId="4085DD39" w14:textId="77777777" w:rsidR="006056A2" w:rsidRDefault="006056A2" w:rsidP="00781C47">
      <w:pPr>
        <w:spacing w:after="240"/>
        <w:ind w:left="720" w:right="720"/>
      </w:pPr>
      <w:r w:rsidRPr="002F741E">
        <w:t xml:space="preserve">So far as his personal relations were concerned, he acknowledged that a man named Mr. Robert </w:t>
      </w:r>
      <w:proofErr w:type="spellStart"/>
      <w:r w:rsidRPr="002F741E">
        <w:t>Hollan</w:t>
      </w:r>
      <w:proofErr w:type="spellEnd"/>
      <w:r w:rsidRPr="002F741E">
        <w:t xml:space="preserve">, had assumed to impose himself upon him as master, and that this same man had also wrongfully claimed all his time, denied him all common and special privileges; besides he had deprived him of an education, etc., which looked badly enough before he left Maryland, but in the light of freedom, </w:t>
      </w:r>
      <w:r w:rsidRPr="002F741E">
        <w:lastRenderedPageBreak/>
        <w:t xml:space="preserve">and from a free State stand-point, the idea that ‘man’s inhumanity to man’ should assume such gigantic proportions as to cause him to seize his fellow-man and hold him in perpetual bondage, was </w:t>
      </w:r>
      <w:proofErr w:type="spellStart"/>
      <w:r w:rsidRPr="002F741E">
        <w:t>m</w:t>
      </w:r>
      <w:r w:rsidR="00DB4573">
        <w:t>arvellous</w:t>
      </w:r>
      <w:proofErr w:type="spellEnd"/>
      <w:r w:rsidR="00DB4573">
        <w:t xml:space="preserve"> in the extreme.</w:t>
      </w:r>
      <w:r w:rsidR="00DB4573">
        <w:rPr>
          <w:rStyle w:val="FootnoteReference"/>
        </w:rPr>
        <w:footnoteReference w:id="85"/>
      </w:r>
    </w:p>
    <w:p w14:paraId="6A84A8F9" w14:textId="77777777" w:rsidR="00AB42A2" w:rsidRDefault="00781C47" w:rsidP="00AB42A2">
      <w:pPr>
        <w:pStyle w:val="ListParagraph"/>
        <w:spacing w:line="480" w:lineRule="auto"/>
        <w:ind w:left="0" w:right="720"/>
      </w:pPr>
      <w:r>
        <w:t>Smith’s political life had “merged” with his</w:t>
      </w:r>
      <w:r w:rsidR="00A90319">
        <w:t xml:space="preserve"> master.</w:t>
      </w:r>
      <w:r w:rsidR="0040319B">
        <w:rPr>
          <w:rStyle w:val="FootnoteReference"/>
        </w:rPr>
        <w:footnoteReference w:id="86"/>
      </w:r>
      <w:r w:rsidR="00A90319">
        <w:t xml:space="preserve"> </w:t>
      </w:r>
      <w:r w:rsidR="00E533D6">
        <w:t xml:space="preserve">Professor Peggy Cooper Davis contents that, </w:t>
      </w:r>
      <w:r w:rsidR="00A90319">
        <w:t>“</w:t>
      </w:r>
      <w:r w:rsidR="00E533D6">
        <w:t>[</w:t>
      </w:r>
      <w:proofErr w:type="gramStart"/>
      <w:r w:rsidR="00E533D6">
        <w:t>s]</w:t>
      </w:r>
      <w:proofErr w:type="spellStart"/>
      <w:r w:rsidR="00F9111F" w:rsidRPr="0040523A">
        <w:t>lavemasters</w:t>
      </w:r>
      <w:proofErr w:type="spellEnd"/>
      <w:proofErr w:type="gramEnd"/>
      <w:r w:rsidR="00F9111F" w:rsidRPr="0040523A">
        <w:t xml:space="preserve"> had—and slaves lacked—political and moral autonomy: the ability to construct a system of values, to act according to that chosen system of values, and to advocate those chosen values in the political </w:t>
      </w:r>
      <w:proofErr w:type="spellStart"/>
      <w:r w:rsidR="00F9111F" w:rsidRPr="0040523A">
        <w:t>fora</w:t>
      </w:r>
      <w:proofErr w:type="spellEnd"/>
      <w:r w:rsidR="00F9111F" w:rsidRPr="0040523A">
        <w:t>.”</w:t>
      </w:r>
      <w:bookmarkStart w:id="25" w:name="_Ref262323324"/>
      <w:r w:rsidR="0040319B">
        <w:rPr>
          <w:rStyle w:val="FootnoteReference"/>
        </w:rPr>
        <w:footnoteReference w:id="87"/>
      </w:r>
      <w:bookmarkEnd w:id="25"/>
      <w:r w:rsidR="00F9111F">
        <w:t xml:space="preserve"> The maintenance of white supremacy generated a sustained cultural and legal scheme of civil death</w:t>
      </w:r>
      <w:bookmarkStart w:id="26" w:name="_Ref291616340"/>
      <w:r w:rsidR="009422DC">
        <w:rPr>
          <w:rStyle w:val="FootnoteReference"/>
        </w:rPr>
        <w:footnoteReference w:id="88"/>
      </w:r>
      <w:bookmarkEnd w:id="26"/>
      <w:r w:rsidR="00E04CBD">
        <w:rPr>
          <w:i/>
        </w:rPr>
        <w:t>—</w:t>
      </w:r>
      <w:proofErr w:type="spellStart"/>
      <w:proofErr w:type="gramStart"/>
      <w:r w:rsidR="00E04CBD">
        <w:rPr>
          <w:i/>
        </w:rPr>
        <w:t>mors</w:t>
      </w:r>
      <w:proofErr w:type="spellEnd"/>
      <w:proofErr w:type="gramEnd"/>
      <w:r w:rsidR="00E04CBD">
        <w:rPr>
          <w:i/>
        </w:rPr>
        <w:t xml:space="preserve"> </w:t>
      </w:r>
      <w:proofErr w:type="spellStart"/>
      <w:r w:rsidR="00E04CBD">
        <w:rPr>
          <w:i/>
        </w:rPr>
        <w:t>civilis</w:t>
      </w:r>
      <w:proofErr w:type="spellEnd"/>
      <w:r w:rsidR="00E04CBD">
        <w:rPr>
          <w:i/>
        </w:rPr>
        <w:t>—</w:t>
      </w:r>
      <w:r w:rsidR="00F9111F">
        <w:t>that fixed the legal status of African Americans.</w:t>
      </w:r>
      <w:r w:rsidR="00F9111F">
        <w:rPr>
          <w:rStyle w:val="FootnoteReference"/>
        </w:rPr>
        <w:footnoteReference w:id="89"/>
      </w:r>
      <w:r w:rsidR="00F9111F">
        <w:t xml:space="preserve"> </w:t>
      </w:r>
      <w:r w:rsidR="00D41D79">
        <w:t xml:space="preserve">Justice Lumpkin, </w:t>
      </w:r>
      <w:r w:rsidR="00D4511E">
        <w:t xml:space="preserve">writing for the Supreme </w:t>
      </w:r>
      <w:r w:rsidR="00D4511E" w:rsidRPr="003715B8">
        <w:t xml:space="preserve">Court of Georgia, noted </w:t>
      </w:r>
      <w:r w:rsidR="003715B8" w:rsidRPr="003715B8">
        <w:t xml:space="preserve">the absurdity of the idea that </w:t>
      </w:r>
      <w:r w:rsidR="003715B8" w:rsidRPr="003715B8">
        <w:rPr>
          <w:rFonts w:eastAsia="Times New Roman"/>
        </w:rPr>
        <w:t>“</w:t>
      </w:r>
      <w:r w:rsidR="00FB7881" w:rsidRPr="00FB7881">
        <w:rPr>
          <w:rFonts w:eastAsia="Times New Roman"/>
        </w:rPr>
        <w:t>the mere act of manumission</w:t>
      </w:r>
      <w:r w:rsidR="003715B8" w:rsidRPr="003715B8">
        <w:rPr>
          <w:rFonts w:eastAsia="Times New Roman"/>
        </w:rPr>
        <w:t>”</w:t>
      </w:r>
      <w:r w:rsidR="00FB7881" w:rsidRPr="00FB7881">
        <w:rPr>
          <w:rFonts w:eastAsia="Times New Roman"/>
        </w:rPr>
        <w:t xml:space="preserve"> </w:t>
      </w:r>
      <w:r w:rsidR="003715B8" w:rsidRPr="003715B8">
        <w:rPr>
          <w:rFonts w:eastAsia="Times New Roman"/>
        </w:rPr>
        <w:t>of a slave could “</w:t>
      </w:r>
      <w:r w:rsidR="00FB7881" w:rsidRPr="00FB7881">
        <w:rPr>
          <w:rFonts w:eastAsia="Times New Roman"/>
        </w:rPr>
        <w:t xml:space="preserve">invest with all the attributes of manhood in a free state, a being who had no head or name or title, in the State before; who was held, </w:t>
      </w:r>
      <w:r w:rsidR="00FB7881" w:rsidRPr="003715B8">
        <w:rPr>
          <w:rFonts w:eastAsia="Times New Roman"/>
          <w:i/>
          <w:iCs/>
        </w:rPr>
        <w:t xml:space="preserve">pro </w:t>
      </w:r>
      <w:proofErr w:type="spellStart"/>
      <w:r w:rsidR="00FB7881" w:rsidRPr="003715B8">
        <w:rPr>
          <w:rFonts w:eastAsia="Times New Roman"/>
          <w:i/>
          <w:iCs/>
        </w:rPr>
        <w:t>nullis</w:t>
      </w:r>
      <w:proofErr w:type="spellEnd"/>
      <w:r w:rsidR="00FB7881" w:rsidRPr="003715B8">
        <w:rPr>
          <w:rFonts w:eastAsia="Times New Roman"/>
          <w:i/>
          <w:iCs/>
        </w:rPr>
        <w:t xml:space="preserve">, pro </w:t>
      </w:r>
      <w:proofErr w:type="spellStart"/>
      <w:r w:rsidR="00FB7881" w:rsidRPr="003715B8">
        <w:rPr>
          <w:rFonts w:eastAsia="Times New Roman"/>
          <w:i/>
          <w:iCs/>
        </w:rPr>
        <w:t>mortuis</w:t>
      </w:r>
      <w:proofErr w:type="spellEnd"/>
      <w:r w:rsidR="00FB7881" w:rsidRPr="00FB7881">
        <w:rPr>
          <w:rFonts w:eastAsia="Times New Roman"/>
        </w:rPr>
        <w:t xml:space="preserve">, and for some, yea many purposes, </w:t>
      </w:r>
      <w:r w:rsidR="00FB7881" w:rsidRPr="003715B8">
        <w:rPr>
          <w:rFonts w:eastAsia="Times New Roman"/>
          <w:i/>
          <w:iCs/>
        </w:rPr>
        <w:t xml:space="preserve">pro </w:t>
      </w:r>
      <w:proofErr w:type="spellStart"/>
      <w:r w:rsidR="00FB7881" w:rsidRPr="003715B8">
        <w:rPr>
          <w:rFonts w:eastAsia="Times New Roman"/>
          <w:i/>
          <w:iCs/>
        </w:rPr>
        <w:t>quadrupedibus</w:t>
      </w:r>
      <w:proofErr w:type="spellEnd"/>
      <w:r w:rsidR="00FB7881" w:rsidRPr="003715B8">
        <w:rPr>
          <w:rFonts w:eastAsia="Times New Roman"/>
          <w:iCs/>
        </w:rPr>
        <w:t>.</w:t>
      </w:r>
      <w:r w:rsidR="003715B8">
        <w:rPr>
          <w:rStyle w:val="FootnoteReference"/>
        </w:rPr>
        <w:t>”</w:t>
      </w:r>
      <w:r w:rsidR="00FB7881" w:rsidRPr="003715B8">
        <w:rPr>
          <w:rStyle w:val="FootnoteReference"/>
        </w:rPr>
        <w:footnoteReference w:id="90"/>
      </w:r>
      <w:r w:rsidR="00C47C40">
        <w:t xml:space="preserve"> </w:t>
      </w:r>
      <w:r w:rsidR="00F9111F">
        <w:t xml:space="preserve">In the language of legal positivism, </w:t>
      </w:r>
      <w:r w:rsidR="00C47C40">
        <w:rPr>
          <w:i/>
        </w:rPr>
        <w:t xml:space="preserve">Bryan </w:t>
      </w:r>
      <w:r w:rsidR="00C47C40">
        <w:t xml:space="preserve">and </w:t>
      </w:r>
      <w:r w:rsidR="00F9111F">
        <w:rPr>
          <w:i/>
        </w:rPr>
        <w:t>Dred Scott</w:t>
      </w:r>
      <w:r w:rsidR="0019091E">
        <w:t xml:space="preserve">’s codification of slavery as a </w:t>
      </w:r>
      <w:proofErr w:type="spellStart"/>
      <w:r w:rsidR="0019091E">
        <w:t>sortal</w:t>
      </w:r>
      <w:proofErr w:type="spellEnd"/>
      <w:r w:rsidR="0019091E">
        <w:t xml:space="preserve"> status</w:t>
      </w:r>
      <w:r w:rsidR="00FA6366">
        <w:rPr>
          <w:i/>
        </w:rPr>
        <w:t xml:space="preserve"> </w:t>
      </w:r>
      <w:r w:rsidR="00FA6366">
        <w:t>constituted</w:t>
      </w:r>
      <w:r w:rsidR="00F9111F">
        <w:rPr>
          <w:i/>
        </w:rPr>
        <w:t xml:space="preserve"> </w:t>
      </w:r>
      <w:r w:rsidR="00E929FF">
        <w:t xml:space="preserve">a </w:t>
      </w:r>
      <w:r w:rsidR="00F9111F">
        <w:lastRenderedPageBreak/>
        <w:t>civil burial.</w:t>
      </w:r>
      <w:bookmarkStart w:id="27" w:name="_Ref291618474"/>
      <w:r w:rsidR="0019091E">
        <w:rPr>
          <w:rStyle w:val="FootnoteReference"/>
        </w:rPr>
        <w:footnoteReference w:id="91"/>
      </w:r>
      <w:bookmarkEnd w:id="27"/>
      <w:r w:rsidR="00F9111F">
        <w:t xml:space="preserve"> But, </w:t>
      </w:r>
      <w:r w:rsidR="001F408C">
        <w:t>for those enslaved, acquiring</w:t>
      </w:r>
      <w:r w:rsidR="00F9111F">
        <w:t xml:space="preserve"> literacy in conjunction with freedom </w:t>
      </w:r>
      <w:r w:rsidR="001F408C">
        <w:t>promised to open access t</w:t>
      </w:r>
      <w:r w:rsidR="00974E2A">
        <w:t>o democratic political activity</w:t>
      </w:r>
      <w:r w:rsidR="00F9111F">
        <w:t>, and that in turn held a promise of enabling African Americans to participate in shaping the civil society</w:t>
      </w:r>
      <w:r w:rsidR="005059D7">
        <w:t>—</w:t>
      </w:r>
      <w:r w:rsidR="008E21EE">
        <w:t xml:space="preserve">a </w:t>
      </w:r>
      <w:r w:rsidR="005059D7">
        <w:t>“</w:t>
      </w:r>
      <w:proofErr w:type="spellStart"/>
      <w:r w:rsidR="005059D7">
        <w:t>dignitarian</w:t>
      </w:r>
      <w:proofErr w:type="spellEnd"/>
      <w:r w:rsidR="005059D7">
        <w:t xml:space="preserve"> society</w:t>
      </w:r>
      <w:r w:rsidR="008E21EE">
        <w:t>”</w:t>
      </w:r>
      <w:r w:rsidR="005059D7">
        <w:rPr>
          <w:rStyle w:val="FootnoteReference"/>
        </w:rPr>
        <w:footnoteReference w:id="92"/>
      </w:r>
      <w:r w:rsidR="007E1569">
        <w:t xml:space="preserve"> of equal status</w:t>
      </w:r>
      <w:r w:rsidR="005059D7">
        <w:t xml:space="preserve">—and welcoming </w:t>
      </w:r>
      <w:r w:rsidR="00230F6C">
        <w:t xml:space="preserve">them into the </w:t>
      </w:r>
      <w:r w:rsidR="00060EFF">
        <w:t xml:space="preserve">constitutional </w:t>
      </w:r>
      <w:r w:rsidR="00230F6C">
        <w:t>“political family”</w:t>
      </w:r>
      <w:r w:rsidR="00B210F6">
        <w:rPr>
          <w:rStyle w:val="FootnoteReference"/>
        </w:rPr>
        <w:footnoteReference w:id="93"/>
      </w:r>
      <w:r w:rsidR="00F9111F">
        <w:t xml:space="preserve"> in which they had hitherto been </w:t>
      </w:r>
      <w:r w:rsidR="00230F6C">
        <w:t>constitutional</w:t>
      </w:r>
      <w:r w:rsidR="00F9111F">
        <w:t xml:space="preserve"> chattel—</w:t>
      </w:r>
      <w:r w:rsidR="00230F6C">
        <w:t>“</w:t>
      </w:r>
      <w:r w:rsidR="00F9111F">
        <w:t>insurgent chattel, but chattel just the same.”</w:t>
      </w:r>
      <w:bookmarkStart w:id="28" w:name="_Ref262669175"/>
      <w:r w:rsidR="00F9111F">
        <w:rPr>
          <w:rStyle w:val="FootnoteReference"/>
        </w:rPr>
        <w:footnoteReference w:id="94"/>
      </w:r>
      <w:bookmarkEnd w:id="28"/>
      <w:r w:rsidR="00B13EC1">
        <w:t xml:space="preserve"> </w:t>
      </w:r>
      <w:r w:rsidR="00AB42A2" w:rsidRPr="002F741E">
        <w:t xml:space="preserve">John Henry Hill, an escaped slave from Richmond, Virginia, wrote about literacy: </w:t>
      </w:r>
    </w:p>
    <w:p w14:paraId="7E534D6B" w14:textId="77777777" w:rsidR="00AB42A2" w:rsidRDefault="00AB42A2" w:rsidP="00AB42A2">
      <w:pPr>
        <w:pStyle w:val="ListParagraph"/>
        <w:tabs>
          <w:tab w:val="left" w:pos="7920"/>
        </w:tabs>
        <w:spacing w:after="240"/>
        <w:ind w:right="1440"/>
      </w:pPr>
      <w:r w:rsidRPr="002F741E">
        <w:lastRenderedPageBreak/>
        <w:t xml:space="preserve">I say give me freedom, and the United States may have all her money and her </w:t>
      </w:r>
      <w:proofErr w:type="spellStart"/>
      <w:r w:rsidRPr="002F741E">
        <w:t>Luxtures</w:t>
      </w:r>
      <w:proofErr w:type="spellEnd"/>
      <w:r>
        <w:t>, yeas give Liberty or Death. I’</w:t>
      </w:r>
      <w:r w:rsidRPr="002F741E">
        <w:t>m in America, but not under Such a Government that I cannot express myself, speak, think or write So as I am able, and if my master had allowed me to have an education I would make them American Slave-holders feel me, Yeas I would make them tremble when I spoke, and when I take my Pen in h</w:t>
      </w:r>
      <w:r>
        <w:t>and their knees smote together.</w:t>
      </w:r>
      <w:r>
        <w:rPr>
          <w:rStyle w:val="FootnoteReference"/>
        </w:rPr>
        <w:footnoteReference w:id="95"/>
      </w:r>
    </w:p>
    <w:p w14:paraId="5CCDF077" w14:textId="77777777" w:rsidR="00487438" w:rsidRDefault="00AB42A2" w:rsidP="002F741E">
      <w:pPr>
        <w:pStyle w:val="ListParagraph"/>
        <w:spacing w:line="480" w:lineRule="auto"/>
        <w:ind w:left="0" w:right="720"/>
      </w:pPr>
      <w:r>
        <w:rPr>
          <w:smallCaps/>
        </w:rPr>
        <w:br/>
      </w:r>
      <w:r w:rsidRPr="002F741E">
        <w:t>Notwithstanding evidence of Hill being able to aptly read and write, he speaks of a deep yearning for education and its insurgent potential. Hill also demonstrates that for</w:t>
      </w:r>
      <w:r w:rsidR="008D5842">
        <w:t xml:space="preserve"> </w:t>
      </w:r>
      <w:r>
        <w:t>enslaved persons</w:t>
      </w:r>
      <w:r w:rsidRPr="002F741E">
        <w:t>, education was not merely learning to read and write one’s name.</w:t>
      </w:r>
      <w:r w:rsidR="00552C5C">
        <w:rPr>
          <w:rStyle w:val="FootnoteReference"/>
        </w:rPr>
        <w:footnoteReference w:id="96"/>
      </w:r>
      <w:r w:rsidR="00B66F39">
        <w:t xml:space="preserve"> It was about </w:t>
      </w:r>
      <w:r w:rsidR="00360AC9">
        <w:t>embodying the personhood of someone who can demand to be heard and taken into account—someone who issues commands rather than merely obeying them.</w:t>
      </w:r>
      <w:bookmarkStart w:id="29" w:name="_Ref291626817"/>
      <w:r w:rsidR="007579DC">
        <w:rPr>
          <w:rStyle w:val="FootnoteReference"/>
        </w:rPr>
        <w:footnoteReference w:id="97"/>
      </w:r>
      <w:bookmarkEnd w:id="29"/>
    </w:p>
    <w:p w14:paraId="638EE2F7" w14:textId="77777777" w:rsidR="00A76D3B" w:rsidRPr="002F741E" w:rsidRDefault="00A76D3B" w:rsidP="002F741E">
      <w:pPr>
        <w:pStyle w:val="ListParagraph"/>
        <w:spacing w:line="480" w:lineRule="auto"/>
        <w:ind w:left="0" w:right="720"/>
      </w:pPr>
    </w:p>
    <w:p w14:paraId="7BA6007C" w14:textId="77777777" w:rsidR="00546AC1" w:rsidRPr="002F741E" w:rsidRDefault="00566CBF" w:rsidP="00C3056E">
      <w:pPr>
        <w:pStyle w:val="ListParagraph"/>
        <w:numPr>
          <w:ilvl w:val="1"/>
          <w:numId w:val="10"/>
        </w:numPr>
        <w:spacing w:line="480" w:lineRule="auto"/>
        <w:ind w:right="720"/>
      </w:pPr>
      <w:r w:rsidRPr="00FB10D1">
        <w:rPr>
          <w:rFonts w:ascii="Times New Roman Italic" w:hAnsi="Times New Roman Italic"/>
          <w:i/>
          <w:iCs/>
          <w:smallCaps/>
        </w:rPr>
        <w:lastRenderedPageBreak/>
        <w:t>The Arrival of Freedom</w:t>
      </w:r>
      <w:r w:rsidR="00A76D3B">
        <w:rPr>
          <w:noProof/>
          <w:vertAlign w:val="superscript"/>
        </w:rPr>
        <w:drawing>
          <wp:inline distT="0" distB="0" distL="0" distR="0" wp14:anchorId="3DB2DFAD" wp14:editId="123BB635">
            <wp:extent cx="3983064" cy="3902211"/>
            <wp:effectExtent l="0" t="0" r="508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15290r.jpg"/>
                    <pic:cNvPicPr/>
                  </pic:nvPicPr>
                  <pic:blipFill>
                    <a:blip r:embed="rId11">
                      <a:extLst>
                        <a:ext uri="{28A0092B-C50C-407E-A947-70E740481C1C}">
                          <a14:useLocalDpi xmlns:a14="http://schemas.microsoft.com/office/drawing/2010/main" val="0"/>
                        </a:ext>
                      </a:extLst>
                    </a:blip>
                    <a:stretch>
                      <a:fillRect/>
                    </a:stretch>
                  </pic:blipFill>
                  <pic:spPr>
                    <a:xfrm>
                      <a:off x="0" y="0"/>
                      <a:ext cx="3983688" cy="3902823"/>
                    </a:xfrm>
                    <a:prstGeom prst="rect">
                      <a:avLst/>
                    </a:prstGeom>
                  </pic:spPr>
                </pic:pic>
              </a:graphicData>
            </a:graphic>
          </wp:inline>
        </w:drawing>
      </w:r>
      <w:r w:rsidR="00A76D3B">
        <w:t xml:space="preserve"> </w:t>
      </w:r>
      <w:r w:rsidR="00060624">
        <w:rPr>
          <w:rStyle w:val="FootnoteReference"/>
        </w:rPr>
        <w:footnoteReference w:id="98"/>
      </w:r>
    </w:p>
    <w:p w14:paraId="2A6D7E53" w14:textId="77777777" w:rsidR="00385E25" w:rsidRPr="002F741E" w:rsidRDefault="00756648" w:rsidP="00204AAD">
      <w:pPr>
        <w:pStyle w:val="ListParagraph"/>
        <w:spacing w:line="480" w:lineRule="auto"/>
        <w:ind w:left="0" w:right="720" w:firstLine="720"/>
      </w:pPr>
      <w:r>
        <w:t>As freedom arrived</w:t>
      </w:r>
      <w:r w:rsidR="002B1A48">
        <w:t xml:space="preserve"> in the South, </w:t>
      </w:r>
      <w:r w:rsidR="002153F8" w:rsidRPr="002F741E">
        <w:t>African American e</w:t>
      </w:r>
      <w:r w:rsidR="00436DA9">
        <w:t xml:space="preserve">nthusiasm for becoming learned </w:t>
      </w:r>
      <w:r w:rsidR="002153F8" w:rsidRPr="002F741E">
        <w:t xml:space="preserve">reflected a </w:t>
      </w:r>
      <w:r w:rsidR="00436DA9">
        <w:t>burgeoning</w:t>
      </w:r>
      <w:r w:rsidR="002153F8" w:rsidRPr="002F741E">
        <w:t xml:space="preserve"> if not </w:t>
      </w:r>
      <w:r w:rsidR="00436DA9">
        <w:t>a fully</w:t>
      </w:r>
      <w:r w:rsidR="002153F8" w:rsidRPr="002F741E">
        <w:t xml:space="preserve"> </w:t>
      </w:r>
      <w:r w:rsidR="00436DA9">
        <w:t xml:space="preserve">ripened </w:t>
      </w:r>
      <w:r w:rsidR="002153F8" w:rsidRPr="002F741E">
        <w:t>sense of community and racial pride.”</w:t>
      </w:r>
      <w:r w:rsidR="00241574" w:rsidRPr="002F741E">
        <w:rPr>
          <w:rStyle w:val="FootnoteReference"/>
        </w:rPr>
        <w:footnoteReference w:id="99"/>
      </w:r>
      <w:r w:rsidR="002153F8" w:rsidRPr="002F741E">
        <w:t xml:space="preserve"> </w:t>
      </w:r>
      <w:r w:rsidR="00436DA9">
        <w:t>T</w:t>
      </w:r>
      <w:r w:rsidR="002839D3">
        <w:t>here was a</w:t>
      </w:r>
      <w:r w:rsidR="002153F8" w:rsidRPr="002F741E">
        <w:t xml:space="preserve"> </w:t>
      </w:r>
      <w:r w:rsidR="00436DA9">
        <w:t>deep</w:t>
      </w:r>
      <w:r w:rsidR="002153F8" w:rsidRPr="002F741E">
        <w:t xml:space="preserve"> conviction that citizen</w:t>
      </w:r>
      <w:r w:rsidR="0088206B">
        <w:t>ship</w:t>
      </w:r>
      <w:r w:rsidR="002153F8" w:rsidRPr="002F741E">
        <w:t xml:space="preserve"> would require self-recognition as a </w:t>
      </w:r>
      <w:r w:rsidR="002153F8" w:rsidRPr="002F741E">
        <w:lastRenderedPageBreak/>
        <w:t xml:space="preserve">people and willingness to </w:t>
      </w:r>
      <w:r w:rsidR="00EC686C" w:rsidRPr="002F741E">
        <w:t>act on that consciousness.</w:t>
      </w:r>
      <w:bookmarkStart w:id="30" w:name="_Ref291716057"/>
      <w:r w:rsidR="00204AAD">
        <w:rPr>
          <w:rStyle w:val="FootnoteReference"/>
        </w:rPr>
        <w:footnoteReference w:id="100"/>
      </w:r>
      <w:bookmarkEnd w:id="30"/>
      <w:r w:rsidR="00EC686C" w:rsidRPr="002F741E">
        <w:t xml:space="preserve"> </w:t>
      </w:r>
      <w:r w:rsidR="00235793">
        <w:t>U</w:t>
      </w:r>
      <w:r w:rsidR="002153F8" w:rsidRPr="002F741E">
        <w:t>niversal literacy would take time, but even the poor and illiterate</w:t>
      </w:r>
      <w:r w:rsidR="00F12BB9">
        <w:t xml:space="preserve"> </w:t>
      </w:r>
      <w:proofErr w:type="gramStart"/>
      <w:r w:rsidR="00F12BB9">
        <w:t>bared</w:t>
      </w:r>
      <w:proofErr w:type="gramEnd"/>
      <w:r w:rsidR="00CF3710">
        <w:t>?</w:t>
      </w:r>
      <w:r w:rsidR="00F12BB9">
        <w:t xml:space="preserve"> the right </w:t>
      </w:r>
      <w:r w:rsidR="002153F8" w:rsidRPr="002F741E">
        <w:t xml:space="preserve">and could seek protection </w:t>
      </w:r>
      <w:r w:rsidR="00A85B37" w:rsidRPr="002F741E">
        <w:t xml:space="preserve">in order to give effect to </w:t>
      </w:r>
      <w:r w:rsidR="00F12BB9">
        <w:t>that right</w:t>
      </w:r>
      <w:r w:rsidR="00A85B37" w:rsidRPr="002F741E">
        <w:t xml:space="preserve">. An elderly and illiterate freeman suggested that “book </w:t>
      </w:r>
      <w:proofErr w:type="spellStart"/>
      <w:r w:rsidR="00A85B37" w:rsidRPr="002F741E">
        <w:t>larnin</w:t>
      </w:r>
      <w:proofErr w:type="spellEnd"/>
      <w:r w:rsidR="00A85B37" w:rsidRPr="002F741E">
        <w:t>’” could not be the end in and of itself.</w:t>
      </w:r>
      <w:r w:rsidR="00746E8C">
        <w:rPr>
          <w:rStyle w:val="FootnoteReference"/>
        </w:rPr>
        <w:footnoteReference w:id="101"/>
      </w:r>
      <w:r w:rsidR="00A85B37" w:rsidRPr="002F741E">
        <w:t xml:space="preserve"> </w:t>
      </w:r>
      <w:r w:rsidR="003D1AF3">
        <w:t xml:space="preserve">Education </w:t>
      </w:r>
      <w:r w:rsidR="00DB633B" w:rsidRPr="002F741E">
        <w:t>was a sou</w:t>
      </w:r>
      <w:r w:rsidR="00166BB8" w:rsidRPr="002F741E">
        <w:t xml:space="preserve">rce of political strength and insurance against the intractable desires of the planter class to reinstate the subordination of the </w:t>
      </w:r>
      <w:proofErr w:type="spellStart"/>
      <w:r w:rsidR="00166BB8" w:rsidRPr="002F741E">
        <w:t>Freepeople</w:t>
      </w:r>
      <w:proofErr w:type="spellEnd"/>
      <w:r w:rsidR="00166BB8" w:rsidRPr="002F741E">
        <w:t>.</w:t>
      </w:r>
      <w:bookmarkStart w:id="31" w:name="_Ref291716192"/>
      <w:r w:rsidR="00166BB8" w:rsidRPr="002F741E">
        <w:rPr>
          <w:rStyle w:val="FootnoteReference"/>
        </w:rPr>
        <w:footnoteReference w:id="102"/>
      </w:r>
      <w:bookmarkEnd w:id="31"/>
      <w:r w:rsidR="00797294" w:rsidRPr="002F741E">
        <w:t xml:space="preserve"> </w:t>
      </w:r>
      <w:r w:rsidR="00385E25" w:rsidRPr="002F741E">
        <w:t xml:space="preserve">A Louisiana freedman put it this way: </w:t>
      </w:r>
      <w:r w:rsidR="008C20F2" w:rsidRPr="002F741E">
        <w:t>“What made the difference between a white man and a black man? Knowledge and wisdom.”</w:t>
      </w:r>
      <w:r w:rsidR="008C20F2" w:rsidRPr="002F741E">
        <w:rPr>
          <w:rStyle w:val="FootnoteReference"/>
        </w:rPr>
        <w:footnoteReference w:id="103"/>
      </w:r>
      <w:r w:rsidR="00385E25" w:rsidRPr="002F741E">
        <w:t xml:space="preserve"> He continued: </w:t>
      </w:r>
    </w:p>
    <w:p w14:paraId="4593F192" w14:textId="77777777" w:rsidR="003D6831" w:rsidRDefault="00385E25" w:rsidP="00B94CC4">
      <w:pPr>
        <w:pStyle w:val="ListParagraph"/>
        <w:spacing w:after="240"/>
        <w:ind w:right="1440"/>
      </w:pPr>
      <w:r w:rsidRPr="002F741E">
        <w:t xml:space="preserve">Education was the </w:t>
      </w:r>
      <w:proofErr w:type="gramStart"/>
      <w:r w:rsidRPr="002F741E">
        <w:t>thing.</w:t>
      </w:r>
      <w:proofErr w:type="gramEnd"/>
      <w:r w:rsidRPr="002F741E">
        <w:t xml:space="preserve"> . . . Leaving learning to your children was better than leaving them a fortune; because if you left them even five hundred </w:t>
      </w:r>
      <w:r w:rsidRPr="002F741E">
        <w:lastRenderedPageBreak/>
        <w:t>dollars, some man having more education than they had would come along and cheat them out of it all; but learning they could keep.</w:t>
      </w:r>
      <w:r w:rsidRPr="002F741E">
        <w:rPr>
          <w:rStyle w:val="FootnoteReference"/>
        </w:rPr>
        <w:footnoteReference w:id="104"/>
      </w:r>
      <w:r w:rsidR="00B94CC4">
        <w:br/>
      </w:r>
    </w:p>
    <w:p w14:paraId="57A74973" w14:textId="77777777" w:rsidR="005D0903" w:rsidRPr="002F741E" w:rsidRDefault="0084047D" w:rsidP="00E0050B">
      <w:pPr>
        <w:pStyle w:val="ListParagraph"/>
        <w:spacing w:line="480" w:lineRule="auto"/>
        <w:ind w:left="0" w:right="720" w:firstLine="720"/>
      </w:pPr>
      <w:proofErr w:type="spellStart"/>
      <w:r w:rsidRPr="002F741E">
        <w:t>Postbellum</w:t>
      </w:r>
      <w:proofErr w:type="spellEnd"/>
      <w:r w:rsidRPr="002F741E">
        <w:t xml:space="preserve"> efforts </w:t>
      </w:r>
      <w:r w:rsidR="00D00E1B">
        <w:t xml:space="preserve">of </w:t>
      </w:r>
      <w:r w:rsidRPr="002F741E">
        <w:t xml:space="preserve">the </w:t>
      </w:r>
      <w:proofErr w:type="spellStart"/>
      <w:r w:rsidR="00D00E1B">
        <w:t>F</w:t>
      </w:r>
      <w:r w:rsidRPr="002F741E">
        <w:t>reepeople</w:t>
      </w:r>
      <w:proofErr w:type="spellEnd"/>
      <w:r w:rsidRPr="002F741E">
        <w:t xml:space="preserve"> to set up schools provided an opportunity to define </w:t>
      </w:r>
      <w:proofErr w:type="gramStart"/>
      <w:r w:rsidRPr="002F741E">
        <w:t>themselves as a people</w:t>
      </w:r>
      <w:proofErr w:type="gramEnd"/>
      <w:r w:rsidRPr="002F741E">
        <w:t>; black</w:t>
      </w:r>
      <w:r w:rsidR="004840C5">
        <w:t>s</w:t>
      </w:r>
      <w:r w:rsidRPr="002F741E">
        <w:t xml:space="preserve"> across the ex-Confederate states began to organize.</w:t>
      </w:r>
      <w:r w:rsidR="004840C5">
        <w:rPr>
          <w:rStyle w:val="FootnoteReference"/>
        </w:rPr>
        <w:footnoteReference w:id="105"/>
      </w:r>
      <w:r w:rsidRPr="002F741E">
        <w:t xml:space="preserve"> The </w:t>
      </w:r>
      <w:proofErr w:type="spellStart"/>
      <w:r w:rsidR="00C51556">
        <w:t>F</w:t>
      </w:r>
      <w:r w:rsidRPr="002F741E">
        <w:t>reepeople</w:t>
      </w:r>
      <w:proofErr w:type="spellEnd"/>
      <w:r w:rsidRPr="002F741E">
        <w:t xml:space="preserve"> </w:t>
      </w:r>
      <w:r w:rsidR="00A2319C" w:rsidRPr="002F741E">
        <w:t>gathered together, often in schoolhouses, to discuss their condition and to frame an agenda moving forward</w:t>
      </w:r>
      <w:r w:rsidR="00CA086D" w:rsidRPr="002F741E">
        <w:t>.</w:t>
      </w:r>
      <w:r w:rsidR="003D6831">
        <w:rPr>
          <w:rStyle w:val="FootnoteReference"/>
        </w:rPr>
        <w:footnoteReference w:id="106"/>
      </w:r>
      <w:r w:rsidR="00CA086D" w:rsidRPr="002F741E">
        <w:t xml:space="preserve"> </w:t>
      </w:r>
      <w:r w:rsidR="00A24AE7">
        <w:t xml:space="preserve">Once proscribed at law, these meetings </w:t>
      </w:r>
      <w:r w:rsidR="00F103B3" w:rsidRPr="002F741E">
        <w:t xml:space="preserve">took on additional significance as they set the stage for </w:t>
      </w:r>
      <w:r w:rsidR="00A24AE7">
        <w:t xml:space="preserve">entry into the </w:t>
      </w:r>
      <w:r w:rsidR="00F103B3" w:rsidRPr="002F741E">
        <w:t>political arena and for the fullest express</w:t>
      </w:r>
      <w:r w:rsidR="00A24AE7">
        <w:t>ion of their new status as national</w:t>
      </w:r>
      <w:r w:rsidR="00F103B3" w:rsidRPr="002F741E">
        <w:t xml:space="preserve"> citizens.</w:t>
      </w:r>
      <w:r w:rsidR="003D6831">
        <w:rPr>
          <w:rStyle w:val="FootnoteReference"/>
        </w:rPr>
        <w:footnoteReference w:id="107"/>
      </w:r>
      <w:r w:rsidR="00F103B3" w:rsidRPr="002F741E">
        <w:t xml:space="preserve"> </w:t>
      </w:r>
      <w:r w:rsidR="0088606C" w:rsidRPr="002F741E">
        <w:t>Historian Steven Hahn argues that the onset of war, “by its very nature, thus provided the sort of basic political education that enslaved people had found</w:t>
      </w:r>
      <w:r w:rsidR="00A24AE7">
        <w:t xml:space="preserve"> almost impossible to come by.”</w:t>
      </w:r>
      <w:bookmarkStart w:id="32" w:name="_Ref291626935"/>
      <w:r w:rsidR="00A24AE7">
        <w:rPr>
          <w:rStyle w:val="FootnoteReference"/>
        </w:rPr>
        <w:footnoteReference w:id="108"/>
      </w:r>
      <w:bookmarkEnd w:id="32"/>
      <w:r w:rsidR="00A24AE7">
        <w:t xml:space="preserve"> </w:t>
      </w:r>
      <w:r w:rsidR="0088606C" w:rsidRPr="002F741E">
        <w:t>Enslaved persons, often for the first time, met free and freed African Americans from the North and South, and sympathetic white officers.</w:t>
      </w:r>
      <w:r w:rsidR="001F5BB6">
        <w:rPr>
          <w:rStyle w:val="FootnoteReference"/>
        </w:rPr>
        <w:footnoteReference w:id="109"/>
      </w:r>
      <w:r w:rsidR="0088606C" w:rsidRPr="002F741E">
        <w:t xml:space="preserve"> </w:t>
      </w:r>
      <w:r w:rsidR="00B9282D" w:rsidRPr="002F741E">
        <w:t xml:space="preserve">In the wartime military, </w:t>
      </w:r>
      <w:r w:rsidR="00C62853">
        <w:t xml:space="preserve">refugee </w:t>
      </w:r>
      <w:r w:rsidR="009255F9" w:rsidRPr="002F741E">
        <w:t>blacks became conversant in federal policy, discovered forms of authority and loyalty other than those prescribed by the planter class, and, discuss</w:t>
      </w:r>
      <w:r w:rsidR="009863C2">
        <w:t>ed</w:t>
      </w:r>
      <w:r w:rsidR="009255F9" w:rsidRPr="002F741E">
        <w:t xml:space="preserve"> their previous </w:t>
      </w:r>
      <w:r w:rsidR="009255F9" w:rsidRPr="002F741E">
        <w:lastRenderedPageBreak/>
        <w:t>experiences and future prospects in te</w:t>
      </w:r>
      <w:r w:rsidR="009863C2">
        <w:t>rms both secular and religious.</w:t>
      </w:r>
      <w:r w:rsidR="009863C2">
        <w:rPr>
          <w:rStyle w:val="FootnoteReference"/>
        </w:rPr>
        <w:footnoteReference w:id="110"/>
      </w:r>
      <w:r w:rsidR="009863C2">
        <w:t xml:space="preserve"> </w:t>
      </w:r>
      <w:r w:rsidR="005D0903" w:rsidRPr="002F741E">
        <w:t>Union Soldier and historian Joseph T. Wilson</w:t>
      </w:r>
      <w:r w:rsidR="00FA68E3" w:rsidRPr="002F741E">
        <w:t>, himself black,</w:t>
      </w:r>
      <w:r w:rsidR="005D0903" w:rsidRPr="002F741E">
        <w:t xml:space="preserve"> observed</w:t>
      </w:r>
    </w:p>
    <w:p w14:paraId="47B9B1B2" w14:textId="77777777" w:rsidR="00546AC1" w:rsidRPr="002F741E" w:rsidRDefault="009D0455" w:rsidP="0088206B">
      <w:pPr>
        <w:pStyle w:val="ListParagraph"/>
        <w:spacing w:after="240"/>
        <w:ind w:right="1440"/>
      </w:pPr>
      <w:r w:rsidRPr="002F741E">
        <w:t xml:space="preserve">Generally there was one of three things the </w:t>
      </w:r>
      <w:proofErr w:type="gramStart"/>
      <w:r w:rsidRPr="002F741E">
        <w:t>negro</w:t>
      </w:r>
      <w:proofErr w:type="gramEnd"/>
      <w:r w:rsidRPr="002F741E">
        <w:t xml:space="preserve"> soldiers could be found doing when at leisure: discussing religion, cleaning his musket and accouterments, or trying to read. His zeal frequently led him to neglect to eat for the latter. Every camp had a </w:t>
      </w:r>
      <w:proofErr w:type="gramStart"/>
      <w:r w:rsidRPr="002F741E">
        <w:t>teacher,</w:t>
      </w:r>
      <w:proofErr w:type="gramEnd"/>
      <w:r w:rsidRPr="002F741E">
        <w:t xml:space="preserve"> in fact every company had some one to instruct the soldiers in reading, if nothing more. Since the war I have known of more than one who have taken up the profession of preaching and law making, whose first letter was learned in camp . . </w:t>
      </w:r>
      <w:proofErr w:type="gramStart"/>
      <w:r w:rsidRPr="002F741E">
        <w:t>. .</w:t>
      </w:r>
      <w:bookmarkStart w:id="33" w:name="_Ref291627352"/>
      <w:proofErr w:type="gramEnd"/>
      <w:r w:rsidR="00136F04">
        <w:rPr>
          <w:rStyle w:val="FootnoteReference"/>
        </w:rPr>
        <w:footnoteReference w:id="111"/>
      </w:r>
      <w:bookmarkEnd w:id="33"/>
    </w:p>
    <w:p w14:paraId="39E2C93D" w14:textId="77777777" w:rsidR="00E5265D" w:rsidRDefault="00E0050B" w:rsidP="002F741E">
      <w:pPr>
        <w:pStyle w:val="ListParagraph"/>
        <w:spacing w:line="480" w:lineRule="auto"/>
        <w:ind w:left="0" w:right="720"/>
      </w:pPr>
      <w:r>
        <w:br/>
      </w:r>
      <w:r w:rsidR="00A6318E" w:rsidRPr="002F741E">
        <w:t xml:space="preserve">“So ardent were they,” noted Colonel G.M. Arnold, “that they formed squads and hired teachers, paying them out of their pittance of seven dollars per month, or out of the bounty paid to them by the State . . </w:t>
      </w:r>
      <w:proofErr w:type="gramStart"/>
      <w:r w:rsidR="00A6318E" w:rsidRPr="002F741E">
        <w:t>. .</w:t>
      </w:r>
      <w:proofErr w:type="gramEnd"/>
      <w:r w:rsidR="00A6318E" w:rsidRPr="002F741E">
        <w:t>”</w:t>
      </w:r>
      <w:r w:rsidR="00A6318E">
        <w:rPr>
          <w:rStyle w:val="FootnoteReference"/>
        </w:rPr>
        <w:footnoteReference w:id="112"/>
      </w:r>
      <w:r w:rsidR="00A6318E" w:rsidRPr="002F741E">
        <w:t xml:space="preserve"> </w:t>
      </w:r>
      <w:r w:rsidR="007E75D5" w:rsidRPr="002F741E">
        <w:t xml:space="preserve">After battles were won or lost, spelling books and bibles </w:t>
      </w:r>
      <w:r w:rsidR="00AF4B41" w:rsidRPr="002F741E">
        <w:t>were often found upon the bodies of black soldiers.</w:t>
      </w:r>
      <w:r w:rsidR="00404731">
        <w:rPr>
          <w:rStyle w:val="FootnoteReference"/>
        </w:rPr>
        <w:footnoteReference w:id="113"/>
      </w:r>
      <w:r w:rsidR="00AF4B41" w:rsidRPr="002F741E">
        <w:t xml:space="preserve"> </w:t>
      </w:r>
    </w:p>
    <w:p w14:paraId="4C4EFF41" w14:textId="77777777" w:rsidR="009D0455" w:rsidRPr="002F741E" w:rsidRDefault="005A3C5C" w:rsidP="00E5265D">
      <w:pPr>
        <w:pStyle w:val="ListParagraph"/>
        <w:spacing w:line="480" w:lineRule="auto"/>
        <w:ind w:left="0" w:right="720" w:firstLine="720"/>
      </w:pPr>
      <w:r w:rsidRPr="002F741E">
        <w:t xml:space="preserve">But even outside of the military context, the collective political imagination of enslaved blacks was far from a tabula rasa </w:t>
      </w:r>
      <w:r w:rsidR="00C86C27" w:rsidRPr="002F741E">
        <w:t xml:space="preserve">before the arrival of Union </w:t>
      </w:r>
      <w:r w:rsidR="00A56459" w:rsidRPr="002F741E">
        <w:t>troops</w:t>
      </w:r>
      <w:r w:rsidR="00C86C27" w:rsidRPr="002F741E">
        <w:t>.</w:t>
      </w:r>
      <w:r w:rsidR="00A56459" w:rsidRPr="002F741E">
        <w:t xml:space="preserve"> In 1860, when the “Black Republican” Abraham Lincoln was elected President, enslaved blacks </w:t>
      </w:r>
      <w:r w:rsidR="00E5265D">
        <w:t xml:space="preserve">both </w:t>
      </w:r>
      <w:r w:rsidR="00A56459" w:rsidRPr="002F741E">
        <w:t>passed the word and pondered its meaning.</w:t>
      </w:r>
      <w:r w:rsidR="00404731">
        <w:rPr>
          <w:rStyle w:val="FootnoteReference"/>
        </w:rPr>
        <w:footnoteReference w:id="114"/>
      </w:r>
      <w:r w:rsidR="00A56459" w:rsidRPr="002F741E">
        <w:t xml:space="preserve"> </w:t>
      </w:r>
      <w:r w:rsidR="002C1701" w:rsidRPr="002F741E">
        <w:t xml:space="preserve">Some fled and sought protection from the Union Armies </w:t>
      </w:r>
      <w:r w:rsidR="00A44935">
        <w:t>as</w:t>
      </w:r>
      <w:r w:rsidR="002C1701" w:rsidRPr="002F741E">
        <w:t xml:space="preserve"> they made their way into Confederate territory, while others remained on their holdings and engaged in collective actions to “rearrange the balances </w:t>
      </w:r>
      <w:r w:rsidR="002C1701" w:rsidRPr="002F741E">
        <w:lastRenderedPageBreak/>
        <w:t>of power and authority”; “[</w:t>
      </w:r>
      <w:proofErr w:type="gramStart"/>
      <w:r w:rsidR="002C1701" w:rsidRPr="002F741E">
        <w:t>t]hey</w:t>
      </w:r>
      <w:proofErr w:type="gramEnd"/>
      <w:r w:rsidR="002C1701" w:rsidRPr="002F741E">
        <w:t xml:space="preserve"> slowed the pace of work, devoted more time to their provision crops, ignored the master’s commands, moved about as they wished or could, and generally tried to tend to their own affairs.”</w:t>
      </w:r>
      <w:r w:rsidR="00404731">
        <w:rPr>
          <w:rStyle w:val="FootnoteReference"/>
        </w:rPr>
        <w:footnoteReference w:id="115"/>
      </w:r>
    </w:p>
    <w:p w14:paraId="0DA32F24" w14:textId="77777777" w:rsidR="00A76D3B" w:rsidRDefault="00A76D3B" w:rsidP="0088206B">
      <w:pPr>
        <w:spacing w:line="480" w:lineRule="auto"/>
        <w:ind w:right="720"/>
      </w:pPr>
    </w:p>
    <w:p w14:paraId="48543957" w14:textId="77777777" w:rsidR="00A76D3B" w:rsidRPr="00FB10D1" w:rsidRDefault="00436D71" w:rsidP="0088206B">
      <w:pPr>
        <w:pStyle w:val="ListParagraph"/>
        <w:numPr>
          <w:ilvl w:val="1"/>
          <w:numId w:val="10"/>
        </w:numPr>
        <w:spacing w:line="480" w:lineRule="auto"/>
        <w:ind w:right="720"/>
        <w:rPr>
          <w:i/>
          <w:smallCaps/>
        </w:rPr>
      </w:pPr>
      <w:r w:rsidRPr="00FB10D1">
        <w:rPr>
          <w:i/>
          <w:smallCaps/>
        </w:rPr>
        <w:t xml:space="preserve">The </w:t>
      </w:r>
      <w:r w:rsidR="003B2EC5" w:rsidRPr="00FB10D1">
        <w:rPr>
          <w:i/>
          <w:smallCaps/>
        </w:rPr>
        <w:t xml:space="preserve">Vanguard of the </w:t>
      </w:r>
      <w:r w:rsidRPr="00FB10D1">
        <w:rPr>
          <w:i/>
          <w:smallCaps/>
        </w:rPr>
        <w:t>Free School</w:t>
      </w:r>
    </w:p>
    <w:p w14:paraId="6228A076" w14:textId="77777777" w:rsidR="00B770E4" w:rsidRDefault="00E3091A" w:rsidP="00E3091A">
      <w:pPr>
        <w:spacing w:line="480" w:lineRule="auto"/>
        <w:ind w:right="720" w:firstLine="720"/>
      </w:pPr>
      <w:r>
        <w:t xml:space="preserve">Since the Founding, approaches to public education have varied widely from state to state. </w:t>
      </w:r>
      <w:r w:rsidR="00825F5B">
        <w:t>Ten of the twenty-three states in the Union in 1820 made no mention of education in their constitutions.</w:t>
      </w:r>
      <w:bookmarkStart w:id="34" w:name="_Ref291716776"/>
      <w:r w:rsidR="009F48F1">
        <w:rPr>
          <w:rStyle w:val="FootnoteReference"/>
        </w:rPr>
        <w:footnoteReference w:id="116"/>
      </w:r>
      <w:bookmarkEnd w:id="34"/>
      <w:r w:rsidR="009F48F1">
        <w:t xml:space="preserve"> Six of the remaining thirteen—Massachusetts, New Hampshire, Vermont, Maine, Ohio, and Indiana—</w:t>
      </w:r>
      <w:r w:rsidR="00400D1D">
        <w:t>required education.</w:t>
      </w:r>
      <w:r w:rsidR="00F60103">
        <w:rPr>
          <w:rStyle w:val="FootnoteReference"/>
        </w:rPr>
        <w:footnoteReference w:id="117"/>
      </w:r>
      <w:r w:rsidR="00400D1D">
        <w:t xml:space="preserve"> </w:t>
      </w:r>
      <w:r w:rsidR="00AE54A2">
        <w:t xml:space="preserve">Alabama, Delaware, Georgia, and </w:t>
      </w:r>
      <w:r w:rsidR="00546963">
        <w:t>Mississippi</w:t>
      </w:r>
      <w:r w:rsidR="00AE54A2">
        <w:t xml:space="preserve"> had less directive provisions in their</w:t>
      </w:r>
      <w:r w:rsidR="00822C37">
        <w:t xml:space="preserve"> constitutions, and North Carolina, Pennsylvania, and Vermont provided for public instruction “at low prices.”</w:t>
      </w:r>
      <w:r w:rsidR="00F60103">
        <w:rPr>
          <w:rStyle w:val="FootnoteReference"/>
        </w:rPr>
        <w:footnoteReference w:id="118"/>
      </w:r>
      <w:r w:rsidR="00AE54A2">
        <w:t xml:space="preserve"> </w:t>
      </w:r>
      <w:r w:rsidR="00F60103">
        <w:t>The evolution of educational funding was similarly dissimilar, but there were general patterns, first with modest state funding to private, parochial, and philanthropic organization</w:t>
      </w:r>
      <w:r w:rsidR="00973C0A">
        <w:t>s</w:t>
      </w:r>
      <w:r w:rsidR="00F60103">
        <w:t>; then local communities were conferred authority to levy a property tax to fund schools; requiring minimum rates of taxation with “rate bills” making up any deficit in school budgets; and lastly, the requirement of a free public education and establishment of enforcement mechanisms</w:t>
      </w:r>
      <w:r w:rsidR="00304C78">
        <w:t>.</w:t>
      </w:r>
      <w:r w:rsidR="00F60103">
        <w:rPr>
          <w:rStyle w:val="FootnoteReference"/>
        </w:rPr>
        <w:footnoteReference w:id="119"/>
      </w:r>
      <w:r w:rsidR="00304C78">
        <w:t xml:space="preserve"> In the immediate </w:t>
      </w:r>
      <w:proofErr w:type="spellStart"/>
      <w:r w:rsidR="00304C78">
        <w:t>postbellum</w:t>
      </w:r>
      <w:proofErr w:type="spellEnd"/>
      <w:r w:rsidR="00304C78">
        <w:t xml:space="preserve"> years, with </w:t>
      </w:r>
      <w:r w:rsidR="00304C78">
        <w:lastRenderedPageBreak/>
        <w:t>the exception of parts of New England</w:t>
      </w:r>
      <w:r w:rsidR="00973C0A">
        <w:t xml:space="preserve"> and</w:t>
      </w:r>
      <w:r w:rsidR="00304C78">
        <w:t xml:space="preserve"> the upper Midwest, racial segregation in schools was </w:t>
      </w:r>
      <w:r w:rsidR="005566ED">
        <w:t>the norm, with a mix of de jure and voluntary segregation.</w:t>
      </w:r>
      <w:r w:rsidR="00153A2C">
        <w:rPr>
          <w:rStyle w:val="FootnoteReference"/>
        </w:rPr>
        <w:footnoteReference w:id="120"/>
      </w:r>
    </w:p>
    <w:p w14:paraId="4BA0B13F" w14:textId="77777777" w:rsidR="002017FD" w:rsidRDefault="00641E12" w:rsidP="002017FD">
      <w:pPr>
        <w:spacing w:line="480" w:lineRule="auto"/>
        <w:ind w:right="720" w:firstLine="720"/>
      </w:pPr>
      <w:r w:rsidRPr="002F741E">
        <w:t>Before the Civil War, education stood sentinel at two distinct</w:t>
      </w:r>
      <w:r>
        <w:t xml:space="preserve"> but related</w:t>
      </w:r>
      <w:r w:rsidRPr="002F741E">
        <w:t xml:space="preserve"> social boundaries in </w:t>
      </w:r>
      <w:r w:rsidR="00B52A7E">
        <w:t>slaveholding s</w:t>
      </w:r>
      <w:r>
        <w:t>tates</w:t>
      </w:r>
      <w:r w:rsidRPr="002F741E">
        <w:t>.</w:t>
      </w:r>
      <w:bookmarkStart w:id="35" w:name="_Ref291696221"/>
      <w:r w:rsidR="00B52A7E" w:rsidRPr="002F741E">
        <w:rPr>
          <w:rStyle w:val="FootnoteReference"/>
        </w:rPr>
        <w:footnoteReference w:id="121"/>
      </w:r>
      <w:bookmarkEnd w:id="35"/>
      <w:r w:rsidRPr="002F741E">
        <w:t xml:space="preserve"> One was the </w:t>
      </w:r>
      <w:r w:rsidR="00B52A7E">
        <w:t>“</w:t>
      </w:r>
      <w:r w:rsidRPr="002F741E">
        <w:t>heavily fortified</w:t>
      </w:r>
      <w:r w:rsidR="00B52A7E">
        <w:t>”</w:t>
      </w:r>
      <w:r w:rsidR="00D42486">
        <w:t xml:space="preserve"> boundary between </w:t>
      </w:r>
      <w:r w:rsidRPr="002F741E">
        <w:t>white and black learners.</w:t>
      </w:r>
      <w:r w:rsidR="00D42486" w:rsidRPr="002F741E">
        <w:rPr>
          <w:rStyle w:val="FootnoteReference"/>
        </w:rPr>
        <w:footnoteReference w:id="122"/>
      </w:r>
      <w:r w:rsidRPr="002F741E">
        <w:t xml:space="preserve"> The </w:t>
      </w:r>
      <w:r w:rsidR="000C08B3">
        <w:t xml:space="preserve">other </w:t>
      </w:r>
      <w:r w:rsidR="00D42486">
        <w:t>was</w:t>
      </w:r>
      <w:r w:rsidR="000C08B3">
        <w:t xml:space="preserve"> a</w:t>
      </w:r>
      <w:r w:rsidR="00D42486">
        <w:t xml:space="preserve"> more pervious</w:t>
      </w:r>
      <w:r w:rsidRPr="002F741E">
        <w:t xml:space="preserve"> but still </w:t>
      </w:r>
      <w:r w:rsidR="000C08B3">
        <w:t>unmistakable palisade</w:t>
      </w:r>
      <w:r w:rsidRPr="002F741E">
        <w:t xml:space="preserve"> between </w:t>
      </w:r>
      <w:r w:rsidR="000C08B3">
        <w:t>different</w:t>
      </w:r>
      <w:r w:rsidRPr="002F741E">
        <w:t xml:space="preserve"> white social classes.</w:t>
      </w:r>
      <w:bookmarkStart w:id="36" w:name="_Ref291696225"/>
      <w:r w:rsidRPr="002F741E">
        <w:rPr>
          <w:rStyle w:val="FootnoteReference"/>
        </w:rPr>
        <w:footnoteReference w:id="123"/>
      </w:r>
      <w:bookmarkEnd w:id="36"/>
      <w:r>
        <w:t xml:space="preserve"> </w:t>
      </w:r>
      <w:r w:rsidR="002017FD" w:rsidRPr="002F741E">
        <w:t>The debate over the education of free and freed children</w:t>
      </w:r>
      <w:r w:rsidR="002017FD">
        <w:t xml:space="preserve"> in the South</w:t>
      </w:r>
      <w:r w:rsidR="002017FD" w:rsidRPr="002F741E">
        <w:t xml:space="preserve"> </w:t>
      </w:r>
      <w:r w:rsidR="002017FD">
        <w:t>turned in significant part</w:t>
      </w:r>
      <w:r w:rsidR="002017FD" w:rsidRPr="002F741E">
        <w:t xml:space="preserve"> on the neglected opportunity of poor white children. </w:t>
      </w:r>
      <w:r w:rsidR="0019670C">
        <w:t xml:space="preserve">Formal </w:t>
      </w:r>
      <w:r w:rsidR="0019670C" w:rsidRPr="002F741E">
        <w:t xml:space="preserve">education </w:t>
      </w:r>
      <w:r w:rsidR="0019670C">
        <w:t xml:space="preserve">was </w:t>
      </w:r>
      <w:r w:rsidR="0019670C" w:rsidRPr="002F741E">
        <w:t>the purview of the planter class and achieved almost solely through private means.</w:t>
      </w:r>
      <w:r w:rsidR="0019670C" w:rsidRPr="002F741E">
        <w:rPr>
          <w:rStyle w:val="FootnoteReference"/>
        </w:rPr>
        <w:footnoteReference w:id="124"/>
      </w:r>
      <w:r w:rsidR="0019670C" w:rsidRPr="002F741E">
        <w:t xml:space="preserve"> Southern elites tolerated “pauper education” a</w:t>
      </w:r>
      <w:r w:rsidR="0019670C">
        <w:t>s</w:t>
      </w:r>
      <w:r w:rsidR="0019670C" w:rsidRPr="002F741E">
        <w:t xml:space="preserve"> a philanthropic endeavor, but the idea of state sanctioned education and in turn intervention in the socio-political worldview of southern aristocratic order was </w:t>
      </w:r>
      <w:r w:rsidR="0019670C">
        <w:t>met with often-violent hostility</w:t>
      </w:r>
      <w:r w:rsidR="0019670C" w:rsidRPr="002F741E">
        <w:t>.</w:t>
      </w:r>
      <w:r w:rsidR="0019670C" w:rsidRPr="002F741E">
        <w:rPr>
          <w:rStyle w:val="FootnoteReference"/>
        </w:rPr>
        <w:footnoteReference w:id="125"/>
      </w:r>
      <w:r w:rsidR="0019670C" w:rsidRPr="002F741E">
        <w:t xml:space="preserve"> </w:t>
      </w:r>
      <w:r w:rsidR="0019670C">
        <w:t xml:space="preserve">Education en masse </w:t>
      </w:r>
      <w:r w:rsidR="0019670C" w:rsidRPr="002F741E">
        <w:t xml:space="preserve">violated the </w:t>
      </w:r>
      <w:r w:rsidR="0019670C">
        <w:t>“</w:t>
      </w:r>
      <w:r w:rsidR="0019670C" w:rsidRPr="002F741E">
        <w:t>natural evolution of society,</w:t>
      </w:r>
      <w:r w:rsidR="0019670C">
        <w:t>”</w:t>
      </w:r>
      <w:r w:rsidR="0019670C" w:rsidRPr="002F741E">
        <w:t xml:space="preserve"> </w:t>
      </w:r>
      <w:r w:rsidR="0019670C">
        <w:t xml:space="preserve">and </w:t>
      </w:r>
      <w:r w:rsidR="0019670C" w:rsidRPr="002F741E">
        <w:t xml:space="preserve">threatened </w:t>
      </w:r>
      <w:r w:rsidR="0019670C">
        <w:t>patriarchal</w:t>
      </w:r>
      <w:r w:rsidR="0019670C" w:rsidRPr="002F741E">
        <w:t xml:space="preserve"> authority over children</w:t>
      </w:r>
      <w:r w:rsidR="00401779">
        <w:t xml:space="preserve"> and to </w:t>
      </w:r>
      <w:r w:rsidR="0019670C" w:rsidRPr="002F741E">
        <w:t xml:space="preserve">upset the reciprocal relations of </w:t>
      </w:r>
      <w:r w:rsidR="00E436AF">
        <w:t>owners and</w:t>
      </w:r>
      <w:r w:rsidR="0019670C">
        <w:t xml:space="preserve"> laborers</w:t>
      </w:r>
      <w:r w:rsidR="0019670C" w:rsidRPr="002F741E">
        <w:t>.</w:t>
      </w:r>
      <w:r w:rsidR="0019670C" w:rsidRPr="002F741E">
        <w:rPr>
          <w:rStyle w:val="FootnoteReference"/>
        </w:rPr>
        <w:footnoteReference w:id="126"/>
      </w:r>
      <w:r w:rsidR="0019670C" w:rsidRPr="002F741E">
        <w:t xml:space="preserve"> White</w:t>
      </w:r>
      <w:r w:rsidR="0019670C">
        <w:t>s</w:t>
      </w:r>
      <w:r w:rsidR="0019670C" w:rsidRPr="002F741E">
        <w:t xml:space="preserve"> lower in the social order showed little appetite for </w:t>
      </w:r>
      <w:r w:rsidR="0019670C" w:rsidRPr="002F741E">
        <w:lastRenderedPageBreak/>
        <w:t>challenging the planter regime.</w:t>
      </w:r>
      <w:r w:rsidR="0019670C" w:rsidRPr="002F741E">
        <w:rPr>
          <w:rStyle w:val="FootnoteReference"/>
        </w:rPr>
        <w:footnoteReference w:id="127"/>
      </w:r>
      <w:r w:rsidR="0019670C" w:rsidRPr="002F741E">
        <w:t xml:space="preserve"> “Indeed, </w:t>
      </w:r>
      <w:r w:rsidR="00BE3875">
        <w:t xml:space="preserve">established </w:t>
      </w:r>
      <w:r w:rsidR="0019670C" w:rsidRPr="002F741E">
        <w:t>economic, political, social, and psychological relationships bound southern whites to the ideological position of the planter regime.”</w:t>
      </w:r>
      <w:r w:rsidR="0019670C" w:rsidRPr="002F741E">
        <w:rPr>
          <w:rStyle w:val="FootnoteReference"/>
        </w:rPr>
        <w:footnoteReference w:id="128"/>
      </w:r>
      <w:r w:rsidR="0019670C" w:rsidRPr="002F741E">
        <w:t xml:space="preserve"> </w:t>
      </w:r>
      <w:r w:rsidR="00BE3875">
        <w:t>The result being that p</w:t>
      </w:r>
      <w:r w:rsidR="002017FD" w:rsidRPr="002F741E">
        <w:t xml:space="preserve">rior to the Thirteenth Amendment, there were no public education systems in the </w:t>
      </w:r>
      <w:r w:rsidR="00BE3875">
        <w:t>South, with the exceptions of</w:t>
      </w:r>
      <w:r w:rsidR="002017FD" w:rsidRPr="002F741E">
        <w:t xml:space="preserve"> </w:t>
      </w:r>
      <w:r w:rsidR="00BE3875">
        <w:t xml:space="preserve">in </w:t>
      </w:r>
      <w:r w:rsidR="002017FD" w:rsidRPr="002F741E">
        <w:t>Louisiana, North Carolina, Alabama, and Kentucky.</w:t>
      </w:r>
      <w:r w:rsidR="002017FD" w:rsidRPr="002F741E">
        <w:rPr>
          <w:rStyle w:val="FootnoteReference"/>
        </w:rPr>
        <w:footnoteReference w:id="129"/>
      </w:r>
      <w:r w:rsidR="002017FD" w:rsidRPr="002F741E">
        <w:rPr>
          <w:smallCaps/>
        </w:rPr>
        <w:t xml:space="preserve"> </w:t>
      </w:r>
      <w:r w:rsidR="00CB31C7">
        <w:t>Even where there was some semblance of p</w:t>
      </w:r>
      <w:r w:rsidR="00A9118E">
        <w:t>ublic</w:t>
      </w:r>
      <w:r w:rsidR="00CB31C7">
        <w:t>ly available education, t</w:t>
      </w:r>
      <w:r w:rsidR="002017FD" w:rsidRPr="002F741E">
        <w:t>he idea of p</w:t>
      </w:r>
      <w:r w:rsidR="00A9118E">
        <w:t>ublic</w:t>
      </w:r>
      <w:r w:rsidR="002017FD" w:rsidRPr="002F741E">
        <w:t xml:space="preserve">ly financed common schools remained </w:t>
      </w:r>
      <w:r w:rsidR="00CB31C7">
        <w:t xml:space="preserve">anathema </w:t>
      </w:r>
      <w:r w:rsidR="002017FD" w:rsidRPr="002F741E">
        <w:t>across the South until after the Civil War.</w:t>
      </w:r>
      <w:r w:rsidR="002017FD" w:rsidRPr="002F741E">
        <w:rPr>
          <w:rStyle w:val="FootnoteReference"/>
        </w:rPr>
        <w:footnoteReference w:id="130"/>
      </w:r>
      <w:r w:rsidR="002017FD" w:rsidRPr="002F741E">
        <w:t xml:space="preserve"> </w:t>
      </w:r>
    </w:p>
    <w:p w14:paraId="6EBCAAAE" w14:textId="77777777" w:rsidR="00741871" w:rsidRPr="002F741E" w:rsidRDefault="00E36CB3" w:rsidP="00FB10D1">
      <w:pPr>
        <w:spacing w:line="480" w:lineRule="auto"/>
        <w:ind w:right="720" w:firstLine="720"/>
      </w:pPr>
      <w:r>
        <w:t xml:space="preserve">In this light, </w:t>
      </w:r>
      <w:r w:rsidRPr="002F741E">
        <w:t>Federally sponsored education for free and freed blacks of the type ordered by General Banks threatened to unseat white supremacy in the South.</w:t>
      </w:r>
      <w:r w:rsidR="00E6673F">
        <w:rPr>
          <w:rStyle w:val="FootnoteReference"/>
        </w:rPr>
        <w:footnoteReference w:id="131"/>
      </w:r>
      <w:r w:rsidRPr="002F741E">
        <w:t xml:space="preserve"> On behalf of his constituents in Lafourche Parish, Louisiana, Representative C. Henry </w:t>
      </w:r>
      <w:proofErr w:type="spellStart"/>
      <w:r w:rsidRPr="002F741E">
        <w:t>Gruneberg</w:t>
      </w:r>
      <w:proofErr w:type="spellEnd"/>
      <w:r w:rsidRPr="002F741E">
        <w:t xml:space="preserve"> lamented that “the orders of the commanding general [Banks], which provided for the education of the colored before the white ones, might be followed up by laws from this assembly that would destroy the birth-right of the white man.”</w:t>
      </w:r>
      <w:r w:rsidRPr="002F741E">
        <w:rPr>
          <w:rStyle w:val="FootnoteReference"/>
        </w:rPr>
        <w:footnoteReference w:id="132"/>
      </w:r>
      <w:r w:rsidRPr="002F741E">
        <w:t xml:space="preserve"> The </w:t>
      </w:r>
      <w:proofErr w:type="spellStart"/>
      <w:r w:rsidRPr="002F741E">
        <w:lastRenderedPageBreak/>
        <w:t>Freepeople</w:t>
      </w:r>
      <w:proofErr w:type="spellEnd"/>
      <w:r w:rsidRPr="002F741E">
        <w:t xml:space="preserve"> dramatically parted ways with Southern hostility toward public education. In 1865, the </w:t>
      </w:r>
      <w:r w:rsidRPr="002F741E">
        <w:rPr>
          <w:i/>
        </w:rPr>
        <w:t>New Orleans Black Republic</w:t>
      </w:r>
      <w:r w:rsidRPr="002F741E">
        <w:t xml:space="preserve"> published a statement signed by black leaders in New Orleans that read: “Freedom and school books and newspapers, go hand in hand. Let us secure the freedom we have received by the intelligence that can maintain it.”</w:t>
      </w:r>
      <w:r w:rsidRPr="002F741E">
        <w:rPr>
          <w:rStyle w:val="FootnoteReference"/>
        </w:rPr>
        <w:footnoteReference w:id="133"/>
      </w:r>
    </w:p>
    <w:p w14:paraId="56ECCB86" w14:textId="77777777" w:rsidR="00E36CB3" w:rsidRDefault="008D3151" w:rsidP="003907EF">
      <w:pPr>
        <w:pStyle w:val="ListParagraph"/>
        <w:spacing w:line="480" w:lineRule="auto"/>
        <w:ind w:left="0" w:right="720"/>
      </w:pPr>
      <w:r w:rsidRPr="002F741E">
        <w:t xml:space="preserve"> </w:t>
      </w:r>
      <w:r>
        <w:tab/>
      </w:r>
      <w:r w:rsidRPr="002F741E">
        <w:t>“Few People who were not right in the midst of the scenes can form any exact idea of the intense desire which the people of my rac</w:t>
      </w:r>
      <w:r>
        <w:t>e showed for education,” wrote Booker T. Washington.</w:t>
      </w:r>
      <w:r w:rsidRPr="002F741E">
        <w:t xml:space="preserve"> </w:t>
      </w:r>
      <w:r>
        <w:t>“</w:t>
      </w:r>
      <w:r w:rsidRPr="002F741E">
        <w:t>It was a whole race trying to go to school. Few were too young, and none too old, to make the attempt to learn.”</w:t>
      </w:r>
      <w:r w:rsidRPr="002F741E">
        <w:rPr>
          <w:rStyle w:val="FootnoteReference"/>
        </w:rPr>
        <w:footnoteReference w:id="134"/>
      </w:r>
      <w:r w:rsidRPr="002F741E">
        <w:t xml:space="preserve"> </w:t>
      </w:r>
      <w:r w:rsidR="00087200" w:rsidRPr="00DD184C">
        <w:t xml:space="preserve">Mary McLeod Bethune </w:t>
      </w:r>
      <w:r w:rsidR="00087200">
        <w:t xml:space="preserve">fittingly noted: </w:t>
      </w:r>
      <w:r w:rsidR="00087200" w:rsidRPr="00DD184C">
        <w:t>“</w:t>
      </w:r>
      <w:r w:rsidR="00087200" w:rsidRPr="002F741E">
        <w:t>The whole world opened to me when I learned to read.”</w:t>
      </w:r>
      <w:r w:rsidR="00087200" w:rsidRPr="002F741E">
        <w:rPr>
          <w:rStyle w:val="FootnoteReference"/>
        </w:rPr>
        <w:footnoteReference w:id="135"/>
      </w:r>
      <w:r w:rsidR="00087200">
        <w:t xml:space="preserve"> </w:t>
      </w:r>
      <w:r w:rsidR="00DD184C">
        <w:t xml:space="preserve">For African Americans, literacy worked in tandem with emancipation; </w:t>
      </w:r>
      <w:r w:rsidR="00DD184C" w:rsidRPr="002F741E">
        <w:t xml:space="preserve">literacy </w:t>
      </w:r>
      <w:r w:rsidR="00DD184C">
        <w:t>merged with the</w:t>
      </w:r>
      <w:r w:rsidR="00DD184C" w:rsidRPr="002F741E">
        <w:t xml:space="preserve"> experience</w:t>
      </w:r>
      <w:r w:rsidR="00DD184C">
        <w:t xml:space="preserve"> of freedom.</w:t>
      </w:r>
      <w:r w:rsidR="00DD184C" w:rsidRPr="00DD184C">
        <w:rPr>
          <w:sz w:val="20"/>
          <w:szCs w:val="20"/>
        </w:rPr>
        <w:t xml:space="preserve"> </w:t>
      </w:r>
      <w:r w:rsidR="00087200">
        <w:t xml:space="preserve">For the </w:t>
      </w:r>
      <w:proofErr w:type="spellStart"/>
      <w:r w:rsidR="00087200">
        <w:t>Freepeople</w:t>
      </w:r>
      <w:proofErr w:type="spellEnd"/>
      <w:r w:rsidR="00087200">
        <w:t xml:space="preserve"> there was a sense of </w:t>
      </w:r>
      <w:r w:rsidR="008D5A91">
        <w:t xml:space="preserve">righteousness about themselves as </w:t>
      </w:r>
      <w:proofErr w:type="spellStart"/>
      <w:r w:rsidR="008D5A91">
        <w:t>rightholders</w:t>
      </w:r>
      <w:proofErr w:type="spellEnd"/>
      <w:r w:rsidR="008D5A91">
        <w:t>. “</w:t>
      </w:r>
      <w:r w:rsidR="00DD184C" w:rsidRPr="002F741E">
        <w:t xml:space="preserve">If I </w:t>
      </w:r>
      <w:proofErr w:type="spellStart"/>
      <w:r w:rsidR="00DD184C" w:rsidRPr="002F741E">
        <w:t>nebber</w:t>
      </w:r>
      <w:proofErr w:type="spellEnd"/>
      <w:r w:rsidR="00DD184C" w:rsidRPr="002F741E">
        <w:t xml:space="preserve"> </w:t>
      </w:r>
      <w:r w:rsidR="008D5A91">
        <w:t>does nothing more while I live,” a Mississippi freedman vowed, “</w:t>
      </w:r>
      <w:r w:rsidR="00DD184C" w:rsidRPr="002F741E">
        <w:t>I shall give my children a chance to go to school, for I considers education next best ting to liberty.”</w:t>
      </w:r>
      <w:r w:rsidR="00DD184C" w:rsidRPr="002F741E">
        <w:rPr>
          <w:rStyle w:val="FootnoteReference"/>
        </w:rPr>
        <w:footnoteReference w:id="136"/>
      </w:r>
      <w:r w:rsidR="00B22A2D">
        <w:t xml:space="preserve"> For black tea</w:t>
      </w:r>
      <w:r w:rsidR="0058689B">
        <w:t>chers and pupils, education embodie</w:t>
      </w:r>
      <w:r w:rsidR="00585EF5">
        <w:t>d</w:t>
      </w:r>
      <w:r w:rsidR="0058689B">
        <w:t xml:space="preserve"> the radical potential of Jeffersonian freedom, lifting them not only out of bondage but also providing moral </w:t>
      </w:r>
      <w:r w:rsidR="0033496E">
        <w:t>self-</w:t>
      </w:r>
      <w:r w:rsidR="0033496E">
        <w:lastRenderedPageBreak/>
        <w:t>possession</w:t>
      </w:r>
      <w:r w:rsidR="0058689B">
        <w:t xml:space="preserve"> and political personhood.</w:t>
      </w:r>
      <w:r w:rsidR="0033496E">
        <w:rPr>
          <w:rStyle w:val="FootnoteReference"/>
        </w:rPr>
        <w:footnoteReference w:id="137"/>
      </w:r>
      <w:r w:rsidR="0058689B">
        <w:t xml:space="preserve"> </w:t>
      </w:r>
      <w:r w:rsidR="003B62CC">
        <w:t>Seeking to “unshackle his mind,”</w:t>
      </w:r>
      <w:r w:rsidR="003B62CC" w:rsidRPr="00585BCC">
        <w:rPr>
          <w:rStyle w:val="FootnoteReference"/>
        </w:rPr>
        <w:t xml:space="preserve"> </w:t>
      </w:r>
      <w:r w:rsidR="00314854" w:rsidRPr="002F741E">
        <w:t>James W.C. Pennington</w:t>
      </w:r>
      <w:r w:rsidR="00585BCC">
        <w:t xml:space="preserve"> sought education</w:t>
      </w:r>
      <w:r w:rsidR="003B62CC">
        <w:t>.</w:t>
      </w:r>
      <w:r w:rsidR="00585BCC" w:rsidRPr="002F741E">
        <w:rPr>
          <w:rStyle w:val="FootnoteReference"/>
        </w:rPr>
        <w:footnoteReference w:id="138"/>
      </w:r>
      <w:r w:rsidR="00585BCC">
        <w:t xml:space="preserve"> </w:t>
      </w:r>
      <w:r w:rsidR="00314854" w:rsidRPr="002F741E">
        <w:t>“There is one sin that slavery committed against me, which I will never forgive. It robbed me of my education; the</w:t>
      </w:r>
      <w:r w:rsidR="00585BCC">
        <w:t xml:space="preserve"> injury is irreparable . . </w:t>
      </w:r>
      <w:proofErr w:type="gramStart"/>
      <w:r w:rsidR="00585BCC">
        <w:t>. .</w:t>
      </w:r>
      <w:proofErr w:type="gramEnd"/>
      <w:r w:rsidR="00585BCC">
        <w:t>”</w:t>
      </w:r>
      <w:r w:rsidR="00585BCC">
        <w:rPr>
          <w:rStyle w:val="FootnoteReference"/>
        </w:rPr>
        <w:footnoteReference w:id="139"/>
      </w:r>
    </w:p>
    <w:p w14:paraId="5548A653" w14:textId="77777777" w:rsidR="005210CC" w:rsidRPr="002F741E" w:rsidRDefault="003907EF" w:rsidP="003C6FB6">
      <w:pPr>
        <w:spacing w:line="480" w:lineRule="auto"/>
        <w:ind w:right="720"/>
      </w:pPr>
      <w:r>
        <w:t xml:space="preserve">For the </w:t>
      </w:r>
      <w:proofErr w:type="spellStart"/>
      <w:r>
        <w:t>Freepeople</w:t>
      </w:r>
      <w:proofErr w:type="spellEnd"/>
      <w:r>
        <w:t>, d</w:t>
      </w:r>
      <w:r w:rsidRPr="002F741E">
        <w:t>eprivation of the right to literacy was tantamount to slavery</w:t>
      </w:r>
      <w:r>
        <w:t xml:space="preserve">. </w:t>
      </w:r>
      <w:r w:rsidR="00F10478">
        <w:t xml:space="preserve">Adding a gloss to a Jeffersonian notion of slavery, slavery </w:t>
      </w:r>
      <w:r>
        <w:t>had denied black people the right to con</w:t>
      </w:r>
      <w:r w:rsidR="00314D91">
        <w:t>trol their persons and progeny; as free persons, they demanded to be able to organize their lives in accordance with their own sense of propriety,</w:t>
      </w:r>
      <w:r w:rsidR="00314D91">
        <w:rPr>
          <w:rStyle w:val="FootnoteReference"/>
        </w:rPr>
        <w:footnoteReference w:id="140"/>
      </w:r>
      <w:r w:rsidR="00314D91">
        <w:t xml:space="preserve"> and illiteracy smudged their status as sui </w:t>
      </w:r>
      <w:proofErr w:type="spellStart"/>
      <w:r w:rsidR="00314D91">
        <w:t>juris</w:t>
      </w:r>
      <w:proofErr w:type="spellEnd"/>
      <w:r w:rsidR="00314D91">
        <w:t xml:space="preserve">. </w:t>
      </w:r>
      <w:r w:rsidRPr="002F741E">
        <w:t>In describing the Black Codes that were passed in almost every Southern state after the Civil War was won</w:t>
      </w:r>
      <w:r w:rsidR="002924BB">
        <w:t xml:space="preserve"> “to put the state much in the place of the former master</w:t>
      </w:r>
      <w:r w:rsidRPr="002F741E">
        <w:t>,</w:t>
      </w:r>
      <w:r w:rsidR="002924BB">
        <w:t>”</w:t>
      </w:r>
      <w:r w:rsidR="002924BB">
        <w:rPr>
          <w:rStyle w:val="FootnoteReference"/>
        </w:rPr>
        <w:footnoteReference w:id="141"/>
      </w:r>
      <w:r w:rsidRPr="002F741E">
        <w:t xml:space="preserve"> a former slave described the laws as making “the condition of the freed Negro worse than when he had a master before the war.”</w:t>
      </w:r>
      <w:bookmarkStart w:id="37" w:name="_Ref291717980"/>
      <w:r w:rsidR="007A6561">
        <w:rPr>
          <w:rStyle w:val="FootnoteReference"/>
        </w:rPr>
        <w:footnoteReference w:id="142"/>
      </w:r>
      <w:bookmarkEnd w:id="37"/>
      <w:r w:rsidRPr="002F741E">
        <w:t xml:space="preserve"> </w:t>
      </w:r>
      <w:r w:rsidR="005210CC" w:rsidRPr="005210CC">
        <w:t xml:space="preserve">From the floor of the </w:t>
      </w:r>
      <w:r w:rsidR="005210CC" w:rsidRPr="005210CC">
        <w:lastRenderedPageBreak/>
        <w:t xml:space="preserve">House of Representatives, African American members of the Reconstruction Congress strenuously argued that </w:t>
      </w:r>
      <w:r w:rsidR="005637EB">
        <w:t xml:space="preserve">Section 5 of the </w:t>
      </w:r>
      <w:r w:rsidR="005210CC" w:rsidRPr="005210CC">
        <w:t xml:space="preserve">Fourteenth Amendment provided the constitutional </w:t>
      </w:r>
      <w:r w:rsidR="004261F8">
        <w:t xml:space="preserve">authority </w:t>
      </w:r>
      <w:r w:rsidR="00D613B4">
        <w:t xml:space="preserve">if not duty </w:t>
      </w:r>
      <w:r w:rsidR="005637EB">
        <w:t>for Congress to</w:t>
      </w:r>
      <w:r w:rsidR="00D613B4">
        <w:t xml:space="preserve"> </w:t>
      </w:r>
      <w:r w:rsidR="005210CC" w:rsidRPr="005210CC">
        <w:t xml:space="preserve">guarantee that the </w:t>
      </w:r>
      <w:proofErr w:type="spellStart"/>
      <w:r w:rsidR="005210CC">
        <w:t>F</w:t>
      </w:r>
      <w:r w:rsidR="005210CC" w:rsidRPr="005210CC">
        <w:t>reedpeople</w:t>
      </w:r>
      <w:proofErr w:type="spellEnd"/>
      <w:r w:rsidR="005210CC" w:rsidRPr="005210CC">
        <w:t xml:space="preserve"> </w:t>
      </w:r>
      <w:r w:rsidR="0076613D">
        <w:t>were not</w:t>
      </w:r>
      <w:r w:rsidR="00D54AD1">
        <w:t xml:space="preserve"> to</w:t>
      </w:r>
      <w:r w:rsidR="006E1D6D">
        <w:t xml:space="preserve"> be deprived </w:t>
      </w:r>
      <w:r w:rsidR="005210CC" w:rsidRPr="005210CC">
        <w:t>education</w:t>
      </w:r>
      <w:r w:rsidR="006E1D6D">
        <w:t xml:space="preserve"> and the freedom of which it is foundational</w:t>
      </w:r>
      <w:commentRangeStart w:id="38"/>
      <w:r w:rsidR="006E1D6D">
        <w:t>.</w:t>
      </w:r>
      <w:r w:rsidR="005210CC">
        <w:rPr>
          <w:rStyle w:val="FootnoteReference"/>
        </w:rPr>
        <w:footnoteReference w:id="143"/>
      </w:r>
      <w:commentRangeEnd w:id="38"/>
      <w:r w:rsidR="00E667D7">
        <w:rPr>
          <w:rStyle w:val="CommentReference"/>
        </w:rPr>
        <w:commentReference w:id="38"/>
      </w:r>
    </w:p>
    <w:p w14:paraId="5F21A567" w14:textId="77777777" w:rsidR="004C3ED0" w:rsidRDefault="00194AA2" w:rsidP="00194AA2">
      <w:pPr>
        <w:spacing w:line="480" w:lineRule="auto"/>
        <w:ind w:right="720" w:firstLine="720"/>
      </w:pPr>
      <w:r>
        <w:t xml:space="preserve">Given the political universe that grew up around the experience of slavery, it is no wonder that, as </w:t>
      </w:r>
      <w:r w:rsidR="002017FD" w:rsidRPr="002F741E">
        <w:t xml:space="preserve">W.E.B. Du Bois famously </w:t>
      </w:r>
      <w:r w:rsidR="00D54AD1" w:rsidRPr="002F741E">
        <w:t>declar</w:t>
      </w:r>
      <w:r w:rsidR="00D54AD1">
        <w:t>ed</w:t>
      </w:r>
      <w:r w:rsidR="002017FD" w:rsidRPr="002F741E">
        <w:t>, “[</w:t>
      </w:r>
      <w:proofErr w:type="gramStart"/>
      <w:r w:rsidR="002017FD" w:rsidRPr="002F741E">
        <w:t>t]he</w:t>
      </w:r>
      <w:proofErr w:type="gramEnd"/>
      <w:r w:rsidR="002017FD" w:rsidRPr="002F741E">
        <w:t xml:space="preserve"> first great mass movement for public education at the expense of the state, </w:t>
      </w:r>
      <w:r w:rsidR="00290A05">
        <w:t>in the South, came from Negroes.”</w:t>
      </w:r>
      <w:bookmarkStart w:id="39" w:name="_Ref291696624"/>
      <w:r w:rsidR="002017FD" w:rsidRPr="002F741E">
        <w:rPr>
          <w:rStyle w:val="FootnoteReference"/>
        </w:rPr>
        <w:footnoteReference w:id="144"/>
      </w:r>
      <w:bookmarkEnd w:id="39"/>
      <w:r w:rsidR="004E0054">
        <w:t xml:space="preserve"> The </w:t>
      </w:r>
      <w:r w:rsidR="009D0A8E">
        <w:t>antislavery</w:t>
      </w:r>
      <w:r w:rsidR="002017FD" w:rsidRPr="002F741E">
        <w:t xml:space="preserve"> tradition of educational </w:t>
      </w:r>
      <w:r w:rsidR="008D0E11" w:rsidRPr="002F741E">
        <w:t>self-help</w:t>
      </w:r>
      <w:r w:rsidR="002017FD" w:rsidRPr="002F741E">
        <w:t>, along with the work of black political leadership</w:t>
      </w:r>
      <w:r w:rsidR="00C5315C">
        <w:t>,</w:t>
      </w:r>
      <w:r w:rsidR="002017FD" w:rsidRPr="002F741E">
        <w:t xml:space="preserve"> </w:t>
      </w:r>
      <w:r w:rsidR="009D0A8E">
        <w:t xml:space="preserve">propelled forward the movement </w:t>
      </w:r>
      <w:r w:rsidR="002017FD" w:rsidRPr="002F741E">
        <w:t>for universal public education in the South.</w:t>
      </w:r>
      <w:r w:rsidR="002017FD" w:rsidRPr="002F741E">
        <w:rPr>
          <w:rStyle w:val="FootnoteReference"/>
        </w:rPr>
        <w:footnoteReference w:id="145"/>
      </w:r>
      <w:r w:rsidR="002017FD" w:rsidRPr="002F741E">
        <w:t xml:space="preserve"> </w:t>
      </w:r>
      <w:r w:rsidR="00506AAF">
        <w:t>E</w:t>
      </w:r>
      <w:r w:rsidR="002017FD" w:rsidRPr="002F741E">
        <w:t>xogenous factors support</w:t>
      </w:r>
      <w:r w:rsidR="00285657">
        <w:t>ed the movement—most notably</w:t>
      </w:r>
      <w:r w:rsidR="002017FD" w:rsidRPr="002F741E">
        <w:t xml:space="preserve"> federal </w:t>
      </w:r>
      <w:r w:rsidR="00285657">
        <w:t>power</w:t>
      </w:r>
      <w:r w:rsidR="00CD3E12">
        <w:rPr>
          <w:rStyle w:val="FootnoteReference"/>
        </w:rPr>
        <w:footnoteReference w:id="146"/>
      </w:r>
      <w:r w:rsidR="002017FD" w:rsidRPr="002F741E">
        <w:t>—</w:t>
      </w:r>
      <w:r w:rsidR="00506AAF">
        <w:lastRenderedPageBreak/>
        <w:t xml:space="preserve">but </w:t>
      </w:r>
      <w:r w:rsidR="002017FD" w:rsidRPr="002F741E">
        <w:t xml:space="preserve">the campaign was rooted </w:t>
      </w:r>
      <w:r w:rsidR="000E1D4D">
        <w:t xml:space="preserve">in </w:t>
      </w:r>
      <w:r w:rsidR="00BD6BB8">
        <w:t>resistan</w:t>
      </w:r>
      <w:r w:rsidR="00D54AD1">
        <w:t>ce</w:t>
      </w:r>
      <w:r w:rsidR="00BD6BB8">
        <w:t xml:space="preserve"> to slavery and </w:t>
      </w:r>
      <w:r w:rsidR="00CA7B5B">
        <w:t>the</w:t>
      </w:r>
      <w:r w:rsidR="002017FD" w:rsidRPr="002F741E">
        <w:t xml:space="preserve"> </w:t>
      </w:r>
      <w:proofErr w:type="spellStart"/>
      <w:r w:rsidR="00CA7B5B">
        <w:t>Freepeople’s</w:t>
      </w:r>
      <w:proofErr w:type="spellEnd"/>
      <w:r w:rsidR="00CA7B5B">
        <w:t xml:space="preserve"> </w:t>
      </w:r>
      <w:r w:rsidR="002017FD" w:rsidRPr="002F741E">
        <w:t xml:space="preserve">unyielding desire </w:t>
      </w:r>
      <w:r w:rsidR="00CA7B5B">
        <w:t xml:space="preserve">for </w:t>
      </w:r>
      <w:r w:rsidR="00EB45D4">
        <w:t>self-determination</w:t>
      </w:r>
      <w:r w:rsidR="002017FD" w:rsidRPr="002F741E">
        <w:t>.</w:t>
      </w:r>
      <w:r w:rsidR="002017FD" w:rsidRPr="002F741E">
        <w:rPr>
          <w:rStyle w:val="FootnoteReference"/>
        </w:rPr>
        <w:footnoteReference w:id="147"/>
      </w:r>
    </w:p>
    <w:p w14:paraId="28D345CC" w14:textId="77777777" w:rsidR="00744AA0" w:rsidRDefault="00EB046E" w:rsidP="00EB046E">
      <w:pPr>
        <w:spacing w:line="480" w:lineRule="auto"/>
        <w:ind w:right="720" w:firstLine="720"/>
      </w:pPr>
      <w:r w:rsidRPr="002F741E">
        <w:t xml:space="preserve">Notwithstanding political rhetoric in opposition to black education, by 1870 every southern state constitution had a provision for state-funded public education for the benefit of </w:t>
      </w:r>
      <w:r w:rsidRPr="002F741E">
        <w:rPr>
          <w:i/>
        </w:rPr>
        <w:t>all</w:t>
      </w:r>
      <w:r w:rsidRPr="002F741E">
        <w:t xml:space="preserve"> children in the South.</w:t>
      </w:r>
      <w:r w:rsidRPr="002F741E">
        <w:rPr>
          <w:rStyle w:val="FootnoteReference"/>
        </w:rPr>
        <w:footnoteReference w:id="148"/>
      </w:r>
      <w:r w:rsidRPr="002F741E">
        <w:t xml:space="preserve"> The </w:t>
      </w:r>
      <w:proofErr w:type="spellStart"/>
      <w:r w:rsidRPr="002F741E">
        <w:t>Freepeople</w:t>
      </w:r>
      <w:proofErr w:type="spellEnd"/>
      <w:r w:rsidRPr="002F741E">
        <w:t>, however, were not inclined to wait for the benevolence of the political elite. In 1865, when the school board in Louisiana established by military order</w:t>
      </w:r>
      <w:r w:rsidRPr="002F741E">
        <w:rPr>
          <w:rStyle w:val="FootnoteReference"/>
        </w:rPr>
        <w:footnoteReference w:id="149"/>
      </w:r>
      <w:r w:rsidRPr="002F741E">
        <w:t xml:space="preserve"> voted to suspend collection of the five percent school tax, a harbinger for </w:t>
      </w:r>
      <w:r>
        <w:t xml:space="preserve">the closing of </w:t>
      </w:r>
      <w:r w:rsidR="00295909">
        <w:t xml:space="preserve">schools </w:t>
      </w:r>
      <w:r>
        <w:t xml:space="preserve">for </w:t>
      </w:r>
      <w:proofErr w:type="spellStart"/>
      <w:r>
        <w:t>Free</w:t>
      </w:r>
      <w:r w:rsidRPr="002F741E">
        <w:t>children</w:t>
      </w:r>
      <w:proofErr w:type="spellEnd"/>
      <w:r w:rsidRPr="002F741E">
        <w:t xml:space="preserve">, Major General E.R.S. Canby received a petition signed by </w:t>
      </w:r>
      <w:proofErr w:type="gramStart"/>
      <w:r w:rsidRPr="002F741E">
        <w:t>ten-thousand</w:t>
      </w:r>
      <w:proofErr w:type="gramEnd"/>
      <w:r w:rsidRPr="002F741E">
        <w:t xml:space="preserve"> </w:t>
      </w:r>
      <w:proofErr w:type="spellStart"/>
      <w:r w:rsidRPr="002F741E">
        <w:t>Freedpeople</w:t>
      </w:r>
      <w:proofErr w:type="spellEnd"/>
      <w:r w:rsidRPr="002F741E">
        <w:t xml:space="preserve"> demanding the tax be reinstated.</w:t>
      </w:r>
      <w:r w:rsidRPr="002F741E">
        <w:rPr>
          <w:rStyle w:val="FootnoteReference"/>
        </w:rPr>
        <w:footnoteReference w:id="150"/>
      </w:r>
      <w:r w:rsidRPr="002F741E">
        <w:t xml:space="preserve"> While attending a mass meeting on the school tax, the superintendent of schools i</w:t>
      </w:r>
      <w:r w:rsidR="00546963">
        <w:t xml:space="preserve">n Baton Rouge spoke of the </w:t>
      </w:r>
      <w:proofErr w:type="spellStart"/>
      <w:r w:rsidR="00546963">
        <w:t>Free</w:t>
      </w:r>
      <w:r w:rsidRPr="002F741E">
        <w:t>people’s</w:t>
      </w:r>
      <w:proofErr w:type="spellEnd"/>
      <w:r w:rsidRPr="002F741E">
        <w:t xml:space="preserve"> imperturbable commitment to black education. “I requested that all who were in favor of supporting the school for their children by a system of ‘taxation’ . . . to stand on their feet. The house was crowded to overflowing, probably 1,000 were present, and </w:t>
      </w:r>
      <w:r w:rsidRPr="002F741E">
        <w:rPr>
          <w:i/>
        </w:rPr>
        <w:t xml:space="preserve">every man and woman </w:t>
      </w:r>
      <w:r w:rsidRPr="002F741E">
        <w:t xml:space="preserve">stood erect. I say </w:t>
      </w:r>
      <w:r w:rsidRPr="002F741E">
        <w:rPr>
          <w:smallCaps/>
        </w:rPr>
        <w:t>erect</w:t>
      </w:r>
      <w:r w:rsidRPr="002F741E">
        <w:t xml:space="preserve"> and I mean it too, for the motion was received without a shout, and the house fairly trembled.”</w:t>
      </w:r>
      <w:r w:rsidRPr="002F741E">
        <w:rPr>
          <w:rStyle w:val="FootnoteReference"/>
        </w:rPr>
        <w:footnoteReference w:id="151"/>
      </w:r>
      <w:r w:rsidRPr="002F741E">
        <w:t xml:space="preserve"> In response to President Andrew Johnson</w:t>
      </w:r>
      <w:r w:rsidR="00295909">
        <w:t>’</w:t>
      </w:r>
      <w:r w:rsidRPr="002F741E">
        <w:t xml:space="preserve">s refusal to reinstate the school tax, thus cutting off the largest source of funding for schools for the </w:t>
      </w:r>
      <w:proofErr w:type="spellStart"/>
      <w:r w:rsidRPr="002F741E">
        <w:t>Freedpeople</w:t>
      </w:r>
      <w:proofErr w:type="spellEnd"/>
      <w:r w:rsidRPr="002F741E">
        <w:t xml:space="preserve"> in Louisiana, the </w:t>
      </w:r>
      <w:proofErr w:type="spellStart"/>
      <w:r w:rsidRPr="002F741E">
        <w:t>Freedpeople</w:t>
      </w:r>
      <w:proofErr w:type="spellEnd"/>
      <w:r w:rsidRPr="002F741E">
        <w:t xml:space="preserve"> set up associations, e.g. the Louisiana Education Relief </w:t>
      </w:r>
      <w:r w:rsidRPr="002F741E">
        <w:lastRenderedPageBreak/>
        <w:t>Association, to help poorer families pay to have their children educat</w:t>
      </w:r>
      <w:r w:rsidR="00295909">
        <w:t>ed</w:t>
      </w:r>
      <w:r w:rsidRPr="002F741E">
        <w:t>.</w:t>
      </w:r>
      <w:r w:rsidRPr="002F741E">
        <w:rPr>
          <w:rStyle w:val="FootnoteReference"/>
        </w:rPr>
        <w:footnoteReference w:id="152"/>
      </w:r>
      <w:r w:rsidRPr="002F741E">
        <w:t xml:space="preserve"> While sure to recognize the support of the Freedman’s Bureau and northern benevolence, J. Willis Menard, secretary of the Association maintained that the </w:t>
      </w:r>
      <w:proofErr w:type="spellStart"/>
      <w:r w:rsidRPr="002F741E">
        <w:t>Freepeople’s</w:t>
      </w:r>
      <w:proofErr w:type="spellEnd"/>
      <w:r w:rsidRPr="002F741E">
        <w:t xml:space="preserve"> </w:t>
      </w:r>
      <w:r w:rsidR="00926BDD">
        <w:t>stating their claim to</w:t>
      </w:r>
      <w:r w:rsidRPr="002F741E">
        <w:t xml:space="preserve"> national citizens</w:t>
      </w:r>
      <w:r w:rsidR="00926BDD">
        <w:t>hip</w:t>
      </w:r>
      <w:r w:rsidRPr="002F741E">
        <w:t xml:space="preserve"> rested in large part on their shoulders: “the colored people are called today to mark out on the map of life with their </w:t>
      </w:r>
      <w:r w:rsidRPr="002F741E">
        <w:rPr>
          <w:i/>
        </w:rPr>
        <w:t>own hands</w:t>
      </w:r>
      <w:r w:rsidRPr="002F741E">
        <w:t xml:space="preserve"> their future course or locality in the great national body politic.” Menard recognized that literacy and the civil rights of the </w:t>
      </w:r>
      <w:proofErr w:type="spellStart"/>
      <w:r w:rsidRPr="002F741E">
        <w:t>Freepeople</w:t>
      </w:r>
      <w:proofErr w:type="spellEnd"/>
      <w:r w:rsidRPr="002F741E">
        <w:t xml:space="preserve"> were inalienable.</w:t>
      </w:r>
      <w:r w:rsidRPr="002F741E">
        <w:rPr>
          <w:rStyle w:val="FootnoteReference"/>
        </w:rPr>
        <w:footnoteReference w:id="153"/>
      </w:r>
      <w:r w:rsidRPr="002F741E">
        <w:t xml:space="preserve"> </w:t>
      </w:r>
    </w:p>
    <w:p w14:paraId="4C2973BB" w14:textId="77777777" w:rsidR="00EB046E" w:rsidRPr="002F741E" w:rsidRDefault="00EB046E" w:rsidP="007976A2">
      <w:pPr>
        <w:spacing w:line="480" w:lineRule="auto"/>
        <w:ind w:firstLine="720"/>
      </w:pPr>
      <w:r w:rsidRPr="002F741E">
        <w:t>T</w:t>
      </w:r>
      <w:r>
        <w:t xml:space="preserve">he </w:t>
      </w:r>
      <w:proofErr w:type="spellStart"/>
      <w:r>
        <w:t>Freepeople’s</w:t>
      </w:r>
      <w:proofErr w:type="spellEnd"/>
      <w:r>
        <w:t xml:space="preserve"> élan to be self-</w:t>
      </w:r>
      <w:r w:rsidRPr="002F741E">
        <w:t>taught is also demonstrated by the fact that between 1861 and 1876, black teachers outnumbered white teachers from the North four to three.</w:t>
      </w:r>
      <w:r w:rsidRPr="002F741E">
        <w:rPr>
          <w:rStyle w:val="FootnoteReference"/>
        </w:rPr>
        <w:footnoteReference w:id="154"/>
      </w:r>
      <w:r w:rsidR="00744AA0">
        <w:t xml:space="preserve"> </w:t>
      </w:r>
      <w:r w:rsidRPr="002F741E">
        <w:t>In January 1866, in his first semi-annual report on the Freedmen’s Bureau schools, John Alvord, who had been appointed inspector of schools (his title was later changed to general superintendent of schools)</w:t>
      </w:r>
      <w:r w:rsidR="00546963">
        <w:t xml:space="preserve"> for the Bureau, noted the </w:t>
      </w:r>
      <w:proofErr w:type="spellStart"/>
      <w:r w:rsidR="00546963">
        <w:t>Free</w:t>
      </w:r>
      <w:r w:rsidRPr="002F741E">
        <w:t>people’s</w:t>
      </w:r>
      <w:proofErr w:type="spellEnd"/>
      <w:r w:rsidRPr="002F741E">
        <w:t xml:space="preserve"> practice of “self-teaching” and the establishment of “native schools” across the South that operated independently of Bureau-supported schools and Northern benevolent societies.</w:t>
      </w:r>
      <w:bookmarkStart w:id="40" w:name="_Ref291708156"/>
      <w:r w:rsidRPr="002F741E">
        <w:rPr>
          <w:rStyle w:val="FootnoteReference"/>
        </w:rPr>
        <w:footnoteReference w:id="155"/>
      </w:r>
      <w:bookmarkEnd w:id="40"/>
      <w:r w:rsidRPr="002F741E">
        <w:t xml:space="preserve"> Importantly, Alvord observed, “this </w:t>
      </w:r>
      <w:r w:rsidRPr="002F741E">
        <w:lastRenderedPageBreak/>
        <w:t>educational movement among the freedmen has in it a self-sustaining element.”</w:t>
      </w:r>
      <w:r w:rsidRPr="002F741E">
        <w:rPr>
          <w:rStyle w:val="FootnoteReference"/>
        </w:rPr>
        <w:footnoteReference w:id="156"/>
      </w:r>
      <w:r w:rsidRPr="002F741E">
        <w:t xml:space="preserve"> The self-sustaining dimension of the </w:t>
      </w:r>
      <w:proofErr w:type="spellStart"/>
      <w:r w:rsidR="00546963" w:rsidRPr="002F741E">
        <w:t>Freepeople’s</w:t>
      </w:r>
      <w:proofErr w:type="spellEnd"/>
      <w:r w:rsidRPr="002F741E">
        <w:t xml:space="preserve"> educational self-help, and the concomitant “ambition” to bear the financial costs of schooling,</w:t>
      </w:r>
      <w:r w:rsidRPr="002F741E">
        <w:rPr>
          <w:rStyle w:val="FootnoteReference"/>
        </w:rPr>
        <w:footnoteReference w:id="157"/>
      </w:r>
      <w:r w:rsidRPr="002F741E">
        <w:t xml:space="preserve"> bespoke customs that have deep roots in the experience of slavery.</w:t>
      </w:r>
      <w:r w:rsidRPr="002F741E">
        <w:rPr>
          <w:rStyle w:val="FootnoteReference"/>
        </w:rPr>
        <w:footnoteReference w:id="158"/>
      </w:r>
      <w:r w:rsidRPr="002F741E">
        <w:t xml:space="preserve"> </w:t>
      </w:r>
      <w:r w:rsidR="00EC4DCA" w:rsidRPr="00EC4DCA">
        <w:t>In</w:t>
      </w:r>
      <w:r w:rsidR="00EC4DCA" w:rsidRPr="002F741E">
        <w:rPr>
          <w:smallCaps/>
        </w:rPr>
        <w:t xml:space="preserve"> 1867, </w:t>
      </w:r>
      <w:r w:rsidR="00EC4DCA" w:rsidRPr="002F741E">
        <w:t xml:space="preserve">more than half of schools in the South were financially supported in part by the </w:t>
      </w:r>
      <w:proofErr w:type="spellStart"/>
      <w:r w:rsidR="00EC4DCA" w:rsidRPr="002F741E">
        <w:t>Freedpeople</w:t>
      </w:r>
      <w:proofErr w:type="spellEnd"/>
      <w:r w:rsidR="00EC4DCA" w:rsidRPr="002F741E">
        <w:t>.</w:t>
      </w:r>
      <w:r w:rsidR="00EC4DCA">
        <w:rPr>
          <w:rStyle w:val="FootnoteReference"/>
        </w:rPr>
        <w:footnoteReference w:id="159"/>
      </w:r>
      <w:r w:rsidR="00EC4DCA" w:rsidRPr="002F741E">
        <w:t xml:space="preserve"> </w:t>
      </w:r>
      <w:r w:rsidR="00A946BF">
        <w:t>Of the</w:t>
      </w:r>
      <w:r w:rsidR="00EC4DCA" w:rsidRPr="002F741E">
        <w:t xml:space="preserve"> 78,000 </w:t>
      </w:r>
      <w:r w:rsidR="00A946BF">
        <w:t>black students,</w:t>
      </w:r>
      <w:r w:rsidR="00EC4DCA" w:rsidRPr="002F741E">
        <w:t xml:space="preserve"> fifteen thousand pa</w:t>
      </w:r>
      <w:r w:rsidR="00295909">
        <w:t>id</w:t>
      </w:r>
      <w:r w:rsidR="00EC4DCA" w:rsidRPr="002F741E">
        <w:t xml:space="preserve"> some tuition, amounting </w:t>
      </w:r>
      <w:r w:rsidR="00A946BF">
        <w:t>to $11,377,03 per month total.</w:t>
      </w:r>
      <w:r w:rsidR="004C4C48">
        <w:rPr>
          <w:rStyle w:val="FootnoteReference"/>
        </w:rPr>
        <w:footnoteReference w:id="160"/>
      </w:r>
      <w:r w:rsidR="004C4C48">
        <w:t xml:space="preserve"> </w:t>
      </w:r>
      <w:r w:rsidRPr="002F741E">
        <w:t xml:space="preserve">From the </w:t>
      </w:r>
      <w:proofErr w:type="spellStart"/>
      <w:r w:rsidRPr="002F741E">
        <w:t>Freedpeople</w:t>
      </w:r>
      <w:proofErr w:type="spellEnd"/>
      <w:r w:rsidRPr="002F741E">
        <w:t>, Alvord reported hearing: “[</w:t>
      </w:r>
      <w:proofErr w:type="gramStart"/>
      <w:r w:rsidRPr="002F741E">
        <w:t>W]e</w:t>
      </w:r>
      <w:proofErr w:type="gramEnd"/>
      <w:r w:rsidRPr="002F741E">
        <w:t xml:space="preserve"> </w:t>
      </w:r>
      <w:r w:rsidR="00295909">
        <w:t>w</w:t>
      </w:r>
      <w:r w:rsidRPr="002F741E">
        <w:t xml:space="preserve">ant to show how much we can do </w:t>
      </w:r>
      <w:r w:rsidRPr="002F741E">
        <w:rPr>
          <w:i/>
        </w:rPr>
        <w:t>ourselves</w:t>
      </w:r>
      <w:r w:rsidRPr="002F741E">
        <w:t>, if you will only give us a chance.”</w:t>
      </w:r>
      <w:r w:rsidRPr="002F741E">
        <w:rPr>
          <w:rStyle w:val="FootnoteReference"/>
        </w:rPr>
        <w:footnoteReference w:id="161"/>
      </w:r>
      <w:r w:rsidRPr="002F741E">
        <w:t xml:space="preserve"> This plea illustrates the salient relationship between the </w:t>
      </w:r>
      <w:proofErr w:type="spellStart"/>
      <w:r w:rsidR="00546963" w:rsidRPr="002F741E">
        <w:t>Freepeople’s</w:t>
      </w:r>
      <w:proofErr w:type="spellEnd"/>
      <w:r w:rsidRPr="002F741E">
        <w:t xml:space="preserve"> self-efflorescence as citizens and the federal government’s role in allowing the </w:t>
      </w:r>
      <w:proofErr w:type="spellStart"/>
      <w:r w:rsidRPr="002F741E">
        <w:t>Freepeople</w:t>
      </w:r>
      <w:proofErr w:type="spellEnd"/>
      <w:r w:rsidRPr="002F741E">
        <w:t xml:space="preserve"> to take the rank of citizen.</w:t>
      </w:r>
      <w:r w:rsidRPr="002F741E">
        <w:rPr>
          <w:rStyle w:val="FootnoteReference"/>
        </w:rPr>
        <w:footnoteReference w:id="162"/>
      </w:r>
    </w:p>
    <w:p w14:paraId="6D49B7DB" w14:textId="77777777" w:rsidR="00EE2E66" w:rsidRPr="002F741E" w:rsidRDefault="00E6673F" w:rsidP="00E6673F">
      <w:pPr>
        <w:spacing w:line="480" w:lineRule="auto"/>
        <w:rPr>
          <w:b/>
        </w:rPr>
      </w:pPr>
      <w:r w:rsidRPr="002F741E">
        <w:rPr>
          <w:b/>
        </w:rPr>
        <w:lastRenderedPageBreak/>
        <w:t>[Insert table</w:t>
      </w:r>
      <w:r>
        <w:rPr>
          <w:b/>
        </w:rPr>
        <w:t>s re black schools and enrollment</w:t>
      </w:r>
      <w:r w:rsidR="00295909">
        <w:rPr>
          <w:b/>
        </w:rPr>
        <w:t>.</w:t>
      </w:r>
      <w:r w:rsidRPr="002F741E">
        <w:rPr>
          <w:b/>
        </w:rPr>
        <w:t>]</w:t>
      </w:r>
    </w:p>
    <w:p w14:paraId="401F2E1E" w14:textId="77777777" w:rsidR="00E36CB3" w:rsidRDefault="00E36CB3" w:rsidP="00E36CB3">
      <w:pPr>
        <w:spacing w:line="480" w:lineRule="auto"/>
      </w:pPr>
    </w:p>
    <w:p w14:paraId="0738FB8F" w14:textId="77777777" w:rsidR="00B770E4" w:rsidRPr="00E0408B" w:rsidRDefault="00E0408B" w:rsidP="00E0408B">
      <w:pPr>
        <w:pStyle w:val="ListParagraph"/>
        <w:numPr>
          <w:ilvl w:val="1"/>
          <w:numId w:val="10"/>
        </w:numPr>
        <w:spacing w:line="480" w:lineRule="auto"/>
        <w:rPr>
          <w:b/>
          <w:iCs/>
          <w:smallCaps/>
        </w:rPr>
      </w:pPr>
      <w:r w:rsidRPr="00E0408B">
        <w:rPr>
          <w:i/>
          <w:iCs/>
          <w:smallCaps/>
        </w:rPr>
        <w:t>Federal Powers</w:t>
      </w:r>
      <w:bookmarkStart w:id="41" w:name="_GoBack"/>
      <w:bookmarkEnd w:id="41"/>
    </w:p>
    <w:p w14:paraId="30175B71" w14:textId="77777777" w:rsidR="00B770E4" w:rsidRPr="002F741E" w:rsidRDefault="00B770E4" w:rsidP="003E22A6">
      <w:pPr>
        <w:spacing w:line="480" w:lineRule="auto"/>
        <w:ind w:right="720"/>
      </w:pPr>
      <w:r w:rsidRPr="002F741E">
        <w:rPr>
          <w:b/>
        </w:rPr>
        <w:tab/>
      </w:r>
      <w:r w:rsidRPr="002F741E">
        <w:t xml:space="preserve">Notwithstanding the trenchant desire for self-activity among the </w:t>
      </w:r>
      <w:proofErr w:type="spellStart"/>
      <w:r w:rsidRPr="002F741E">
        <w:t>Freepeople</w:t>
      </w:r>
      <w:proofErr w:type="spellEnd"/>
      <w:r w:rsidRPr="002F741E">
        <w:t>, given the hostility of the southern political elite to universal education,</w:t>
      </w:r>
      <w:bookmarkStart w:id="42" w:name="_Ref291717170"/>
      <w:r w:rsidRPr="002F741E">
        <w:rPr>
          <w:rStyle w:val="FootnoteReference"/>
        </w:rPr>
        <w:footnoteReference w:id="163"/>
      </w:r>
      <w:bookmarkEnd w:id="42"/>
      <w:r w:rsidRPr="002F741E">
        <w:t xml:space="preserve"> the free and the freed understood that realization </w:t>
      </w:r>
      <w:r w:rsidR="001358D2">
        <w:t xml:space="preserve">of </w:t>
      </w:r>
      <w:r w:rsidRPr="002F741E">
        <w:t xml:space="preserve">their constitutional personhood would languish absent federal </w:t>
      </w:r>
      <w:r>
        <w:t>intervention</w:t>
      </w:r>
      <w:r w:rsidR="00E0408B">
        <w:t>.</w:t>
      </w:r>
      <w:r w:rsidR="00875007" w:rsidRPr="00875007">
        <w:t xml:space="preserve"> </w:t>
      </w:r>
      <w:r w:rsidRPr="002F741E">
        <w:t>In December 1864, a delegation of black leaders in Savannah met with Secretary of War Edwin M. Stanton and General William Tecumseh Sherman to seek their support in establishing a system of free schools</w:t>
      </w:r>
      <w:r w:rsidR="00EE2E66">
        <w:t xml:space="preserve"> in Georgia</w:t>
      </w:r>
      <w:r w:rsidRPr="002F741E">
        <w:t>. “For the first time in the history of the commonwealth, colored me</w:t>
      </w:r>
      <w:r w:rsidR="00295909">
        <w:t>n</w:t>
      </w:r>
      <w:r w:rsidRPr="002F741E">
        <w:t>, as freemen, met with white men to plan unmolested for the intellectual development of their race.”</w:t>
      </w:r>
      <w:r w:rsidRPr="002F741E">
        <w:rPr>
          <w:rStyle w:val="FootnoteReference"/>
        </w:rPr>
        <w:footnoteReference w:id="164"/>
      </w:r>
      <w:r w:rsidRPr="002F741E">
        <w:t xml:space="preserve"> From this conference emerged plans for establishing free schools for the </w:t>
      </w:r>
      <w:proofErr w:type="spellStart"/>
      <w:r w:rsidRPr="002F741E">
        <w:t>Freepeople</w:t>
      </w:r>
      <w:proofErr w:type="spellEnd"/>
      <w:r w:rsidRPr="002F741E">
        <w:t>.</w:t>
      </w:r>
      <w:r w:rsidRPr="002F741E">
        <w:rPr>
          <w:rStyle w:val="FootnoteReference"/>
        </w:rPr>
        <w:footnoteReference w:id="165"/>
      </w:r>
      <w:r w:rsidRPr="002F741E">
        <w:t xml:space="preserve"> In early 1865, James Lynch, an African American who would become the Secretary of State for Mississippi, and John Alvord of the Freedman’s Bureau partnered to examine teachers; “[</w:t>
      </w:r>
      <w:proofErr w:type="spellStart"/>
      <w:proofErr w:type="gramStart"/>
      <w:r w:rsidRPr="002F741E">
        <w:t>i</w:t>
      </w:r>
      <w:proofErr w:type="spellEnd"/>
      <w:r w:rsidRPr="002F741E">
        <w:t>]t</w:t>
      </w:r>
      <w:proofErr w:type="gramEnd"/>
      <w:r w:rsidRPr="002F741E">
        <w:t xml:space="preserve"> was the first time in the history of the state that a colored man and a white man had examined teachers with reference to their ability to teach.”</w:t>
      </w:r>
      <w:r w:rsidRPr="002F741E">
        <w:rPr>
          <w:rStyle w:val="FootnoteReference"/>
        </w:rPr>
        <w:footnoteReference w:id="166"/>
      </w:r>
      <w:r w:rsidRPr="002F741E">
        <w:t xml:space="preserve"> African American leaders also formed the Savanna Educational Association to promulgate school policy and underwrite the </w:t>
      </w:r>
      <w:r w:rsidRPr="002F741E">
        <w:lastRenderedPageBreak/>
        <w:t>funding of the free schools.</w:t>
      </w:r>
      <w:r w:rsidRPr="002F741E">
        <w:rPr>
          <w:rStyle w:val="FootnoteReference"/>
        </w:rPr>
        <w:footnoteReference w:id="167"/>
      </w:r>
      <w:r w:rsidRPr="002F741E">
        <w:t xml:space="preserve"> Officials from the Freedman’s Bureau described the structure of the association:</w:t>
      </w:r>
    </w:p>
    <w:p w14:paraId="0B1BC443" w14:textId="77777777" w:rsidR="00B770E4" w:rsidRDefault="00B770E4" w:rsidP="00B770E4">
      <w:pPr>
        <w:ind w:left="720" w:right="720"/>
      </w:pPr>
      <w:r w:rsidRPr="006D006B">
        <w:t>To associate the efforts of the people, the prominent educators in the State, the agents of northern societies, and such officers of the [federal] government as are authorized to aid the work, and to unite in such a manner as shall exclude any subject at all likely to divide their efforts or direct them from their one great and desirable object.</w:t>
      </w:r>
      <w:r w:rsidRPr="006D006B">
        <w:rPr>
          <w:rStyle w:val="FootnoteReference"/>
        </w:rPr>
        <w:footnoteReference w:id="168"/>
      </w:r>
    </w:p>
    <w:p w14:paraId="4344F962" w14:textId="77777777" w:rsidR="00B770E4" w:rsidRPr="006D006B" w:rsidRDefault="00B770E4" w:rsidP="00B770E4">
      <w:pPr>
        <w:ind w:left="720" w:right="720"/>
      </w:pPr>
    </w:p>
    <w:p w14:paraId="48200389" w14:textId="77777777" w:rsidR="00CB2EFF" w:rsidRPr="002F741E" w:rsidRDefault="00B770E4" w:rsidP="002F741E">
      <w:pPr>
        <w:spacing w:line="480" w:lineRule="auto"/>
        <w:ind w:right="720"/>
      </w:pPr>
      <w:r w:rsidRPr="002F741E">
        <w:t>While the Association sustained in full or in part the day-to-day operation of more than two-thirds of schools,</w:t>
      </w:r>
      <w:r w:rsidRPr="002F741E">
        <w:rPr>
          <w:rStyle w:val="FootnoteReference"/>
        </w:rPr>
        <w:footnoteReference w:id="169"/>
      </w:r>
      <w:r w:rsidRPr="002F741E">
        <w:t xml:space="preserve"> federal “aid” played a key role in facilitating the birth of the free school system in Georgia.</w:t>
      </w:r>
      <w:r w:rsidRPr="002F741E">
        <w:rPr>
          <w:rStyle w:val="FootnoteReference"/>
        </w:rPr>
        <w:footnoteReference w:id="170"/>
      </w:r>
      <w:r w:rsidRPr="002F741E">
        <w:t xml:space="preserve"> The insistence of the </w:t>
      </w:r>
      <w:proofErr w:type="spellStart"/>
      <w:r w:rsidRPr="002F741E">
        <w:t>Freepeople</w:t>
      </w:r>
      <w:proofErr w:type="spellEnd"/>
      <w:r w:rsidRPr="002F741E">
        <w:t xml:space="preserve"> on being self-taught was less a rebuke of federal contribution, but as Anderson posits, “[</w:t>
      </w:r>
      <w:proofErr w:type="gramStart"/>
      <w:r w:rsidRPr="002F741E">
        <w:t>t]he</w:t>
      </w:r>
      <w:proofErr w:type="gramEnd"/>
      <w:r w:rsidRPr="002F741E">
        <w:t xml:space="preserve"> ex-slave’s education movement became a test of their capacity to restructure their lives, to establish their freedom.”</w:t>
      </w:r>
      <w:r w:rsidRPr="002F741E">
        <w:rPr>
          <w:rStyle w:val="FootnoteReference"/>
        </w:rPr>
        <w:footnoteReference w:id="171"/>
      </w:r>
      <w:r w:rsidR="00EC1284">
        <w:t xml:space="preserve"> </w:t>
      </w:r>
      <w:r w:rsidRPr="002F741E">
        <w:t xml:space="preserve">One of the first schools established, perhaps ironically, </w:t>
      </w:r>
      <w:r w:rsidR="004820C9">
        <w:t>was in the “old Bryan Slave Market</w:t>
      </w:r>
      <w:r w:rsidRPr="002F741E">
        <w:t xml:space="preserve">,” from which the </w:t>
      </w:r>
      <w:r w:rsidR="0081056F">
        <w:t>ancestors</w:t>
      </w:r>
      <w:r w:rsidR="0081056F" w:rsidRPr="002F741E">
        <w:t xml:space="preserve"> </w:t>
      </w:r>
      <w:r w:rsidRPr="002F741E">
        <w:t>of the future beneficiaries of the school ha</w:t>
      </w:r>
      <w:r w:rsidR="004820C9">
        <w:t>d been sold at market</w:t>
      </w:r>
      <w:r w:rsidRPr="002F741E">
        <w:t>.</w:t>
      </w:r>
      <w:r w:rsidRPr="002F741E">
        <w:rPr>
          <w:rStyle w:val="FootnoteReference"/>
        </w:rPr>
        <w:footnoteReference w:id="172"/>
      </w:r>
    </w:p>
    <w:p w14:paraId="0F347DEF" w14:textId="77777777" w:rsidR="00CB2EFF" w:rsidRPr="002F741E" w:rsidRDefault="002C4C99" w:rsidP="00764DB5">
      <w:pPr>
        <w:spacing w:line="480" w:lineRule="auto"/>
        <w:ind w:right="720" w:firstLine="720"/>
      </w:pPr>
      <w:r w:rsidRPr="002F741E">
        <w:t xml:space="preserve">While it is true that by </w:t>
      </w:r>
      <w:r w:rsidR="00143E91" w:rsidRPr="002F741E">
        <w:t>1870</w:t>
      </w:r>
      <w:r w:rsidRPr="002F741E">
        <w:t xml:space="preserve"> every southern state had adopted a constitutional provision establishing a public education system funded by a state fund, it was federal power that created a</w:t>
      </w:r>
      <w:r w:rsidR="00143E91" w:rsidRPr="002F741E">
        <w:t xml:space="preserve">n opening </w:t>
      </w:r>
      <w:r w:rsidRPr="002F741E">
        <w:t xml:space="preserve">in which black political leaders </w:t>
      </w:r>
      <w:r w:rsidR="00BC16BD" w:rsidRPr="002F741E">
        <w:t>could advance education as a fundamental right.</w:t>
      </w:r>
      <w:r w:rsidR="00B11E12" w:rsidRPr="002F741E">
        <w:t xml:space="preserve"> </w:t>
      </w:r>
      <w:r w:rsidR="007F7972" w:rsidRPr="002F741E">
        <w:t xml:space="preserve">Congress, by way of the Reconstruction Acts, empowered </w:t>
      </w:r>
      <w:r w:rsidR="0094580E" w:rsidRPr="002F741E">
        <w:t xml:space="preserve">the </w:t>
      </w:r>
      <w:r w:rsidR="0094580E" w:rsidRPr="002F741E">
        <w:lastRenderedPageBreak/>
        <w:t>occupying armies to call constitutional conventions to which delegates would be elected by male citizens</w:t>
      </w:r>
      <w:r w:rsidR="00A33D0E" w:rsidRPr="002F741E">
        <w:t>,</w:t>
      </w:r>
      <w:r w:rsidR="0094580E" w:rsidRPr="002F741E">
        <w:t xml:space="preserve"> “whatever race, color, or previous condition.”</w:t>
      </w:r>
      <w:r w:rsidR="0094580E" w:rsidRPr="002F741E">
        <w:rPr>
          <w:rStyle w:val="FootnoteReference"/>
        </w:rPr>
        <w:footnoteReference w:id="173"/>
      </w:r>
      <w:r w:rsidR="00A33D0E" w:rsidRPr="002F741E">
        <w:t xml:space="preserve"> Clothed in federal power, black politicians joined with Republicans to, for the first time, establish universal public education in the South. </w:t>
      </w:r>
      <w:r w:rsidR="002E28A2" w:rsidRPr="002F741E">
        <w:t>So influential was black political leadership under the cover of political power, that as part of the white South’s efforts to “restore home rule</w:t>
      </w:r>
      <w:r w:rsidR="0081056F">
        <w:t>,</w:t>
      </w:r>
      <w:r w:rsidR="002E28A2" w:rsidRPr="002F741E">
        <w:t>”</w:t>
      </w:r>
      <w:r w:rsidR="00B9224C" w:rsidRPr="002F741E">
        <w:t xml:space="preserve"> the political coalition of “bourbon democrats, also known as the “Redeemers,” promised black voters that they would not abolish universal education under their rule.</w:t>
      </w:r>
      <w:r w:rsidR="001E4649" w:rsidRPr="002F741E">
        <w:rPr>
          <w:rStyle w:val="FootnoteReference"/>
        </w:rPr>
        <w:footnoteReference w:id="174"/>
      </w:r>
    </w:p>
    <w:p w14:paraId="6BCFE129" w14:textId="77777777" w:rsidR="00BB451B" w:rsidRPr="008D5E5E" w:rsidRDefault="008D5E5E" w:rsidP="002F741E">
      <w:pPr>
        <w:spacing w:line="480" w:lineRule="auto"/>
        <w:ind w:right="720"/>
        <w:rPr>
          <w:b/>
        </w:rPr>
      </w:pPr>
      <w:r>
        <w:rPr>
          <w:b/>
        </w:rPr>
        <w:t>[</w:t>
      </w:r>
      <w:proofErr w:type="gramStart"/>
      <w:r>
        <w:rPr>
          <w:b/>
        </w:rPr>
        <w:t>transition</w:t>
      </w:r>
      <w:proofErr w:type="gramEnd"/>
      <w:r>
        <w:rPr>
          <w:b/>
        </w:rPr>
        <w:t>]</w:t>
      </w:r>
    </w:p>
    <w:p w14:paraId="20FDC999" w14:textId="77777777" w:rsidR="00AF1E66" w:rsidRPr="002F741E" w:rsidRDefault="00CB2EFF" w:rsidP="003C6FB6">
      <w:pPr>
        <w:spacing w:line="480" w:lineRule="auto"/>
        <w:ind w:firstLine="720"/>
      </w:pPr>
      <w:r w:rsidRPr="002F741E">
        <w:t xml:space="preserve">In 1866, the </w:t>
      </w:r>
      <w:proofErr w:type="spellStart"/>
      <w:r w:rsidRPr="002F741E">
        <w:t>Freepeople</w:t>
      </w:r>
      <w:proofErr w:type="spellEnd"/>
      <w:r w:rsidRPr="002F741E">
        <w:t xml:space="preserve"> of Liberty County, Georgia, submitted a petition to the federal authorities</w:t>
      </w:r>
      <w:r w:rsidR="00AF1E66" w:rsidRPr="002F741E">
        <w:t>:</w:t>
      </w:r>
    </w:p>
    <w:p w14:paraId="432BB50B" w14:textId="77777777" w:rsidR="00BA257D" w:rsidRPr="002F741E" w:rsidRDefault="00AF1E66" w:rsidP="002F741E">
      <w:pPr>
        <w:ind w:left="720" w:right="720"/>
      </w:pPr>
      <w:r w:rsidRPr="002F741E">
        <w:lastRenderedPageBreak/>
        <w:t xml:space="preserve">We the People of Liberty County . . . appeal to you asking aid and counsel in this our </w:t>
      </w:r>
      <w:r w:rsidRPr="002F741E">
        <w:rPr>
          <w:i/>
        </w:rPr>
        <w:t>distressed condition</w:t>
      </w:r>
      <w:r w:rsidRPr="002F741E">
        <w:t xml:space="preserve">. We learned from the Address of </w:t>
      </w:r>
      <w:r w:rsidRPr="002F741E">
        <w:rPr>
          <w:i/>
        </w:rPr>
        <w:t>general Howard</w:t>
      </w:r>
      <w:r w:rsidRPr="002F741E">
        <w:t xml:space="preserve"> that We Were to </w:t>
      </w:r>
      <w:r w:rsidRPr="002F741E">
        <w:rPr>
          <w:i/>
        </w:rPr>
        <w:t>Return</w:t>
      </w:r>
      <w:r w:rsidRPr="002F741E">
        <w:t xml:space="preserve"> to the </w:t>
      </w:r>
      <w:r w:rsidRPr="002F741E">
        <w:rPr>
          <w:i/>
        </w:rPr>
        <w:t>Plantation</w:t>
      </w:r>
      <w:r w:rsidRPr="002F741E">
        <w:t xml:space="preserve"> and </w:t>
      </w:r>
      <w:r w:rsidRPr="002F741E">
        <w:rPr>
          <w:i/>
        </w:rPr>
        <w:t xml:space="preserve">Work for our Former owners </w:t>
      </w:r>
      <w:r w:rsidRPr="002F741E">
        <w:t xml:space="preserve">at a </w:t>
      </w:r>
      <w:r w:rsidRPr="002F741E">
        <w:rPr>
          <w:i/>
        </w:rPr>
        <w:t>Reasonable contract as Freemen</w:t>
      </w:r>
      <w:r w:rsidRPr="002F741E">
        <w:t xml:space="preserve">, </w:t>
      </w:r>
      <w:r w:rsidR="00890EEB" w:rsidRPr="002F741E">
        <w:t xml:space="preserve">and find a </w:t>
      </w:r>
      <w:r w:rsidR="00890EEB" w:rsidRPr="002F741E">
        <w:rPr>
          <w:i/>
        </w:rPr>
        <w:t xml:space="preserve">Home </w:t>
      </w:r>
      <w:r w:rsidR="00890EEB" w:rsidRPr="002F741E">
        <w:t xml:space="preserve">and </w:t>
      </w:r>
      <w:r w:rsidR="00890EEB" w:rsidRPr="002F741E">
        <w:rPr>
          <w:i/>
        </w:rPr>
        <w:t>Labor</w:t>
      </w:r>
      <w:r w:rsidR="00890EEB" w:rsidRPr="002F741E">
        <w:t xml:space="preserve">, </w:t>
      </w:r>
      <w:r w:rsidR="00890EEB" w:rsidRPr="002F741E">
        <w:rPr>
          <w:i/>
        </w:rPr>
        <w:t xml:space="preserve">Provided we can </w:t>
      </w:r>
      <w:proofErr w:type="gramStart"/>
      <w:r w:rsidR="00890EEB" w:rsidRPr="002F741E">
        <w:rPr>
          <w:i/>
        </w:rPr>
        <w:t>agree</w:t>
      </w:r>
      <w:r w:rsidR="00890EEB" w:rsidRPr="002F741E">
        <w:t>.</w:t>
      </w:r>
      <w:proofErr w:type="gramEnd"/>
      <w:r w:rsidR="00890EEB" w:rsidRPr="002F741E">
        <w:t xml:space="preserve"> </w:t>
      </w:r>
      <w:r w:rsidR="004B2206" w:rsidRPr="002F741E">
        <w:t xml:space="preserve">. . . </w:t>
      </w:r>
      <w:r w:rsidR="00AE092D" w:rsidRPr="002F741E">
        <w:rPr>
          <w:i/>
        </w:rPr>
        <w:t>We cannot Labor for the Land owners</w:t>
      </w:r>
      <w:r w:rsidR="00AE092D" w:rsidRPr="002F741E">
        <w:t xml:space="preserve"> . . . [while] </w:t>
      </w:r>
      <w:r w:rsidR="00AE092D" w:rsidRPr="002F741E">
        <w:rPr>
          <w:i/>
        </w:rPr>
        <w:t xml:space="preserve">our Infirm and children are not provided for, and </w:t>
      </w:r>
      <w:r w:rsidR="00820FF4" w:rsidRPr="002F741E">
        <w:rPr>
          <w:i/>
        </w:rPr>
        <w:t>are not allowed to educate or learn</w:t>
      </w:r>
      <w:r w:rsidR="00A43A61" w:rsidRPr="002F741E">
        <w:rPr>
          <w:i/>
        </w:rPr>
        <w:t xml:space="preserve"> . . </w:t>
      </w:r>
      <w:proofErr w:type="gramStart"/>
      <w:r w:rsidR="00A43A61" w:rsidRPr="002F741E">
        <w:rPr>
          <w:i/>
        </w:rPr>
        <w:t>. .</w:t>
      </w:r>
      <w:proofErr w:type="gramEnd"/>
      <w:r w:rsidR="00A43A61" w:rsidRPr="002F741E">
        <w:rPr>
          <w:i/>
        </w:rPr>
        <w:t xml:space="preserve"> </w:t>
      </w:r>
      <w:r w:rsidR="00AE51D5" w:rsidRPr="002F741E">
        <w:rPr>
          <w:i/>
        </w:rPr>
        <w:t xml:space="preserve">We are a Working Class </w:t>
      </w:r>
      <w:r w:rsidR="003151C6" w:rsidRPr="002F741E">
        <w:rPr>
          <w:i/>
        </w:rPr>
        <w:t>of People</w:t>
      </w:r>
      <w:r w:rsidR="003151C6" w:rsidRPr="002F741E">
        <w:t xml:space="preserve"> and </w:t>
      </w:r>
      <w:r w:rsidR="008C44EE" w:rsidRPr="002F741E">
        <w:t xml:space="preserve">We are </w:t>
      </w:r>
      <w:r w:rsidR="00413C20" w:rsidRPr="002F741E">
        <w:rPr>
          <w:i/>
        </w:rPr>
        <w:t xml:space="preserve">Willing </w:t>
      </w:r>
      <w:r w:rsidR="00413C20" w:rsidRPr="002F741E">
        <w:t xml:space="preserve">and </w:t>
      </w:r>
      <w:r w:rsidR="00413C20" w:rsidRPr="002F741E">
        <w:rPr>
          <w:i/>
        </w:rPr>
        <w:t xml:space="preserve">Anxious </w:t>
      </w:r>
      <w:r w:rsidR="00413C20" w:rsidRPr="002F741E">
        <w:t xml:space="preserve">to </w:t>
      </w:r>
      <w:proofErr w:type="spellStart"/>
      <w:r w:rsidR="00413C20" w:rsidRPr="002F741E">
        <w:t>worke</w:t>
      </w:r>
      <w:proofErr w:type="spellEnd"/>
      <w:r w:rsidR="00413C20" w:rsidRPr="002F741E">
        <w:t xml:space="preserve"> for a </w:t>
      </w:r>
      <w:r w:rsidR="00413C20" w:rsidRPr="002F741E">
        <w:rPr>
          <w:i/>
        </w:rPr>
        <w:t>Fair Compensation</w:t>
      </w:r>
      <w:r w:rsidR="00D95ABA" w:rsidRPr="002F741E">
        <w:t xml:space="preserve">; But </w:t>
      </w:r>
      <w:r w:rsidR="00DE3D8C" w:rsidRPr="002F741E">
        <w:t xml:space="preserve">to </w:t>
      </w:r>
      <w:r w:rsidR="00DE3D8C" w:rsidRPr="002F741E">
        <w:rPr>
          <w:i/>
        </w:rPr>
        <w:t xml:space="preserve">return to work upon the Terms that are at Present offered to us, Would Be We Think going </w:t>
      </w:r>
      <w:proofErr w:type="spellStart"/>
      <w:r w:rsidR="00DE3D8C" w:rsidRPr="002F741E">
        <w:rPr>
          <w:i/>
        </w:rPr>
        <w:t>Backe</w:t>
      </w:r>
      <w:proofErr w:type="spellEnd"/>
      <w:r w:rsidR="00DE3D8C" w:rsidRPr="002F741E">
        <w:rPr>
          <w:i/>
        </w:rPr>
        <w:t xml:space="preserve"> into the s</w:t>
      </w:r>
      <w:r w:rsidR="0083557F">
        <w:rPr>
          <w:i/>
        </w:rPr>
        <w:t>t</w:t>
      </w:r>
      <w:r w:rsidR="00DE3D8C" w:rsidRPr="002F741E">
        <w:rPr>
          <w:i/>
        </w:rPr>
        <w:t>ate of slavery that We have just to some extent Been Delivered from</w:t>
      </w:r>
      <w:r w:rsidR="005E1A29" w:rsidRPr="002F741E">
        <w:t>.</w:t>
      </w:r>
    </w:p>
    <w:p w14:paraId="7ECD4541" w14:textId="77777777" w:rsidR="00AF1E66" w:rsidRPr="002F741E" w:rsidRDefault="00BA257D" w:rsidP="002F741E">
      <w:pPr>
        <w:ind w:left="720" w:right="720"/>
      </w:pPr>
      <w:r w:rsidRPr="002F741E">
        <w:tab/>
        <w:t xml:space="preserve">We </w:t>
      </w:r>
      <w:r w:rsidRPr="002F741E">
        <w:rPr>
          <w:i/>
        </w:rPr>
        <w:t>Appeal</w:t>
      </w:r>
      <w:r w:rsidRPr="002F741E">
        <w:t xml:space="preserve"> to </w:t>
      </w:r>
      <w:r w:rsidRPr="002F741E">
        <w:rPr>
          <w:i/>
        </w:rPr>
        <w:t xml:space="preserve">you Sir and through you </w:t>
      </w:r>
      <w:r w:rsidRPr="002F741E">
        <w:t xml:space="preserve">to the </w:t>
      </w:r>
      <w:r w:rsidRPr="002F741E">
        <w:rPr>
          <w:i/>
        </w:rPr>
        <w:t xml:space="preserve">Rulers </w:t>
      </w:r>
      <w:r w:rsidRPr="002F741E">
        <w:t xml:space="preserve">of the </w:t>
      </w:r>
      <w:r w:rsidRPr="002F741E">
        <w:rPr>
          <w:i/>
        </w:rPr>
        <w:t xml:space="preserve">Country </w:t>
      </w:r>
      <w:r w:rsidRPr="002F741E">
        <w:t xml:space="preserve">in our </w:t>
      </w:r>
      <w:r w:rsidRPr="002F741E">
        <w:rPr>
          <w:i/>
        </w:rPr>
        <w:t>Distressed State</w:t>
      </w:r>
      <w:r w:rsidRPr="002F741E">
        <w:t xml:space="preserve"> . . </w:t>
      </w:r>
      <w:proofErr w:type="gramStart"/>
      <w:r w:rsidRPr="002F741E">
        <w:t>. .</w:t>
      </w:r>
      <w:proofErr w:type="gramEnd"/>
      <w:r w:rsidRPr="002F741E">
        <w:t xml:space="preserve"> </w:t>
      </w:r>
      <w:proofErr w:type="gramStart"/>
      <w:r w:rsidRPr="002F741E">
        <w:rPr>
          <w:i/>
        </w:rPr>
        <w:t>We feel, unsettled as Sheep Without a Shepard, and beg your advise and Assistance</w:t>
      </w:r>
      <w:r w:rsidRPr="002F741E">
        <w:t xml:space="preserve">, and </w:t>
      </w:r>
      <w:r w:rsidRPr="002F741E">
        <w:rPr>
          <w:i/>
        </w:rPr>
        <w:t>Believe that this is an Earnest Appeal from A Poor But Loyal Earnest People</w:t>
      </w:r>
      <w:r w:rsidRPr="002F741E">
        <w:t>.</w:t>
      </w:r>
      <w:proofErr w:type="gramEnd"/>
      <w:r w:rsidR="004067FC" w:rsidRPr="002F741E">
        <w:rPr>
          <w:rStyle w:val="FootnoteReference"/>
        </w:rPr>
        <w:footnoteReference w:id="175"/>
      </w:r>
    </w:p>
    <w:p w14:paraId="23E6BBC9" w14:textId="77777777" w:rsidR="00C75637" w:rsidRDefault="00C75637" w:rsidP="002F741E">
      <w:pPr>
        <w:spacing w:line="480" w:lineRule="auto"/>
        <w:ind w:right="720"/>
      </w:pPr>
    </w:p>
    <w:p w14:paraId="65BEDA85" w14:textId="77777777" w:rsidR="003E22A6" w:rsidRPr="003E22A6" w:rsidRDefault="000D2531" w:rsidP="003E22A6">
      <w:pPr>
        <w:spacing w:line="480" w:lineRule="auto"/>
        <w:ind w:right="720"/>
      </w:pPr>
      <w:r>
        <w:t xml:space="preserve">William L. </w:t>
      </w:r>
      <w:proofErr w:type="spellStart"/>
      <w:r>
        <w:t>Coan</w:t>
      </w:r>
      <w:proofErr w:type="spellEnd"/>
      <w:r>
        <w:t xml:space="preserve">, in response to the intimidation and harassment educators of the </w:t>
      </w:r>
      <w:proofErr w:type="spellStart"/>
      <w:r>
        <w:t>Freepeople</w:t>
      </w:r>
      <w:proofErr w:type="spellEnd"/>
      <w:r>
        <w:t xml:space="preserve"> faced, commented, “</w:t>
      </w:r>
      <w:r w:rsidR="0083557F">
        <w:t>[</w:t>
      </w:r>
      <w:proofErr w:type="gramStart"/>
      <w:r w:rsidR="0083557F">
        <w:t>t]</w:t>
      </w:r>
      <w:r>
        <w:t>he</w:t>
      </w:r>
      <w:proofErr w:type="gramEnd"/>
      <w:r>
        <w:t xml:space="preserve"> presence of the ‘military’ </w:t>
      </w:r>
      <w:r>
        <w:rPr>
          <w:i/>
        </w:rPr>
        <w:t>alone</w:t>
      </w:r>
      <w:r>
        <w:t xml:space="preserve"> makes it </w:t>
      </w:r>
      <w:r>
        <w:rPr>
          <w:i/>
        </w:rPr>
        <w:t>safe</w:t>
      </w:r>
      <w:r>
        <w:t xml:space="preserve"> or </w:t>
      </w:r>
      <w:r>
        <w:rPr>
          <w:i/>
        </w:rPr>
        <w:t>possible</w:t>
      </w:r>
      <w:r>
        <w:t xml:space="preserve"> to prosecute our work.”</w:t>
      </w:r>
      <w:r>
        <w:rPr>
          <w:rStyle w:val="FootnoteReference"/>
        </w:rPr>
        <w:footnoteReference w:id="176"/>
      </w:r>
      <w:r w:rsidR="003E22A6">
        <w:t xml:space="preserve"> Octavia V. Rogers Albert, commenting on the assassination of President Lincoln, note</w:t>
      </w:r>
      <w:r w:rsidR="0051131C">
        <w:t>d</w:t>
      </w:r>
      <w:r w:rsidR="003E22A6">
        <w:t>, “</w:t>
      </w:r>
      <w:r w:rsidR="003E22A6" w:rsidRPr="002F741E">
        <w:t>God reigns, and the govern</w:t>
      </w:r>
      <w:r w:rsidR="003E22A6">
        <w:t>ment at Washington still lives.”</w:t>
      </w:r>
      <w:r w:rsidR="003E22A6">
        <w:rPr>
          <w:rStyle w:val="FootnoteReference"/>
        </w:rPr>
        <w:footnoteReference w:id="177"/>
      </w:r>
      <w:r w:rsidR="003E22A6">
        <w:t xml:space="preserve"> Albert’s further observations are worthy of a lengthy quotation.</w:t>
      </w:r>
    </w:p>
    <w:p w14:paraId="65D20B9D" w14:textId="77777777" w:rsidR="000D2531" w:rsidRPr="00F21FD0" w:rsidRDefault="003E22A6" w:rsidP="00F21FD0">
      <w:pPr>
        <w:tabs>
          <w:tab w:val="left" w:pos="8730"/>
        </w:tabs>
        <w:ind w:left="720" w:right="1440"/>
        <w:rPr>
          <w:iCs/>
        </w:rPr>
      </w:pPr>
      <w:r w:rsidRPr="003E22A6">
        <w:rPr>
          <w:iCs/>
        </w:rPr>
        <w:t xml:space="preserve">It did live, and, notwithstanding Andrew Johnson, it lived under the divine </w:t>
      </w:r>
      <w:proofErr w:type="gramStart"/>
      <w:r w:rsidRPr="003E22A6">
        <w:rPr>
          <w:iCs/>
        </w:rPr>
        <w:t>supervision which</w:t>
      </w:r>
      <w:proofErr w:type="gramEnd"/>
      <w:r w:rsidRPr="003E22A6">
        <w:rPr>
          <w:iCs/>
        </w:rPr>
        <w:t xml:space="preserve"> would not and did not allow the Southern States to reconstruct upon any such dishonorable, unjust plan to the two hundred thousand negro soldiers who offered their lives upon the altar for the perpetuation of the Union and the freedom of their country. And </w:t>
      </w:r>
      <w:proofErr w:type="gramStart"/>
      <w:r w:rsidRPr="003E22A6">
        <w:rPr>
          <w:iCs/>
        </w:rPr>
        <w:t>the whole matter was repudiated by Congress</w:t>
      </w:r>
      <w:proofErr w:type="gramEnd"/>
      <w:r w:rsidRPr="003E22A6">
        <w:rPr>
          <w:iCs/>
        </w:rPr>
        <w:t>, and the States were reconstructed upon the plan of equal rights to every citizen, of whatever race or previous condition. It was then declared that, whereas the stars on our national flag had been the property of only the white race and the stripes for only the colored, now the stars should forever be the common property of both</w:t>
      </w:r>
      <w:r w:rsidR="00AB30AD">
        <w:rPr>
          <w:iCs/>
        </w:rPr>
        <w:t xml:space="preserve"> . . </w:t>
      </w:r>
      <w:proofErr w:type="gramStart"/>
      <w:r w:rsidR="00AB30AD">
        <w:rPr>
          <w:iCs/>
        </w:rPr>
        <w:t xml:space="preserve">. </w:t>
      </w:r>
      <w:r w:rsidRPr="003E22A6">
        <w:rPr>
          <w:iCs/>
        </w:rPr>
        <w:lastRenderedPageBreak/>
        <w:t>.</w:t>
      </w:r>
      <w:proofErr w:type="gramEnd"/>
      <w:r w:rsidR="00EC5CFB">
        <w:rPr>
          <w:rStyle w:val="FootnoteReference"/>
          <w:iCs/>
        </w:rPr>
        <w:footnoteReference w:id="178"/>
      </w:r>
      <w:r w:rsidRPr="003E22A6">
        <w:rPr>
          <w:iCs/>
        </w:rPr>
        <w:t xml:space="preserve"> </w:t>
      </w:r>
      <w:r w:rsidR="00F21FD0">
        <w:rPr>
          <w:iCs/>
        </w:rPr>
        <w:br/>
      </w:r>
    </w:p>
    <w:p w14:paraId="46146412" w14:textId="77777777" w:rsidR="008F53FA" w:rsidRDefault="008F53FA" w:rsidP="000D4625">
      <w:pPr>
        <w:spacing w:line="480" w:lineRule="auto"/>
        <w:ind w:right="720" w:firstLine="720"/>
      </w:pPr>
      <w:r>
        <w:t xml:space="preserve">In the immediate wake of the War, </w:t>
      </w:r>
      <w:proofErr w:type="spellStart"/>
      <w:r w:rsidR="0083557F">
        <w:t>F</w:t>
      </w:r>
      <w:r>
        <w:t>reepeople</w:t>
      </w:r>
      <w:proofErr w:type="spellEnd"/>
      <w:r>
        <w:t>, assisted by Union troops, were able to leverage their power as laborers to actualize their educational demands.</w:t>
      </w:r>
      <w:r w:rsidR="00F21FD0">
        <w:rPr>
          <w:rStyle w:val="FootnoteReference"/>
        </w:rPr>
        <w:footnoteReference w:id="179"/>
      </w:r>
      <w:r w:rsidR="00F21FD0">
        <w:t xml:space="preserve"> </w:t>
      </w:r>
      <w:r>
        <w:t xml:space="preserve"> </w:t>
      </w:r>
    </w:p>
    <w:p w14:paraId="174FDECF" w14:textId="77777777" w:rsidR="0068459E" w:rsidRDefault="00C75637" w:rsidP="002F741E">
      <w:pPr>
        <w:spacing w:line="480" w:lineRule="auto"/>
        <w:ind w:right="720"/>
      </w:pPr>
      <w:r w:rsidRPr="002F741E">
        <w:t xml:space="preserve">For the </w:t>
      </w:r>
      <w:proofErr w:type="spellStart"/>
      <w:r w:rsidRPr="002F741E">
        <w:t>Freepeople</w:t>
      </w:r>
      <w:proofErr w:type="spellEnd"/>
      <w:r w:rsidRPr="002F741E">
        <w:t xml:space="preserve">, literacy was </w:t>
      </w:r>
      <w:r w:rsidR="0083557F">
        <w:t>a civil right</w:t>
      </w:r>
      <w:r w:rsidRPr="002F741E">
        <w:t>.</w:t>
      </w:r>
      <w:r w:rsidR="00E836CA">
        <w:t xml:space="preserve"> Between 1866 and 1867, officials from the Freedmen’s Bureau noted widespread use of the “educational clause” in contracts for labor between planters and the </w:t>
      </w:r>
      <w:proofErr w:type="spellStart"/>
      <w:r w:rsidR="00E836CA">
        <w:t>Freepeople</w:t>
      </w:r>
      <w:proofErr w:type="spellEnd"/>
      <w:r w:rsidR="00E836CA">
        <w:t>.</w:t>
      </w:r>
      <w:r w:rsidR="00085E9F">
        <w:rPr>
          <w:rStyle w:val="FootnoteReference"/>
        </w:rPr>
        <w:footnoteReference w:id="180"/>
      </w:r>
      <w:r w:rsidR="00E836CA">
        <w:t xml:space="preserve"> In January 1866, Alvord reported:</w:t>
      </w:r>
    </w:p>
    <w:p w14:paraId="6E235DA0" w14:textId="77777777" w:rsidR="004C44F0" w:rsidRDefault="0068459E" w:rsidP="00773D4E">
      <w:pPr>
        <w:ind w:left="720" w:right="1440"/>
      </w:pPr>
      <w:r>
        <w:t>If they are to be retained as laborers in the rural districts, similar [educational] opportunities must be furnished on the plantations. More than on</w:t>
      </w:r>
      <w:r w:rsidR="0051131C">
        <w:t>e</w:t>
      </w:r>
      <w:r>
        <w:t xml:space="preserve"> instance could be already given where a school in the interior has been started from this motive. This is now being stipulated in their </w:t>
      </w:r>
      <w:proofErr w:type="gramStart"/>
      <w:r>
        <w:t>contracts.</w:t>
      </w:r>
      <w:proofErr w:type="gramEnd"/>
      <w:r>
        <w:t xml:space="preserve"> . . . The head of one of the largest of the timber and turpentine enterprises in South Carolina . . . told me that he formerly had hired only men, but he had now learned that he must have their families too, and that this could only be done by . . . giving them schools.</w:t>
      </w:r>
      <w:r w:rsidR="00C94E4E">
        <w:rPr>
          <w:rStyle w:val="FootnoteReference"/>
        </w:rPr>
        <w:footnoteReference w:id="181"/>
      </w:r>
    </w:p>
    <w:p w14:paraId="5DCBA654" w14:textId="77777777" w:rsidR="00773D4E" w:rsidRPr="002F741E" w:rsidRDefault="00773D4E" w:rsidP="00773D4E">
      <w:pPr>
        <w:ind w:left="720" w:right="1440"/>
      </w:pPr>
    </w:p>
    <w:p w14:paraId="68B8D13C" w14:textId="77777777" w:rsidR="00427304" w:rsidRPr="00D64186" w:rsidRDefault="006658CA" w:rsidP="00301D8C">
      <w:pPr>
        <w:spacing w:line="480" w:lineRule="auto"/>
        <w:ind w:right="720" w:firstLine="720"/>
      </w:pPr>
      <w:r w:rsidRPr="002F741E">
        <w:t xml:space="preserve">Measured by </w:t>
      </w:r>
      <w:proofErr w:type="spellStart"/>
      <w:r w:rsidRPr="002F741E">
        <w:t>Freepeople’s</w:t>
      </w:r>
      <w:proofErr w:type="spellEnd"/>
      <w:r w:rsidRPr="002F741E">
        <w:t xml:space="preserve"> dreams of universal education </w:t>
      </w:r>
      <w:r w:rsidR="00301D8C">
        <w:t xml:space="preserve">as </w:t>
      </w:r>
      <w:r w:rsidRPr="002F741E">
        <w:t xml:space="preserve">a prophylactic to ensure their </w:t>
      </w:r>
      <w:r w:rsidR="00301D8C">
        <w:t>right of equal</w:t>
      </w:r>
      <w:r w:rsidRPr="002F741E">
        <w:t xml:space="preserve"> citizenship, Reconstruction ended in heartbreak.</w:t>
      </w:r>
      <w:r w:rsidR="00EC0D3B" w:rsidRPr="002F741E">
        <w:t xml:space="preserve"> “Reconstruction failed, and that for blacks its failure was a disaster whose magnitude cannot be obscured by the genuine accomplishments that did endure.”</w:t>
      </w:r>
      <w:r w:rsidR="00115F72" w:rsidRPr="002F741E">
        <w:rPr>
          <w:rStyle w:val="FootnoteReference"/>
        </w:rPr>
        <w:footnoteReference w:id="182"/>
      </w:r>
      <w:r w:rsidR="00DA175F">
        <w:t xml:space="preserve"> </w:t>
      </w:r>
      <w:r w:rsidR="00EB1E81">
        <w:t>One thing</w:t>
      </w:r>
      <w:r w:rsidR="00D64186">
        <w:t xml:space="preserve"> is </w:t>
      </w:r>
      <w:r w:rsidR="00383275">
        <w:lastRenderedPageBreak/>
        <w:t>certain;</w:t>
      </w:r>
      <w:r w:rsidR="00D64186">
        <w:t xml:space="preserve"> the </w:t>
      </w:r>
      <w:r w:rsidR="00FE070B">
        <w:t>Reconstruction Amendments</w:t>
      </w:r>
      <w:r w:rsidR="00D64186">
        <w:t xml:space="preserve"> abrogated the teachings of </w:t>
      </w:r>
      <w:r w:rsidR="00D64186">
        <w:rPr>
          <w:i/>
        </w:rPr>
        <w:t>Dred Scott</w:t>
      </w:r>
      <w:r w:rsidR="00F238E7">
        <w:t>.</w:t>
      </w:r>
      <w:r w:rsidR="00E43734">
        <w:rPr>
          <w:rStyle w:val="FootnoteReference"/>
        </w:rPr>
        <w:footnoteReference w:id="183"/>
      </w:r>
      <w:r w:rsidR="00383275">
        <w:t xml:space="preserve"> How we choose to exercise </w:t>
      </w:r>
      <w:r w:rsidR="003F38A9">
        <w:t>these teachings as a matter of law, nowhere does the Constitution tell us</w:t>
      </w:r>
      <w:r w:rsidR="00252981">
        <w:t>.</w:t>
      </w:r>
      <w:r w:rsidR="007C2649">
        <w:t xml:space="preserve"> The antislavery tradition of literacy makes manifest that there</w:t>
      </w:r>
      <w:r w:rsidR="00EA576F">
        <w:t xml:space="preserve"> is choice </w:t>
      </w:r>
      <w:r w:rsidR="007C2649">
        <w:t xml:space="preserve">in how we choose to interpret the </w:t>
      </w:r>
      <w:r w:rsidR="000C16F7">
        <w:t>Reconstruction Amendments, and how, as a nation, we reconcile ourselves with the enduring legacy of slavery</w:t>
      </w:r>
      <w:r w:rsidR="007C2649">
        <w:t xml:space="preserve">. </w:t>
      </w:r>
      <w:r w:rsidR="000C16F7">
        <w:t>The open textured language of Section 1 of Fourteenth Amendment was framed, and had always been interpreted and made meaningful in a broader economic and sociopolitical context in which race matters.</w:t>
      </w:r>
      <w:r w:rsidR="000C16F7">
        <w:rPr>
          <w:rStyle w:val="FootnoteReference"/>
        </w:rPr>
        <w:footnoteReference w:id="184"/>
      </w:r>
      <w:r w:rsidR="000C16F7">
        <w:t xml:space="preserve"> The choice about which narrative we </w:t>
      </w:r>
      <w:r w:rsidR="00CF378E">
        <w:t>embrace and how that informs how we chose to give effect</w:t>
      </w:r>
      <w:r w:rsidR="000C16F7">
        <w:t xml:space="preserve"> to the Amendment is ours to make. </w:t>
      </w:r>
    </w:p>
    <w:sectPr w:rsidR="00427304" w:rsidRPr="00D64186" w:rsidSect="00EA5298">
      <w:headerReference w:type="default" r:id="rId12"/>
      <w:footerReference w:type="even" r:id="rId13"/>
      <w:footerReference w:type="default" r:id="rId14"/>
      <w:headerReference w:type="firs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eggy Davis" w:date="2015-05-07T13:52:00Z" w:initials="PD">
    <w:p w14:paraId="63EF0B72" w14:textId="77777777" w:rsidR="00E667D7" w:rsidRDefault="00E667D7" w:rsidP="004038FD">
      <w:pPr>
        <w:widowControl w:val="0"/>
        <w:autoSpaceDE w:val="0"/>
        <w:autoSpaceDN w:val="0"/>
        <w:adjustRightInd w:val="0"/>
        <w:rPr>
          <w:rFonts w:ascii="Garamond" w:hAnsi="Garamond" w:cs="Garamond"/>
          <w:color w:val="102626"/>
          <w:sz w:val="46"/>
          <w:szCs w:val="46"/>
        </w:rPr>
      </w:pPr>
      <w:r>
        <w:rPr>
          <w:rStyle w:val="CommentReference"/>
        </w:rPr>
        <w:annotationRef/>
      </w:r>
      <w:r>
        <w:rPr>
          <w:rFonts w:ascii="Garamond" w:hAnsi="Garamond" w:cs="Garamond"/>
          <w:color w:val="102626"/>
          <w:sz w:val="46"/>
          <w:szCs w:val="46"/>
        </w:rPr>
        <w:t>A quote you might track down and use: 1863 Dr. Oliver Wendell Holmes would write, "Card portraits, as everybody knows, have become the social currency, the 'green-backs' of civilization."</w:t>
      </w:r>
    </w:p>
    <w:p w14:paraId="6496F944" w14:textId="77777777" w:rsidR="00E667D7" w:rsidRDefault="00E667D7">
      <w:pPr>
        <w:pStyle w:val="CommentText"/>
      </w:pPr>
    </w:p>
  </w:comment>
  <w:comment w:id="11" w:author="Peggy Davis" w:date="2015-05-06T19:39:00Z" w:initials="PD">
    <w:p w14:paraId="182ACCC3" w14:textId="77777777" w:rsidR="00E667D7" w:rsidRDefault="00E667D7">
      <w:pPr>
        <w:pStyle w:val="CommentText"/>
      </w:pPr>
      <w:r>
        <w:rPr>
          <w:rStyle w:val="CommentReference"/>
        </w:rPr>
        <w:annotationRef/>
      </w:r>
      <w:r>
        <w:t>Very nice.</w:t>
      </w:r>
    </w:p>
  </w:comment>
  <w:comment w:id="38" w:author="Peggy Davis" w:date="2015-05-07T15:57:00Z" w:initials="PD">
    <w:p w14:paraId="2A4369A1" w14:textId="2BA1060A" w:rsidR="00E667D7" w:rsidRDefault="00E667D7">
      <w:pPr>
        <w:pStyle w:val="CommentText"/>
      </w:pPr>
      <w:r>
        <w:rPr>
          <w:rStyle w:val="CommentReference"/>
        </w:rPr>
        <w:annotationRef/>
      </w:r>
      <w:proofErr w:type="gramStart"/>
      <w:r>
        <w:t>documentation</w:t>
      </w:r>
      <w:proofErr w:type="gramEnd"/>
      <w:r>
        <w:t xml:space="preserve"> here very valuable.  </w:t>
      </w:r>
      <w:proofErr w:type="gramStart"/>
      <w:r>
        <w:t>let’s</w:t>
      </w:r>
      <w:proofErr w:type="gramEnd"/>
      <w:r>
        <w:t xml:space="preserve"> talk about how comprehensive it is.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D3B14" w14:textId="77777777" w:rsidR="00E667D7" w:rsidRDefault="00E667D7" w:rsidP="00EA5298">
      <w:r>
        <w:separator/>
      </w:r>
    </w:p>
  </w:endnote>
  <w:endnote w:type="continuationSeparator" w:id="0">
    <w:p w14:paraId="58592EEC" w14:textId="77777777" w:rsidR="00E667D7" w:rsidRDefault="00E667D7" w:rsidP="00EA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55B3" w14:textId="77777777" w:rsidR="00E667D7" w:rsidRDefault="00E667D7" w:rsidP="00D7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E2A1A5" w14:textId="77777777" w:rsidR="00E667D7" w:rsidRDefault="00E667D7" w:rsidP="00EA52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20976" w14:textId="77777777" w:rsidR="00E667D7" w:rsidRPr="00CA4C54" w:rsidRDefault="00E667D7" w:rsidP="00D73E01">
    <w:pPr>
      <w:pStyle w:val="Footer"/>
      <w:framePr w:wrap="around" w:vAnchor="text" w:hAnchor="margin" w:xAlign="center" w:y="1"/>
      <w:rPr>
        <w:rStyle w:val="PageNumber"/>
        <w:sz w:val="20"/>
        <w:szCs w:val="20"/>
      </w:rPr>
    </w:pPr>
    <w:r>
      <w:rPr>
        <w:rStyle w:val="PageNumber"/>
        <w:sz w:val="20"/>
        <w:szCs w:val="20"/>
      </w:rPr>
      <w:t xml:space="preserve">CONSTITUTIONAL LITERACY | </w:t>
    </w:r>
    <w:r w:rsidRPr="00CA4C54">
      <w:rPr>
        <w:rStyle w:val="PageNumber"/>
        <w:sz w:val="20"/>
        <w:szCs w:val="20"/>
      </w:rPr>
      <w:fldChar w:fldCharType="begin"/>
    </w:r>
    <w:r w:rsidRPr="00CA4C54">
      <w:rPr>
        <w:rStyle w:val="PageNumber"/>
        <w:sz w:val="20"/>
        <w:szCs w:val="20"/>
      </w:rPr>
      <w:instrText xml:space="preserve">PAGE  </w:instrText>
    </w:r>
    <w:r w:rsidRPr="00CA4C54">
      <w:rPr>
        <w:rStyle w:val="PageNumber"/>
        <w:sz w:val="20"/>
        <w:szCs w:val="20"/>
      </w:rPr>
      <w:fldChar w:fldCharType="separate"/>
    </w:r>
    <w:r w:rsidR="00D00C72">
      <w:rPr>
        <w:rStyle w:val="PageNumber"/>
        <w:noProof/>
        <w:sz w:val="20"/>
        <w:szCs w:val="20"/>
      </w:rPr>
      <w:t>35</w:t>
    </w:r>
    <w:r w:rsidRPr="00CA4C54">
      <w:rPr>
        <w:rStyle w:val="PageNumber"/>
        <w:sz w:val="20"/>
        <w:szCs w:val="20"/>
      </w:rPr>
      <w:fldChar w:fldCharType="end"/>
    </w:r>
  </w:p>
  <w:p w14:paraId="6421E648" w14:textId="77777777" w:rsidR="00E667D7" w:rsidRDefault="00E667D7" w:rsidP="00EA52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A39D3" w14:textId="77777777" w:rsidR="00E667D7" w:rsidRDefault="00E667D7" w:rsidP="00EA5298">
      <w:r>
        <w:separator/>
      </w:r>
    </w:p>
  </w:footnote>
  <w:footnote w:type="continuationSeparator" w:id="0">
    <w:p w14:paraId="7B71A7DC" w14:textId="77777777" w:rsidR="00E667D7" w:rsidRDefault="00E667D7" w:rsidP="00EA5298">
      <w:r>
        <w:continuationSeparator/>
      </w:r>
    </w:p>
  </w:footnote>
  <w:footnote w:id="1">
    <w:p w14:paraId="37E54175" w14:textId="77777777" w:rsidR="00E667D7" w:rsidRPr="00742B66" w:rsidRDefault="00E667D7" w:rsidP="00742B66">
      <w:pPr>
        <w:pStyle w:val="Caption"/>
        <w:spacing w:after="240"/>
        <w:rPr>
          <w:noProof/>
          <w:color w:val="000000" w:themeColor="text1"/>
          <w:sz w:val="20"/>
          <w:szCs w:val="20"/>
        </w:rPr>
      </w:pPr>
      <w:r w:rsidRPr="00742B66">
        <w:rPr>
          <w:rStyle w:val="FootnoteReference"/>
          <w:sz w:val="20"/>
          <w:szCs w:val="20"/>
        </w:rPr>
        <w:footnoteRef/>
      </w:r>
      <w:r w:rsidRPr="00742B66">
        <w:rPr>
          <w:sz w:val="20"/>
          <w:szCs w:val="20"/>
        </w:rPr>
        <w:t xml:space="preserve"> </w:t>
      </w:r>
      <w:r w:rsidRPr="00742B66">
        <w:rPr>
          <w:b w:val="0"/>
          <w:noProof/>
          <w:color w:val="000000" w:themeColor="text1"/>
          <w:sz w:val="20"/>
          <w:szCs w:val="20"/>
        </w:rPr>
        <w:t xml:space="preserve">Samuel A. Cooley, </w:t>
      </w:r>
      <w:r w:rsidRPr="00742B66">
        <w:rPr>
          <w:b w:val="0"/>
          <w:i/>
          <w:noProof/>
          <w:color w:val="000000" w:themeColor="text1"/>
          <w:sz w:val="20"/>
          <w:szCs w:val="20"/>
        </w:rPr>
        <w:t>Freedmen’s School, Edisto Island, S.C.</w:t>
      </w:r>
      <w:r w:rsidRPr="00742B66">
        <w:rPr>
          <w:b w:val="0"/>
          <w:noProof/>
          <w:color w:val="000000" w:themeColor="text1"/>
          <w:sz w:val="20"/>
          <w:szCs w:val="20"/>
        </w:rPr>
        <w:t xml:space="preserve"> (Library of Congress) (between 1862 and 1865).</w:t>
      </w:r>
    </w:p>
  </w:footnote>
  <w:footnote w:id="2">
    <w:p w14:paraId="710CEC75" w14:textId="77777777" w:rsidR="00E667D7" w:rsidRPr="00742B66" w:rsidRDefault="00E667D7" w:rsidP="00742B66">
      <w:pPr>
        <w:pStyle w:val="FootnoteText"/>
        <w:spacing w:after="240"/>
        <w:rPr>
          <w:sz w:val="20"/>
          <w:szCs w:val="20"/>
        </w:rPr>
      </w:pPr>
      <w:r w:rsidRPr="00742B66">
        <w:rPr>
          <w:rStyle w:val="FootnoteReference"/>
          <w:smallCaps/>
          <w:sz w:val="20"/>
          <w:szCs w:val="20"/>
        </w:rPr>
        <w:footnoteRef/>
      </w:r>
      <w:r w:rsidRPr="00742B66">
        <w:rPr>
          <w:smallCaps/>
          <w:sz w:val="20"/>
          <w:szCs w:val="20"/>
        </w:rPr>
        <w:t xml:space="preserve"> Toni Morrison, Beloved</w:t>
      </w:r>
      <w:r w:rsidRPr="00742B66">
        <w:rPr>
          <w:sz w:val="20"/>
          <w:szCs w:val="20"/>
        </w:rPr>
        <w:t xml:space="preserve"> 36 (Vintage Int. 2004) (1984).</w:t>
      </w:r>
    </w:p>
  </w:footnote>
  <w:footnote w:id="3">
    <w:p w14:paraId="17D8453C"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sz w:val="20"/>
          <w:szCs w:val="20"/>
        </w:rPr>
        <w:t xml:space="preserve">David W. Blight, </w:t>
      </w:r>
      <w:r w:rsidRPr="00742B66">
        <w:rPr>
          <w:i/>
          <w:sz w:val="20"/>
          <w:szCs w:val="20"/>
        </w:rPr>
        <w:t>The Civil War Isn’t Over</w:t>
      </w:r>
      <w:r w:rsidRPr="00742B66">
        <w:rPr>
          <w:sz w:val="20"/>
          <w:szCs w:val="20"/>
        </w:rPr>
        <w:t xml:space="preserve">, </w:t>
      </w:r>
      <w:r w:rsidRPr="00742B66">
        <w:rPr>
          <w:smallCaps/>
          <w:sz w:val="20"/>
          <w:szCs w:val="20"/>
        </w:rPr>
        <w:t>Atlantic</w:t>
      </w:r>
      <w:r w:rsidRPr="00742B66">
        <w:rPr>
          <w:sz w:val="20"/>
          <w:szCs w:val="20"/>
        </w:rPr>
        <w:t xml:space="preserve"> (Apr. 8, 2015, 12:07 PM), http://www.theatlantic.com/politics/archive/2015/04/the-civil-war-isnt-over/389847.</w:t>
      </w:r>
      <w:proofErr w:type="gramEnd"/>
    </w:p>
  </w:footnote>
  <w:footnote w:id="4">
    <w:p w14:paraId="5EE4C4AB"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Words Like Liberty</w:t>
      </w:r>
      <w:r w:rsidRPr="00742B66">
        <w:rPr>
          <w:sz w:val="20"/>
          <w:szCs w:val="20"/>
        </w:rPr>
        <w:t xml:space="preserve">, </w:t>
      </w:r>
      <w:r w:rsidRPr="00742B66">
        <w:rPr>
          <w:i/>
          <w:sz w:val="20"/>
          <w:szCs w:val="20"/>
        </w:rPr>
        <w:t xml:space="preserve">in </w:t>
      </w:r>
      <w:r w:rsidRPr="00742B66">
        <w:rPr>
          <w:smallCaps/>
          <w:sz w:val="20"/>
          <w:szCs w:val="20"/>
        </w:rPr>
        <w:t>Langston Hughes, Collected Poems</w:t>
      </w:r>
      <w:r w:rsidRPr="00742B66">
        <w:rPr>
          <w:sz w:val="20"/>
          <w:szCs w:val="20"/>
        </w:rPr>
        <w:t xml:space="preserve"> 269 (Arnold </w:t>
      </w:r>
      <w:proofErr w:type="spellStart"/>
      <w:r w:rsidRPr="00742B66">
        <w:rPr>
          <w:sz w:val="20"/>
          <w:szCs w:val="20"/>
        </w:rPr>
        <w:t>Rampersad</w:t>
      </w:r>
      <w:proofErr w:type="spellEnd"/>
      <w:r w:rsidRPr="00742B66">
        <w:rPr>
          <w:sz w:val="20"/>
          <w:szCs w:val="20"/>
        </w:rPr>
        <w:t xml:space="preserve"> &amp; David </w:t>
      </w:r>
      <w:proofErr w:type="spellStart"/>
      <w:r w:rsidRPr="00742B66">
        <w:rPr>
          <w:sz w:val="20"/>
          <w:szCs w:val="20"/>
        </w:rPr>
        <w:t>Roessel</w:t>
      </w:r>
      <w:proofErr w:type="spellEnd"/>
      <w:r w:rsidRPr="00742B66">
        <w:rPr>
          <w:sz w:val="20"/>
          <w:szCs w:val="20"/>
        </w:rPr>
        <w:t xml:space="preserve"> eds</w:t>
      </w:r>
      <w:proofErr w:type="gramStart"/>
      <w:r w:rsidRPr="00742B66">
        <w:rPr>
          <w:sz w:val="20"/>
          <w:szCs w:val="20"/>
        </w:rPr>
        <w:t>.,</w:t>
      </w:r>
      <w:proofErr w:type="gramEnd"/>
      <w:r w:rsidRPr="00742B66">
        <w:rPr>
          <w:sz w:val="20"/>
          <w:szCs w:val="20"/>
        </w:rPr>
        <w:t xml:space="preserve"> 1994).</w:t>
      </w:r>
    </w:p>
  </w:footnote>
  <w:footnote w:id="5">
    <w:p w14:paraId="0959C4F7" w14:textId="77777777" w:rsidR="00E667D7" w:rsidRPr="00742B66" w:rsidRDefault="00E667D7" w:rsidP="00742B66">
      <w:pPr>
        <w:pStyle w:val="FootnoteText"/>
        <w:spacing w:after="240"/>
        <w:rPr>
          <w:b/>
          <w:sz w:val="20"/>
          <w:szCs w:val="20"/>
        </w:rPr>
      </w:pPr>
      <w:r w:rsidRPr="00742B66">
        <w:rPr>
          <w:rStyle w:val="FootnoteReference"/>
          <w:sz w:val="20"/>
          <w:szCs w:val="20"/>
        </w:rPr>
        <w:footnoteRef/>
      </w:r>
      <w:r w:rsidRPr="00742B66">
        <w:rPr>
          <w:sz w:val="20"/>
          <w:szCs w:val="20"/>
        </w:rPr>
        <w:t xml:space="preserve"> </w:t>
      </w:r>
      <w:r w:rsidRPr="00742B66">
        <w:rPr>
          <w:i/>
          <w:sz w:val="20"/>
          <w:szCs w:val="20"/>
        </w:rPr>
        <w:t>See, e.g.</w:t>
      </w:r>
      <w:r w:rsidRPr="00742B66">
        <w:rPr>
          <w:sz w:val="20"/>
          <w:szCs w:val="20"/>
        </w:rPr>
        <w:t xml:space="preserve">, </w:t>
      </w:r>
      <w:r w:rsidRPr="00742B66">
        <w:rPr>
          <w:iCs/>
          <w:sz w:val="20"/>
          <w:szCs w:val="20"/>
        </w:rPr>
        <w:t>W. Coast Hotel Co. v. Parrish</w:t>
      </w:r>
      <w:r w:rsidRPr="00742B66">
        <w:rPr>
          <w:sz w:val="20"/>
          <w:szCs w:val="20"/>
        </w:rPr>
        <w:t>, 300 U.S. 379, 392 (1937) (“Liberty implies the absence of arbitrary restraint, not immunity from reasonable regulations and prohibitions imposed in the interests of the community.” (</w:t>
      </w:r>
      <w:proofErr w:type="gramStart"/>
      <w:r w:rsidRPr="00742B66">
        <w:rPr>
          <w:sz w:val="20"/>
          <w:szCs w:val="20"/>
        </w:rPr>
        <w:t>quoting</w:t>
      </w:r>
      <w:proofErr w:type="gramEnd"/>
      <w:r w:rsidRPr="00742B66">
        <w:rPr>
          <w:sz w:val="20"/>
          <w:szCs w:val="20"/>
        </w:rPr>
        <w:t xml:space="preserve"> </w:t>
      </w:r>
      <w:r w:rsidRPr="00742B66">
        <w:rPr>
          <w:rFonts w:eastAsia="Times New Roman"/>
          <w:i/>
          <w:iCs/>
          <w:sz w:val="20"/>
          <w:szCs w:val="20"/>
        </w:rPr>
        <w:t>Chicago, B. &amp; Q.R. Co. v. McGuire</w:t>
      </w:r>
      <w:r w:rsidRPr="00742B66">
        <w:rPr>
          <w:rFonts w:eastAsia="Times New Roman"/>
          <w:sz w:val="20"/>
          <w:szCs w:val="20"/>
        </w:rPr>
        <w:t>, 219 U.S. 549, 566 (1911)</w:t>
      </w:r>
      <w:r w:rsidRPr="00742B66">
        <w:rPr>
          <w:sz w:val="20"/>
          <w:szCs w:val="20"/>
        </w:rPr>
        <w:t>).</w:t>
      </w:r>
      <w:r w:rsidRPr="00742B66">
        <w:rPr>
          <w:b/>
          <w:sz w:val="20"/>
          <w:szCs w:val="20"/>
        </w:rPr>
        <w:t>[cite to other SDP cases]</w:t>
      </w:r>
      <w:r>
        <w:rPr>
          <w:b/>
          <w:sz w:val="20"/>
          <w:szCs w:val="20"/>
        </w:rPr>
        <w:t xml:space="preserve"> What point do you want to make here?</w:t>
      </w:r>
    </w:p>
  </w:footnote>
  <w:footnote w:id="6">
    <w:p w14:paraId="53E60056" w14:textId="77777777" w:rsidR="00E667D7" w:rsidRPr="003C6FB6" w:rsidRDefault="00E667D7" w:rsidP="003C6FB6">
      <w:pPr>
        <w:pStyle w:val="FootnoteText"/>
        <w:spacing w:after="240"/>
        <w:rPr>
          <w:sz w:val="20"/>
          <w:szCs w:val="20"/>
        </w:rPr>
      </w:pPr>
      <w:r w:rsidRPr="003C6FB6">
        <w:rPr>
          <w:rStyle w:val="FootnoteReference"/>
          <w:sz w:val="20"/>
          <w:szCs w:val="20"/>
        </w:rPr>
        <w:footnoteRef/>
      </w:r>
      <w:r w:rsidRPr="003C6FB6">
        <w:rPr>
          <w:sz w:val="20"/>
          <w:szCs w:val="20"/>
        </w:rPr>
        <w:t xml:space="preserve"> I chose to refer to free and freed black Americans as the </w:t>
      </w:r>
      <w:proofErr w:type="spellStart"/>
      <w:r w:rsidRPr="003C6FB6">
        <w:rPr>
          <w:sz w:val="20"/>
          <w:szCs w:val="20"/>
        </w:rPr>
        <w:t>Freepeople</w:t>
      </w:r>
      <w:proofErr w:type="spellEnd"/>
      <w:r w:rsidRPr="00B20CF8">
        <w:rPr>
          <w:sz w:val="20"/>
          <w:szCs w:val="20"/>
        </w:rPr>
        <w:t xml:space="preserve">. Though a subtle difference from the more conventional </w:t>
      </w:r>
      <w:proofErr w:type="spellStart"/>
      <w:r w:rsidRPr="00B20CF8">
        <w:rPr>
          <w:sz w:val="20"/>
          <w:szCs w:val="20"/>
        </w:rPr>
        <w:t>Freedpeople</w:t>
      </w:r>
      <w:proofErr w:type="spellEnd"/>
      <w:r w:rsidRPr="00B20CF8">
        <w:rPr>
          <w:sz w:val="20"/>
          <w:szCs w:val="20"/>
        </w:rPr>
        <w:t xml:space="preserve">, I do so </w:t>
      </w:r>
      <w:r w:rsidRPr="003C6FB6">
        <w:rPr>
          <w:sz w:val="20"/>
          <w:szCs w:val="20"/>
        </w:rPr>
        <w:t xml:space="preserve">to shift the narrative </w:t>
      </w:r>
      <w:r>
        <w:rPr>
          <w:sz w:val="20"/>
          <w:szCs w:val="20"/>
        </w:rPr>
        <w:t>of</w:t>
      </w:r>
      <w:r w:rsidRPr="003C6FB6">
        <w:rPr>
          <w:sz w:val="20"/>
          <w:szCs w:val="20"/>
        </w:rPr>
        <w:t xml:space="preserve"> former slaves being freed by executive action or constitutional a</w:t>
      </w:r>
      <w:r w:rsidRPr="00B20CF8">
        <w:rPr>
          <w:sz w:val="20"/>
          <w:szCs w:val="20"/>
        </w:rPr>
        <w:t xml:space="preserve">mendment, which of course are </w:t>
      </w:r>
      <w:r w:rsidRPr="003C6FB6">
        <w:rPr>
          <w:sz w:val="20"/>
          <w:szCs w:val="20"/>
        </w:rPr>
        <w:t>matter</w:t>
      </w:r>
      <w:r w:rsidRPr="00B20CF8">
        <w:rPr>
          <w:sz w:val="20"/>
          <w:szCs w:val="20"/>
        </w:rPr>
        <w:t>s</w:t>
      </w:r>
      <w:r w:rsidRPr="00BD785A">
        <w:rPr>
          <w:sz w:val="20"/>
          <w:szCs w:val="20"/>
        </w:rPr>
        <w:t xml:space="preserve"> of </w:t>
      </w:r>
      <w:r>
        <w:rPr>
          <w:sz w:val="20"/>
          <w:szCs w:val="20"/>
        </w:rPr>
        <w:t>legal</w:t>
      </w:r>
      <w:r w:rsidRPr="00BD785A">
        <w:rPr>
          <w:sz w:val="20"/>
          <w:szCs w:val="20"/>
        </w:rPr>
        <w:t xml:space="preserve"> fact.</w:t>
      </w:r>
      <w:r w:rsidRPr="003C6FB6">
        <w:rPr>
          <w:sz w:val="20"/>
          <w:szCs w:val="20"/>
        </w:rPr>
        <w:t xml:space="preserve"> </w:t>
      </w:r>
      <w:proofErr w:type="spellStart"/>
      <w:r w:rsidRPr="00BD785A">
        <w:rPr>
          <w:rFonts w:ascii="Times" w:eastAsia="Times New Roman" w:hAnsi="Times"/>
          <w:sz w:val="20"/>
          <w:szCs w:val="20"/>
        </w:rPr>
        <w:t>Guyora</w:t>
      </w:r>
      <w:proofErr w:type="spellEnd"/>
      <w:r w:rsidRPr="00BD785A">
        <w:rPr>
          <w:rFonts w:ascii="Times" w:eastAsia="Times New Roman" w:hAnsi="Times"/>
          <w:sz w:val="20"/>
          <w:szCs w:val="20"/>
        </w:rPr>
        <w:t xml:space="preserve"> Binder, </w:t>
      </w:r>
      <w:r w:rsidRPr="00BD785A">
        <w:rPr>
          <w:rFonts w:ascii="Times" w:eastAsia="Times New Roman" w:hAnsi="Times"/>
          <w:i/>
          <w:iCs/>
          <w:sz w:val="20"/>
          <w:szCs w:val="20"/>
        </w:rPr>
        <w:t xml:space="preserve">Did the Slaves Author the Thirteenth Amendment? </w:t>
      </w:r>
      <w:proofErr w:type="gramStart"/>
      <w:r w:rsidRPr="00BD785A">
        <w:rPr>
          <w:rFonts w:ascii="Times" w:eastAsia="Times New Roman" w:hAnsi="Times"/>
          <w:i/>
          <w:iCs/>
          <w:sz w:val="20"/>
          <w:szCs w:val="20"/>
        </w:rPr>
        <w:t>An Essay in Redemptive History</w:t>
      </w:r>
      <w:r w:rsidRPr="00BD785A">
        <w:rPr>
          <w:rFonts w:ascii="Times" w:eastAsia="Times New Roman" w:hAnsi="Times"/>
          <w:sz w:val="20"/>
          <w:szCs w:val="20"/>
        </w:rPr>
        <w:t xml:space="preserve">, 5 </w:t>
      </w:r>
      <w:r w:rsidRPr="003C6FB6">
        <w:rPr>
          <w:rFonts w:ascii="Times" w:eastAsia="Times New Roman" w:hAnsi="Times"/>
          <w:smallCaps/>
          <w:sz w:val="20"/>
          <w:szCs w:val="20"/>
        </w:rPr>
        <w:t>Yale J.L. &amp; Human.</w:t>
      </w:r>
      <w:proofErr w:type="gramEnd"/>
      <w:r w:rsidRPr="00BD785A">
        <w:rPr>
          <w:rFonts w:ascii="Times" w:eastAsia="Times New Roman" w:hAnsi="Times"/>
          <w:sz w:val="20"/>
          <w:szCs w:val="20"/>
        </w:rPr>
        <w:t xml:space="preserve"> 471, 473 (1993)</w:t>
      </w:r>
      <w:r>
        <w:rPr>
          <w:rFonts w:ascii="Times" w:eastAsia="Times New Roman" w:hAnsi="Times"/>
          <w:sz w:val="20"/>
          <w:szCs w:val="20"/>
        </w:rPr>
        <w:t xml:space="preserve"> (arguing that the received narrative, that “</w:t>
      </w:r>
      <w:r w:rsidRPr="00BD785A">
        <w:rPr>
          <w:rFonts w:ascii="Times" w:eastAsia="Times New Roman" w:hAnsi="Times"/>
          <w:sz w:val="20"/>
          <w:szCs w:val="20"/>
        </w:rPr>
        <w:t xml:space="preserve">Northern whites receive status as constitutional authors in return for the freedom they supposedly conferred on Southern </w:t>
      </w:r>
      <w:proofErr w:type="gramStart"/>
      <w:r w:rsidRPr="00BD785A">
        <w:rPr>
          <w:rFonts w:ascii="Times" w:eastAsia="Times New Roman" w:hAnsi="Times"/>
          <w:sz w:val="20"/>
          <w:szCs w:val="20"/>
        </w:rPr>
        <w:t>blacks</w:t>
      </w:r>
      <w:r>
        <w:rPr>
          <w:rFonts w:ascii="Times" w:eastAsia="Times New Roman" w:hAnsi="Times"/>
          <w:sz w:val="20"/>
          <w:szCs w:val="20"/>
        </w:rPr>
        <w:t>.</w:t>
      </w:r>
      <w:proofErr w:type="gramEnd"/>
      <w:r>
        <w:rPr>
          <w:rFonts w:ascii="Times" w:eastAsia="Times New Roman" w:hAnsi="Times"/>
          <w:sz w:val="20"/>
          <w:szCs w:val="20"/>
        </w:rPr>
        <w:t xml:space="preserve"> . . symbolically dispossesses the slaves”). </w:t>
      </w:r>
    </w:p>
    <w:p w14:paraId="39A7BD75" w14:textId="77777777" w:rsidR="00E667D7" w:rsidRDefault="00E667D7" w:rsidP="003C6FB6">
      <w:pPr>
        <w:pStyle w:val="FootnoteText"/>
        <w:spacing w:after="240"/>
        <w:rPr>
          <w:sz w:val="20"/>
          <w:szCs w:val="20"/>
        </w:rPr>
      </w:pPr>
    </w:p>
    <w:p w14:paraId="731BFFA7" w14:textId="11F0376B" w:rsidR="00E667D7" w:rsidRPr="003C6FB6" w:rsidRDefault="00E667D7" w:rsidP="003C6FB6">
      <w:pPr>
        <w:pStyle w:val="FootnoteText"/>
        <w:spacing w:after="240"/>
        <w:rPr>
          <w:sz w:val="20"/>
          <w:szCs w:val="20"/>
        </w:rPr>
      </w:pPr>
      <w:proofErr w:type="gramStart"/>
      <w:r w:rsidRPr="003C6FB6">
        <w:rPr>
          <w:sz w:val="20"/>
          <w:szCs w:val="20"/>
        </w:rPr>
        <w:t>to</w:t>
      </w:r>
      <w:proofErr w:type="gramEnd"/>
      <w:r w:rsidRPr="003C6FB6">
        <w:rPr>
          <w:sz w:val="20"/>
          <w:szCs w:val="20"/>
        </w:rPr>
        <w:t xml:space="preserve"> one </w:t>
      </w:r>
      <w:r w:rsidRPr="00B20CF8">
        <w:rPr>
          <w:sz w:val="20"/>
          <w:szCs w:val="20"/>
        </w:rPr>
        <w:t>wherein</w:t>
      </w:r>
      <w:r w:rsidRPr="003C6FB6">
        <w:rPr>
          <w:sz w:val="20"/>
          <w:szCs w:val="20"/>
        </w:rPr>
        <w:t xml:space="preserve"> the free and freed, through their dogged effort to become self-taught </w:t>
      </w:r>
      <w:r>
        <w:rPr>
          <w:sz w:val="20"/>
          <w:szCs w:val="20"/>
        </w:rPr>
        <w:t>and in turn to advocate</w:t>
      </w:r>
      <w:r w:rsidRPr="003C6FB6">
        <w:rPr>
          <w:sz w:val="20"/>
          <w:szCs w:val="20"/>
        </w:rPr>
        <w:t xml:space="preserve"> for universal education</w:t>
      </w:r>
      <w:r>
        <w:rPr>
          <w:sz w:val="20"/>
          <w:szCs w:val="20"/>
        </w:rPr>
        <w:t xml:space="preserve"> as a fundamental right</w:t>
      </w:r>
      <w:r w:rsidRPr="003C6FB6">
        <w:rPr>
          <w:sz w:val="20"/>
          <w:szCs w:val="20"/>
        </w:rPr>
        <w:t xml:space="preserve">, </w:t>
      </w:r>
      <w:r w:rsidRPr="00B20CF8">
        <w:rPr>
          <w:sz w:val="20"/>
          <w:szCs w:val="20"/>
        </w:rPr>
        <w:t>c</w:t>
      </w:r>
      <w:r>
        <w:rPr>
          <w:sz w:val="20"/>
          <w:szCs w:val="20"/>
        </w:rPr>
        <w:t>reated their freedom and prefigured a new national? (</w:t>
      </w:r>
      <w:proofErr w:type="gramStart"/>
      <w:r>
        <w:rPr>
          <w:sz w:val="20"/>
          <w:szCs w:val="20"/>
        </w:rPr>
        <w:t>needs</w:t>
      </w:r>
      <w:proofErr w:type="gramEnd"/>
      <w:r>
        <w:rPr>
          <w:sz w:val="20"/>
          <w:szCs w:val="20"/>
        </w:rPr>
        <w:t xml:space="preserve"> explanation) identity sounded in constitutional personhood.</w:t>
      </w:r>
    </w:p>
  </w:footnote>
  <w:footnote w:id="7">
    <w:p w14:paraId="142B94D2"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M.H. Kimball, </w:t>
      </w:r>
      <w:r w:rsidRPr="00742B66">
        <w:rPr>
          <w:i/>
          <w:sz w:val="20"/>
          <w:szCs w:val="20"/>
        </w:rPr>
        <w:t>Isaac &amp; Rosa, Slave Children From New Orleans</w:t>
      </w:r>
      <w:r w:rsidRPr="00742B66">
        <w:rPr>
          <w:sz w:val="20"/>
          <w:szCs w:val="20"/>
        </w:rPr>
        <w:t xml:space="preserve">, </w:t>
      </w:r>
      <w:r w:rsidRPr="00742B66">
        <w:rPr>
          <w:smallCaps/>
          <w:sz w:val="20"/>
          <w:szCs w:val="20"/>
        </w:rPr>
        <w:t>Library of Cong.</w:t>
      </w:r>
      <w:r w:rsidRPr="00742B66">
        <w:rPr>
          <w:sz w:val="20"/>
          <w:szCs w:val="20"/>
        </w:rPr>
        <w:t xml:space="preserve"> (1863). </w:t>
      </w:r>
    </w:p>
  </w:footnote>
  <w:footnote w:id="8">
    <w:p w14:paraId="66F8E62C"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This section draws heavily from narratives of slavery told by the free and freed. </w:t>
      </w:r>
      <w:r>
        <w:rPr>
          <w:sz w:val="20"/>
          <w:szCs w:val="20"/>
        </w:rPr>
        <w:t xml:space="preserve">Nineteenth-century </w:t>
      </w:r>
      <w:r w:rsidRPr="00742B66">
        <w:rPr>
          <w:sz w:val="20"/>
          <w:szCs w:val="20"/>
        </w:rPr>
        <w:t xml:space="preserve">African American vernacular was distinctive in its structure and sound, but much of the language quoted </w:t>
      </w:r>
      <w:r>
        <w:rPr>
          <w:sz w:val="20"/>
          <w:szCs w:val="20"/>
        </w:rPr>
        <w:t xml:space="preserve">herein </w:t>
      </w:r>
      <w:r w:rsidRPr="00742B66">
        <w:rPr>
          <w:sz w:val="20"/>
          <w:szCs w:val="20"/>
        </w:rPr>
        <w:t xml:space="preserve">is not the language actually spoken by black Americans but rather is a representation of that language recorded by observers </w:t>
      </w:r>
      <w:r>
        <w:rPr>
          <w:sz w:val="20"/>
          <w:szCs w:val="20"/>
        </w:rPr>
        <w:t>(</w:t>
      </w:r>
      <w:r w:rsidRPr="00742B66">
        <w:rPr>
          <w:sz w:val="20"/>
          <w:szCs w:val="20"/>
        </w:rPr>
        <w:t>many of who</w:t>
      </w:r>
      <w:r>
        <w:rPr>
          <w:sz w:val="20"/>
          <w:szCs w:val="20"/>
        </w:rPr>
        <w:t>m</w:t>
      </w:r>
      <w:r w:rsidRPr="00742B66">
        <w:rPr>
          <w:sz w:val="20"/>
          <w:szCs w:val="20"/>
        </w:rPr>
        <w:t xml:space="preserve"> were white</w:t>
      </w:r>
      <w:r>
        <w:rPr>
          <w:sz w:val="20"/>
          <w:szCs w:val="20"/>
        </w:rPr>
        <w:t>)</w:t>
      </w:r>
      <w:r w:rsidRPr="00742B66">
        <w:rPr>
          <w:sz w:val="20"/>
          <w:szCs w:val="20"/>
        </w:rPr>
        <w:t xml:space="preserve"> and invariably reflect</w:t>
      </w:r>
      <w:r>
        <w:rPr>
          <w:sz w:val="20"/>
          <w:szCs w:val="20"/>
        </w:rPr>
        <w:t>s</w:t>
      </w:r>
      <w:r w:rsidRPr="00742B66">
        <w:rPr>
          <w:sz w:val="20"/>
          <w:szCs w:val="20"/>
        </w:rPr>
        <w:t xml:space="preserve"> how the auditor thought blacks spoke.</w:t>
      </w:r>
    </w:p>
  </w:footnote>
  <w:footnote w:id="9">
    <w:p w14:paraId="75A3146D"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r>
        <w:rPr>
          <w:i/>
          <w:sz w:val="20"/>
          <w:szCs w:val="20"/>
        </w:rPr>
        <w:t>?</w:t>
      </w:r>
    </w:p>
  </w:footnote>
  <w:footnote w:id="10">
    <w:p w14:paraId="0C538FC3"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Mary Niall Mitchell, </w:t>
      </w:r>
      <w:proofErr w:type="gramStart"/>
      <w:r w:rsidRPr="00742B66">
        <w:rPr>
          <w:smallCaps/>
          <w:sz w:val="20"/>
          <w:szCs w:val="20"/>
        </w:rPr>
        <w:t>Raising</w:t>
      </w:r>
      <w:proofErr w:type="gramEnd"/>
      <w:r w:rsidRPr="00742B66">
        <w:rPr>
          <w:smallCaps/>
          <w:sz w:val="20"/>
          <w:szCs w:val="20"/>
        </w:rPr>
        <w:t xml:space="preserve"> Freedom’s Child: Black Children and Visions of the Future After Slavery</w:t>
      </w:r>
      <w:r w:rsidRPr="00742B66">
        <w:rPr>
          <w:sz w:val="20"/>
          <w:szCs w:val="20"/>
        </w:rPr>
        <w:t xml:space="preserve"> 1 (2008). Regarding depictions of black freedom, such as Isaac and Rosa, historian Mary Niall Mitchell says, “[</w:t>
      </w:r>
      <w:proofErr w:type="gramStart"/>
      <w:r w:rsidRPr="00742B66">
        <w:rPr>
          <w:sz w:val="20"/>
          <w:szCs w:val="20"/>
        </w:rPr>
        <w:t>a]s</w:t>
      </w:r>
      <w:proofErr w:type="gramEnd"/>
      <w:r w:rsidRPr="00742B66">
        <w:rPr>
          <w:sz w:val="20"/>
          <w:szCs w:val="20"/>
        </w:rPr>
        <w:t xml:space="preserve"> members of the first generation of African Americans to grow up in the former slaveholding republic, the black child—freedom’s child—represented the possibility of a future dramatically different from the past, a future in which black Americans might have access to the same privileges as whites.” </w:t>
      </w:r>
      <w:proofErr w:type="gramStart"/>
      <w:r w:rsidRPr="00742B66">
        <w:rPr>
          <w:i/>
          <w:sz w:val="20"/>
          <w:szCs w:val="20"/>
        </w:rPr>
        <w:t>Id.</w:t>
      </w:r>
      <w:r w:rsidRPr="00742B66">
        <w:rPr>
          <w:sz w:val="20"/>
          <w:szCs w:val="20"/>
        </w:rPr>
        <w:t xml:space="preserve"> at 5.</w:t>
      </w:r>
      <w:proofErr w:type="gramEnd"/>
      <w:r w:rsidRPr="00742B66">
        <w:rPr>
          <w:sz w:val="20"/>
          <w:szCs w:val="20"/>
        </w:rPr>
        <w:t xml:space="preserve"> </w:t>
      </w:r>
    </w:p>
  </w:footnote>
  <w:footnote w:id="11">
    <w:p w14:paraId="7CBEF08C"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 xml:space="preserve">Id. </w:t>
      </w:r>
      <w:r w:rsidRPr="00742B66">
        <w:rPr>
          <w:sz w:val="20"/>
          <w:szCs w:val="20"/>
        </w:rPr>
        <w:t>at 194.</w:t>
      </w:r>
      <w:proofErr w:type="gramEnd"/>
      <w:r w:rsidRPr="00742B66">
        <w:rPr>
          <w:sz w:val="20"/>
          <w:szCs w:val="20"/>
        </w:rPr>
        <w:t xml:space="preserve"> By September 1864, the </w:t>
      </w:r>
      <w:r w:rsidRPr="00742B66">
        <w:rPr>
          <w:i/>
          <w:sz w:val="20"/>
          <w:szCs w:val="20"/>
        </w:rPr>
        <w:t>New Orleans Tribune</w:t>
      </w:r>
      <w:r w:rsidRPr="00742B66">
        <w:rPr>
          <w:sz w:val="20"/>
          <w:szCs w:val="20"/>
        </w:rPr>
        <w:t xml:space="preserve"> reported that the efforts of the Board of Education (established in March 1864 by Banks) had resulted in the opening of 60 schools with </w:t>
      </w:r>
      <w:r>
        <w:rPr>
          <w:sz w:val="20"/>
          <w:szCs w:val="20"/>
        </w:rPr>
        <w:t xml:space="preserve">8000 students </w:t>
      </w:r>
      <w:r w:rsidRPr="00742B66">
        <w:rPr>
          <w:sz w:val="20"/>
          <w:szCs w:val="20"/>
        </w:rPr>
        <w:t xml:space="preserve">and more than </w:t>
      </w:r>
      <w:r>
        <w:rPr>
          <w:sz w:val="20"/>
          <w:szCs w:val="20"/>
        </w:rPr>
        <w:t>100</w:t>
      </w:r>
      <w:r w:rsidRPr="00742B66">
        <w:rPr>
          <w:sz w:val="20"/>
          <w:szCs w:val="20"/>
        </w:rPr>
        <w:t xml:space="preserve"> teachers. </w:t>
      </w:r>
      <w:r w:rsidRPr="00742B66">
        <w:rPr>
          <w:i/>
          <w:sz w:val="20"/>
          <w:szCs w:val="20"/>
        </w:rPr>
        <w:t xml:space="preserve">Id. </w:t>
      </w:r>
      <w:r w:rsidRPr="00742B66">
        <w:rPr>
          <w:sz w:val="20"/>
          <w:szCs w:val="20"/>
        </w:rPr>
        <w:t xml:space="preserve">By 1965, when the Freedmen’s Bureau took control of the school system, it included 126 schools, 19,000 students, and 100 teachers. </w:t>
      </w:r>
      <w:r w:rsidRPr="00742B66">
        <w:rPr>
          <w:i/>
          <w:sz w:val="20"/>
          <w:szCs w:val="20"/>
        </w:rPr>
        <w:t xml:space="preserve">Id. </w:t>
      </w:r>
      <w:r w:rsidRPr="00742B66">
        <w:rPr>
          <w:sz w:val="20"/>
          <w:szCs w:val="20"/>
        </w:rPr>
        <w:t xml:space="preserve">The broader </w:t>
      </w:r>
      <w:proofErr w:type="spellStart"/>
      <w:r w:rsidRPr="00742B66">
        <w:rPr>
          <w:sz w:val="20"/>
          <w:szCs w:val="20"/>
        </w:rPr>
        <w:t>Freepeople’s</w:t>
      </w:r>
      <w:proofErr w:type="spellEnd"/>
      <w:r w:rsidRPr="00742B66">
        <w:rPr>
          <w:sz w:val="20"/>
          <w:szCs w:val="20"/>
        </w:rPr>
        <w:t xml:space="preserve"> school movement, however, cannot be attributed solely to federal largesse and northern beneficence. </w:t>
      </w:r>
      <w:r w:rsidRPr="00742B66">
        <w:rPr>
          <w:i/>
          <w:sz w:val="20"/>
          <w:szCs w:val="20"/>
        </w:rPr>
        <w:t xml:space="preserve">See infra </w:t>
      </w:r>
      <w:r w:rsidRPr="00742B66">
        <w:rPr>
          <w:sz w:val="20"/>
          <w:szCs w:val="20"/>
        </w:rPr>
        <w:t xml:space="preserve">notes </w:t>
      </w:r>
      <w:r w:rsidRPr="00742B66">
        <w:rPr>
          <w:sz w:val="20"/>
          <w:szCs w:val="20"/>
          <w:highlight w:val="yellow"/>
        </w:rPr>
        <w:t>__–__</w:t>
      </w:r>
      <w:r w:rsidRPr="00742B66">
        <w:rPr>
          <w:sz w:val="20"/>
          <w:szCs w:val="20"/>
        </w:rPr>
        <w:t xml:space="preserve"> and accompanying text.</w:t>
      </w:r>
    </w:p>
  </w:footnote>
  <w:footnote w:id="12">
    <w:p w14:paraId="441F1A5A" w14:textId="478AD11F"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Property is defined as “[</w:t>
      </w:r>
      <w:proofErr w:type="gramStart"/>
      <w:r w:rsidRPr="00742B66">
        <w:rPr>
          <w:sz w:val="20"/>
          <w:szCs w:val="20"/>
        </w:rPr>
        <w:t>t]he</w:t>
      </w:r>
      <w:proofErr w:type="gramEnd"/>
      <w:r w:rsidRPr="00742B66">
        <w:rPr>
          <w:sz w:val="20"/>
          <w:szCs w:val="20"/>
        </w:rPr>
        <w:t xml:space="preserve"> right to possess, use, and enjoy a determinate thing (either a tract of land or chattel),” or equally  relevant to this essay, “[a]</w:t>
      </w:r>
      <w:proofErr w:type="spellStart"/>
      <w:r w:rsidRPr="00742B66">
        <w:rPr>
          <w:sz w:val="20"/>
          <w:szCs w:val="20"/>
        </w:rPr>
        <w:t>ny</w:t>
      </w:r>
      <w:proofErr w:type="spellEnd"/>
      <w:r w:rsidRPr="00742B66">
        <w:rPr>
          <w:sz w:val="20"/>
          <w:szCs w:val="20"/>
        </w:rPr>
        <w:t xml:space="preserve"> external thing over which the rights of possession, use, and enjoyment are exercised.” </w:t>
      </w:r>
      <w:r w:rsidRPr="00742B66">
        <w:rPr>
          <w:smallCaps/>
          <w:sz w:val="20"/>
          <w:szCs w:val="20"/>
        </w:rPr>
        <w:t>Black’s Law Dictionary</w:t>
      </w:r>
      <w:r w:rsidRPr="00742B66">
        <w:rPr>
          <w:sz w:val="20"/>
          <w:szCs w:val="20"/>
        </w:rPr>
        <w:t>, 1135–36 (9th ed. 2009). While</w:t>
      </w:r>
      <w:r>
        <w:rPr>
          <w:sz w:val="20"/>
          <w:szCs w:val="20"/>
        </w:rPr>
        <w:t xml:space="preserve"> neither</w:t>
      </w:r>
      <w:r w:rsidRPr="00742B66">
        <w:rPr>
          <w:sz w:val="20"/>
          <w:szCs w:val="20"/>
        </w:rPr>
        <w:t xml:space="preserve"> the U.S. Constitution, nor its antecedent Articles of Confederation, expressly provide</w:t>
      </w:r>
      <w:r>
        <w:rPr>
          <w:sz w:val="20"/>
          <w:szCs w:val="20"/>
        </w:rPr>
        <w:t>d</w:t>
      </w:r>
      <w:r w:rsidRPr="00742B66">
        <w:rPr>
          <w:sz w:val="20"/>
          <w:szCs w:val="20"/>
        </w:rPr>
        <w:t xml:space="preserve"> for slavery, the institution is imported into these constitutional instruments by implication. </w:t>
      </w:r>
      <w:r w:rsidRPr="00742B66">
        <w:rPr>
          <w:i/>
          <w:sz w:val="20"/>
          <w:szCs w:val="20"/>
        </w:rPr>
        <w:t xml:space="preserve">See </w:t>
      </w:r>
      <w:r w:rsidRPr="00742B66">
        <w:rPr>
          <w:smallCaps/>
          <w:sz w:val="20"/>
          <w:szCs w:val="20"/>
        </w:rPr>
        <w:t>Articles of Confederation</w:t>
      </w:r>
      <w:r w:rsidRPr="00742B66">
        <w:rPr>
          <w:sz w:val="20"/>
          <w:szCs w:val="20"/>
        </w:rPr>
        <w:t xml:space="preserve"> (leaving, by omission, the regulation of slaves to the states</w:t>
      </w:r>
      <w:r>
        <w:rPr>
          <w:sz w:val="20"/>
          <w:szCs w:val="20"/>
        </w:rPr>
        <w:t>???</w:t>
      </w:r>
      <w:r w:rsidRPr="00742B66">
        <w:rPr>
          <w:sz w:val="20"/>
          <w:szCs w:val="20"/>
        </w:rPr>
        <w:t xml:space="preserve">); U.S. Const. art. </w:t>
      </w:r>
      <w:proofErr w:type="gramStart"/>
      <w:r w:rsidRPr="00742B66">
        <w:rPr>
          <w:sz w:val="20"/>
          <w:szCs w:val="20"/>
        </w:rPr>
        <w:t xml:space="preserve">1, § 2, cl. 3 (providing that representatives to the House shall be apportioned according to the respective populations of the several states, “determined by adding to the whole number of free persons . . . </w:t>
      </w:r>
      <w:r w:rsidRPr="00742B66">
        <w:rPr>
          <w:i/>
          <w:sz w:val="20"/>
          <w:szCs w:val="20"/>
        </w:rPr>
        <w:t>three fifths of all other Persons</w:t>
      </w:r>
      <w:r w:rsidRPr="00742B66">
        <w:rPr>
          <w:sz w:val="20"/>
          <w:szCs w:val="20"/>
        </w:rPr>
        <w:t xml:space="preserve">”) (emphasis added); </w:t>
      </w:r>
      <w:r w:rsidRPr="00742B66">
        <w:rPr>
          <w:i/>
          <w:sz w:val="20"/>
          <w:szCs w:val="20"/>
        </w:rPr>
        <w:t>id.</w:t>
      </w:r>
      <w:proofErr w:type="gramEnd"/>
      <w:r w:rsidRPr="00742B66">
        <w:rPr>
          <w:sz w:val="20"/>
          <w:szCs w:val="20"/>
        </w:rPr>
        <w:t xml:space="preserve"> </w:t>
      </w:r>
      <w:proofErr w:type="gramStart"/>
      <w:r w:rsidRPr="00742B66">
        <w:rPr>
          <w:sz w:val="20"/>
          <w:szCs w:val="20"/>
        </w:rPr>
        <w:t>art</w:t>
      </w:r>
      <w:proofErr w:type="gramEnd"/>
      <w:r w:rsidRPr="00742B66">
        <w:rPr>
          <w:sz w:val="20"/>
          <w:szCs w:val="20"/>
        </w:rPr>
        <w:t xml:space="preserve">. 1, § 9, cl. 1 (providing that 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 </w:t>
      </w:r>
      <w:r w:rsidRPr="00742B66">
        <w:rPr>
          <w:i/>
          <w:sz w:val="20"/>
          <w:szCs w:val="20"/>
        </w:rPr>
        <w:t>id.</w:t>
      </w:r>
      <w:r w:rsidRPr="00742B66">
        <w:rPr>
          <w:sz w:val="20"/>
          <w:szCs w:val="20"/>
        </w:rPr>
        <w:t xml:space="preserve"> </w:t>
      </w:r>
      <w:proofErr w:type="gramStart"/>
      <w:r w:rsidRPr="00742B66">
        <w:rPr>
          <w:sz w:val="20"/>
          <w:szCs w:val="20"/>
        </w:rPr>
        <w:t>art</w:t>
      </w:r>
      <w:proofErr w:type="gramEnd"/>
      <w:r w:rsidRPr="00742B66">
        <w:rPr>
          <w:sz w:val="20"/>
          <w:szCs w:val="20"/>
        </w:rPr>
        <w:t xml:space="preserve">. 4, § 2, cl. 3 (“No person held to service or labor in one state, under the laws thereof, escaping into another, shall, in consequence of any law or regulation therein, be discharged from such service or labor, but shall be delivered up on claim of the party to whom such service or labor may be due.”); Fugitive Slave Act of 1793, </w:t>
      </w:r>
      <w:proofErr w:type="spellStart"/>
      <w:r w:rsidRPr="00742B66">
        <w:rPr>
          <w:sz w:val="20"/>
          <w:szCs w:val="20"/>
        </w:rPr>
        <w:t>ch.</w:t>
      </w:r>
      <w:proofErr w:type="spellEnd"/>
      <w:r w:rsidRPr="00742B66">
        <w:rPr>
          <w:sz w:val="20"/>
          <w:szCs w:val="20"/>
        </w:rPr>
        <w:t xml:space="preserve"> 7, 1 Stat. 302 (giving effect to Article 4, Section 2 of the Constitution, the Act provided for interstate extradition of runaway slaves and imposed a $500 fine on any person who “knowingly and willingly” obstructed the attainment of such a fugitive); Fugitive Slave Law of 1850, </w:t>
      </w:r>
      <w:proofErr w:type="spellStart"/>
      <w:r w:rsidRPr="00742B66">
        <w:rPr>
          <w:sz w:val="20"/>
          <w:szCs w:val="20"/>
        </w:rPr>
        <w:t>ch.</w:t>
      </w:r>
      <w:proofErr w:type="spellEnd"/>
      <w:r w:rsidRPr="00742B66">
        <w:rPr>
          <w:sz w:val="20"/>
          <w:szCs w:val="20"/>
        </w:rPr>
        <w:t xml:space="preserve"> 60, 9 Stat. 462 (amending the 1793 Act to, </w:t>
      </w:r>
      <w:r w:rsidRPr="00742B66">
        <w:rPr>
          <w:i/>
          <w:sz w:val="20"/>
          <w:szCs w:val="20"/>
        </w:rPr>
        <w:t>inter alia</w:t>
      </w:r>
      <w:r w:rsidRPr="00742B66">
        <w:rPr>
          <w:sz w:val="20"/>
          <w:szCs w:val="20"/>
        </w:rPr>
        <w:t>, increase the fine to $1000, provide civil damages, and criminal liability for same); Dred Scott v. Sanford (</w:t>
      </w:r>
      <w:r w:rsidRPr="00742B66">
        <w:rPr>
          <w:i/>
          <w:sz w:val="20"/>
          <w:szCs w:val="20"/>
        </w:rPr>
        <w:t>Dred Scott</w:t>
      </w:r>
      <w:r w:rsidRPr="00742B66">
        <w:rPr>
          <w:sz w:val="20"/>
          <w:szCs w:val="20"/>
        </w:rPr>
        <w:t>), 60 U.S. (19 How.) 393, 407 (1856) (declaring that the “unfortunate race,” was “justly and lawfully reduced to slavery” because they had no rights which the white man was bound to respect” either in “social or political relations”).</w:t>
      </w:r>
    </w:p>
    <w:p w14:paraId="7842D352" w14:textId="77777777" w:rsidR="00E667D7" w:rsidRPr="00742B66" w:rsidRDefault="00E667D7" w:rsidP="00742B66">
      <w:pPr>
        <w:pStyle w:val="FootnoteText"/>
        <w:spacing w:after="240"/>
        <w:rPr>
          <w:sz w:val="20"/>
          <w:szCs w:val="20"/>
        </w:rPr>
      </w:pPr>
      <w:r w:rsidRPr="00742B66">
        <w:rPr>
          <w:sz w:val="20"/>
          <w:szCs w:val="20"/>
        </w:rPr>
        <w:tab/>
        <w:t xml:space="preserve">Isaac and Rosa, while representing the education of the </w:t>
      </w:r>
      <w:proofErr w:type="spellStart"/>
      <w:r w:rsidRPr="00742B66">
        <w:rPr>
          <w:sz w:val="20"/>
          <w:szCs w:val="20"/>
        </w:rPr>
        <w:t>Freepeople</w:t>
      </w:r>
      <w:proofErr w:type="spellEnd"/>
      <w:r w:rsidRPr="00742B66">
        <w:rPr>
          <w:sz w:val="20"/>
          <w:szCs w:val="20"/>
        </w:rPr>
        <w:t xml:space="preserve">, were striking for another reason. Their difference in skin tone represented the porousness of racial boundaries in southern society and the deep anxiety this triggered among the planter class and across the nation. </w:t>
      </w:r>
      <w:r w:rsidRPr="00742B66">
        <w:rPr>
          <w:i/>
          <w:sz w:val="20"/>
          <w:szCs w:val="20"/>
        </w:rPr>
        <w:t xml:space="preserve">See supra </w:t>
      </w:r>
      <w:r w:rsidRPr="00742B66">
        <w:rPr>
          <w:sz w:val="20"/>
          <w:szCs w:val="20"/>
        </w:rPr>
        <w:t xml:space="preserve">notes </w:t>
      </w:r>
      <w:r w:rsidRPr="00742B66">
        <w:rPr>
          <w:sz w:val="20"/>
          <w:szCs w:val="20"/>
          <w:highlight w:val="yellow"/>
        </w:rPr>
        <w:t>__–__</w:t>
      </w:r>
      <w:r w:rsidRPr="00742B66">
        <w:rPr>
          <w:sz w:val="20"/>
          <w:szCs w:val="20"/>
        </w:rPr>
        <w:t xml:space="preserve"> and accompanying text; </w:t>
      </w:r>
      <w:r w:rsidRPr="00742B66">
        <w:rPr>
          <w:i/>
          <w:sz w:val="20"/>
          <w:szCs w:val="20"/>
        </w:rPr>
        <w:t xml:space="preserve">see also </w:t>
      </w:r>
      <w:r w:rsidRPr="00742B66">
        <w:rPr>
          <w:rFonts w:eastAsia="Times New Roman"/>
          <w:sz w:val="20"/>
          <w:szCs w:val="20"/>
        </w:rPr>
        <w:t xml:space="preserve">Michael J. </w:t>
      </w:r>
      <w:proofErr w:type="spellStart"/>
      <w:r w:rsidRPr="00742B66">
        <w:rPr>
          <w:rFonts w:eastAsia="Times New Roman"/>
          <w:sz w:val="20"/>
          <w:szCs w:val="20"/>
        </w:rPr>
        <w:t>Klarman</w:t>
      </w:r>
      <w:proofErr w:type="spellEnd"/>
      <w:r w:rsidRPr="00742B66">
        <w:rPr>
          <w:rFonts w:eastAsia="Times New Roman"/>
          <w:sz w:val="20"/>
          <w:szCs w:val="20"/>
        </w:rPr>
        <w:t xml:space="preserve">, </w:t>
      </w:r>
      <w:r w:rsidRPr="00742B66">
        <w:rPr>
          <w:rFonts w:eastAsia="Times New Roman"/>
          <w:i/>
          <w:iCs/>
          <w:sz w:val="20"/>
          <w:szCs w:val="20"/>
        </w:rPr>
        <w:t xml:space="preserve">Brown, </w:t>
      </w:r>
      <w:proofErr w:type="spellStart"/>
      <w:r w:rsidRPr="00742B66">
        <w:rPr>
          <w:rFonts w:eastAsia="Times New Roman"/>
          <w:i/>
          <w:iCs/>
          <w:sz w:val="20"/>
          <w:szCs w:val="20"/>
        </w:rPr>
        <w:t>Originalism</w:t>
      </w:r>
      <w:proofErr w:type="spellEnd"/>
      <w:r w:rsidRPr="00742B66">
        <w:rPr>
          <w:rFonts w:eastAsia="Times New Roman"/>
          <w:i/>
          <w:iCs/>
          <w:sz w:val="20"/>
          <w:szCs w:val="20"/>
        </w:rPr>
        <w:t xml:space="preserve">, and Constitutional Theory: A Response to Professor </w:t>
      </w:r>
      <w:proofErr w:type="spellStart"/>
      <w:r w:rsidRPr="00742B66">
        <w:rPr>
          <w:rFonts w:eastAsia="Times New Roman"/>
          <w:i/>
          <w:iCs/>
          <w:sz w:val="20"/>
          <w:szCs w:val="20"/>
        </w:rPr>
        <w:t>Mcconnell</w:t>
      </w:r>
      <w:proofErr w:type="spellEnd"/>
      <w:r w:rsidRPr="00742B66">
        <w:rPr>
          <w:rFonts w:eastAsia="Times New Roman"/>
          <w:sz w:val="20"/>
          <w:szCs w:val="20"/>
        </w:rPr>
        <w:t xml:space="preserve">, 81 </w:t>
      </w:r>
      <w:r w:rsidRPr="00742B66">
        <w:rPr>
          <w:rFonts w:eastAsia="Times New Roman"/>
          <w:smallCaps/>
          <w:sz w:val="20"/>
          <w:szCs w:val="20"/>
        </w:rPr>
        <w:t xml:space="preserve">Va. L. Rev. </w:t>
      </w:r>
      <w:r w:rsidRPr="00742B66">
        <w:rPr>
          <w:rFonts w:eastAsia="Times New Roman"/>
          <w:sz w:val="20"/>
          <w:szCs w:val="20"/>
        </w:rPr>
        <w:t xml:space="preserve">1881, 1893 (1995) </w:t>
      </w:r>
      <w:r w:rsidRPr="00742B66">
        <w:rPr>
          <w:sz w:val="20"/>
          <w:szCs w:val="20"/>
        </w:rPr>
        <w:t xml:space="preserve">(arguing that “nobody” thought the purpose of the Fourteenth Amendment was to integrate the public schools). Assuming, arguendo, that </w:t>
      </w:r>
      <w:r w:rsidRPr="00742B66">
        <w:rPr>
          <w:i/>
          <w:sz w:val="20"/>
          <w:szCs w:val="20"/>
        </w:rPr>
        <w:t>nobody</w:t>
      </w:r>
      <w:r w:rsidRPr="00742B66">
        <w:rPr>
          <w:sz w:val="20"/>
          <w:szCs w:val="20"/>
        </w:rPr>
        <w:t xml:space="preserve"> at the time of the ratification of the Fourteenth Amendment understood it to mandate integrated schools, the </w:t>
      </w:r>
      <w:proofErr w:type="spellStart"/>
      <w:r w:rsidRPr="00742B66">
        <w:rPr>
          <w:sz w:val="20"/>
          <w:szCs w:val="20"/>
        </w:rPr>
        <w:t>Freepeople’s</w:t>
      </w:r>
      <w:proofErr w:type="spellEnd"/>
      <w:r w:rsidRPr="00742B66">
        <w:rPr>
          <w:sz w:val="20"/>
          <w:szCs w:val="20"/>
        </w:rPr>
        <w:t xml:space="preserve"> movement for universal education and the political savvy necessary to institute such a regime alone stood to destabilize reified notions of racial inferiority that prevailed across much of the country. </w:t>
      </w:r>
    </w:p>
  </w:footnote>
  <w:footnote w:id="13">
    <w:p w14:paraId="36B1EED2"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Frederick Douglass, </w:t>
      </w:r>
      <w:r w:rsidRPr="00742B66">
        <w:rPr>
          <w:i/>
          <w:sz w:val="20"/>
          <w:szCs w:val="20"/>
        </w:rPr>
        <w:t>Pictures in Progress</w:t>
      </w:r>
      <w:r w:rsidRPr="00742B66">
        <w:rPr>
          <w:sz w:val="20"/>
          <w:szCs w:val="20"/>
        </w:rPr>
        <w:t xml:space="preserve">, </w:t>
      </w:r>
      <w:r w:rsidRPr="00742B66">
        <w:rPr>
          <w:i/>
          <w:sz w:val="20"/>
          <w:szCs w:val="20"/>
        </w:rPr>
        <w:t xml:space="preserve">in </w:t>
      </w:r>
      <w:r w:rsidRPr="00742B66">
        <w:rPr>
          <w:sz w:val="20"/>
          <w:szCs w:val="20"/>
        </w:rPr>
        <w:t xml:space="preserve">3 </w:t>
      </w:r>
      <w:r w:rsidRPr="00742B66">
        <w:rPr>
          <w:smallCaps/>
          <w:sz w:val="20"/>
          <w:szCs w:val="20"/>
        </w:rPr>
        <w:t>The Frederick Douglass Papers: Series One, Speeches, Debates, and Interviews</w:t>
      </w:r>
      <w:r w:rsidRPr="00742B66">
        <w:rPr>
          <w:sz w:val="20"/>
          <w:szCs w:val="20"/>
        </w:rPr>
        <w:t xml:space="preserve"> (John W. </w:t>
      </w:r>
      <w:proofErr w:type="spellStart"/>
      <w:r w:rsidRPr="00742B66">
        <w:rPr>
          <w:sz w:val="20"/>
          <w:szCs w:val="20"/>
        </w:rPr>
        <w:t>Blassingame</w:t>
      </w:r>
      <w:proofErr w:type="spellEnd"/>
      <w:r w:rsidRPr="00742B66">
        <w:rPr>
          <w:sz w:val="20"/>
          <w:szCs w:val="20"/>
        </w:rPr>
        <w:t xml:space="preserve"> ed. 1979).</w:t>
      </w:r>
    </w:p>
  </w:footnote>
  <w:footnote w:id="14">
    <w:p w14:paraId="6323B5D8" w14:textId="77777777" w:rsidR="00E667D7" w:rsidRPr="00742B66" w:rsidRDefault="00E667D7" w:rsidP="00742B66">
      <w:pPr>
        <w:spacing w:after="240"/>
        <w:rPr>
          <w:bCs/>
          <w:sz w:val="20"/>
          <w:szCs w:val="20"/>
        </w:rPr>
      </w:pPr>
      <w:r w:rsidRPr="00742B66">
        <w:rPr>
          <w:rStyle w:val="FootnoteReference"/>
          <w:sz w:val="20"/>
          <w:szCs w:val="20"/>
        </w:rPr>
        <w:footnoteRef/>
      </w:r>
      <w:r w:rsidRPr="00742B66">
        <w:rPr>
          <w:sz w:val="20"/>
          <w:szCs w:val="20"/>
        </w:rPr>
        <w:t xml:space="preserve"> </w:t>
      </w:r>
      <w:r w:rsidRPr="00742B66">
        <w:rPr>
          <w:i/>
          <w:sz w:val="20"/>
          <w:szCs w:val="20"/>
        </w:rPr>
        <w:t xml:space="preserve">Id. </w:t>
      </w:r>
      <w:r w:rsidRPr="00742B66">
        <w:rPr>
          <w:sz w:val="20"/>
          <w:szCs w:val="20"/>
        </w:rPr>
        <w:t xml:space="preserve">See </w:t>
      </w:r>
      <w:r w:rsidRPr="00742B66">
        <w:rPr>
          <w:smallCaps/>
          <w:sz w:val="20"/>
          <w:szCs w:val="20"/>
        </w:rPr>
        <w:t xml:space="preserve">Deborah Willis &amp; Barbara </w:t>
      </w:r>
      <w:proofErr w:type="spellStart"/>
      <w:r w:rsidRPr="00742B66">
        <w:rPr>
          <w:smallCaps/>
          <w:sz w:val="20"/>
          <w:szCs w:val="20"/>
        </w:rPr>
        <w:t>Krauthamer</w:t>
      </w:r>
      <w:proofErr w:type="spellEnd"/>
      <w:r w:rsidRPr="00742B66">
        <w:rPr>
          <w:smallCaps/>
          <w:sz w:val="20"/>
          <w:szCs w:val="20"/>
        </w:rPr>
        <w:t>, Envisioning Emancipation: Black Americans and the End of Slavery</w:t>
      </w:r>
      <w:r w:rsidRPr="00742B66">
        <w:rPr>
          <w:sz w:val="20"/>
          <w:szCs w:val="20"/>
        </w:rPr>
        <w:t xml:space="preserve"> (2013), for a beautiful text on how the concept of emancipation can be documented through the medium of photography.</w:t>
      </w:r>
    </w:p>
  </w:footnote>
  <w:footnote w:id="15">
    <w:p w14:paraId="6C040B37" w14:textId="77777777" w:rsidR="00E667D7" w:rsidRPr="00742B66" w:rsidRDefault="00E667D7" w:rsidP="00742B66">
      <w:pPr>
        <w:pStyle w:val="FootnoteText"/>
        <w:spacing w:after="240"/>
        <w:rPr>
          <w:b/>
          <w:sz w:val="20"/>
          <w:szCs w:val="20"/>
        </w:rPr>
      </w:pPr>
      <w:r w:rsidRPr="00742B66">
        <w:rPr>
          <w:rStyle w:val="FootnoteReference"/>
          <w:sz w:val="20"/>
          <w:szCs w:val="20"/>
        </w:rPr>
        <w:footnoteRef/>
      </w:r>
      <w:r w:rsidRPr="00742B66">
        <w:rPr>
          <w:sz w:val="20"/>
          <w:szCs w:val="20"/>
        </w:rPr>
        <w:t xml:space="preserve"> </w:t>
      </w:r>
      <w:r w:rsidRPr="00742B66">
        <w:rPr>
          <w:b/>
          <w:sz w:val="20"/>
          <w:szCs w:val="20"/>
        </w:rPr>
        <w:t>[</w:t>
      </w:r>
      <w:proofErr w:type="gramStart"/>
      <w:r w:rsidRPr="00742B66">
        <w:rPr>
          <w:b/>
          <w:sz w:val="20"/>
          <w:szCs w:val="20"/>
        </w:rPr>
        <w:t>cite</w:t>
      </w:r>
      <w:proofErr w:type="gramEnd"/>
      <w:r w:rsidRPr="00742B66">
        <w:rPr>
          <w:b/>
          <w:sz w:val="20"/>
          <w:szCs w:val="20"/>
        </w:rPr>
        <w:t xml:space="preserve"> to sources re education as social control]</w:t>
      </w:r>
    </w:p>
  </w:footnote>
  <w:footnote w:id="16">
    <w:p w14:paraId="722F1E76"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Constitutional personhood, here, is defined as the inverse of constitutional property. </w:t>
      </w:r>
      <w:r w:rsidRPr="00742B66">
        <w:rPr>
          <w:i/>
          <w:sz w:val="20"/>
          <w:szCs w:val="20"/>
        </w:rPr>
        <w:t xml:space="preserve">See supra </w:t>
      </w:r>
      <w:r w:rsidRPr="00742B66">
        <w:rPr>
          <w:sz w:val="20"/>
          <w:szCs w:val="20"/>
        </w:rPr>
        <w:t xml:space="preserve">note </w:t>
      </w:r>
      <w:r w:rsidRPr="00742B66">
        <w:rPr>
          <w:sz w:val="20"/>
          <w:szCs w:val="20"/>
        </w:rPr>
        <w:fldChar w:fldCharType="begin"/>
      </w:r>
      <w:r w:rsidRPr="00742B66">
        <w:rPr>
          <w:sz w:val="20"/>
          <w:szCs w:val="20"/>
        </w:rPr>
        <w:instrText xml:space="preserve"> NOTEREF _Ref291257911 \h </w:instrText>
      </w:r>
      <w:r w:rsidRPr="00742B66">
        <w:rPr>
          <w:sz w:val="20"/>
          <w:szCs w:val="20"/>
        </w:rPr>
      </w:r>
      <w:r w:rsidRPr="00742B66">
        <w:rPr>
          <w:sz w:val="20"/>
          <w:szCs w:val="20"/>
        </w:rPr>
        <w:fldChar w:fldCharType="separate"/>
      </w:r>
      <w:r>
        <w:rPr>
          <w:sz w:val="20"/>
          <w:szCs w:val="20"/>
        </w:rPr>
        <w:t>12</w:t>
      </w:r>
      <w:r w:rsidRPr="00742B66">
        <w:rPr>
          <w:sz w:val="20"/>
          <w:szCs w:val="20"/>
        </w:rPr>
        <w:fldChar w:fldCharType="end"/>
      </w:r>
      <w:r w:rsidRPr="00742B66">
        <w:rPr>
          <w:sz w:val="20"/>
          <w:szCs w:val="20"/>
        </w:rPr>
        <w:t>.</w:t>
      </w:r>
    </w:p>
  </w:footnote>
  <w:footnote w:id="17">
    <w:p w14:paraId="14B07AD9"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Toni Morrison, Playing in the Dark: Whiteness and the Literary Imagination </w:t>
      </w:r>
      <w:r w:rsidRPr="00742B66">
        <w:rPr>
          <w:bCs/>
          <w:sz w:val="20"/>
          <w:szCs w:val="20"/>
        </w:rPr>
        <w:t>90 (Vintage Books 1993) (1992).</w:t>
      </w:r>
    </w:p>
  </w:footnote>
  <w:footnote w:id="18">
    <w:p w14:paraId="5165928D"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While allegiance and “inflexible attachment” to ideations of the country are the normative thrust of patriotism, dissent and dissidence are key components of, what Professor </w:t>
      </w:r>
      <w:proofErr w:type="spellStart"/>
      <w:r w:rsidRPr="00742B66">
        <w:rPr>
          <w:bCs/>
          <w:sz w:val="20"/>
          <w:szCs w:val="20"/>
        </w:rPr>
        <w:t>Salamishah</w:t>
      </w:r>
      <w:proofErr w:type="spellEnd"/>
      <w:r w:rsidRPr="00742B66">
        <w:rPr>
          <w:bCs/>
          <w:sz w:val="20"/>
          <w:szCs w:val="20"/>
        </w:rPr>
        <w:t xml:space="preserve"> </w:t>
      </w:r>
      <w:proofErr w:type="spellStart"/>
      <w:r w:rsidRPr="00742B66">
        <w:rPr>
          <w:bCs/>
          <w:sz w:val="20"/>
          <w:szCs w:val="20"/>
        </w:rPr>
        <w:t>Tillet</w:t>
      </w:r>
      <w:proofErr w:type="spellEnd"/>
      <w:r w:rsidRPr="00742B66">
        <w:rPr>
          <w:bCs/>
          <w:sz w:val="20"/>
          <w:szCs w:val="20"/>
        </w:rPr>
        <w:t xml:space="preserve"> terms “critical patriotism.” </w:t>
      </w:r>
      <w:proofErr w:type="spellStart"/>
      <w:r w:rsidRPr="00742B66">
        <w:rPr>
          <w:smallCaps/>
          <w:sz w:val="20"/>
          <w:szCs w:val="20"/>
        </w:rPr>
        <w:t>Salamishah</w:t>
      </w:r>
      <w:proofErr w:type="spellEnd"/>
      <w:r w:rsidRPr="00742B66">
        <w:rPr>
          <w:smallCaps/>
          <w:sz w:val="20"/>
          <w:szCs w:val="20"/>
        </w:rPr>
        <w:t xml:space="preserve"> </w:t>
      </w:r>
      <w:proofErr w:type="spellStart"/>
      <w:r w:rsidRPr="00742B66">
        <w:rPr>
          <w:smallCaps/>
          <w:sz w:val="20"/>
          <w:szCs w:val="20"/>
        </w:rPr>
        <w:t>Tillet</w:t>
      </w:r>
      <w:proofErr w:type="spellEnd"/>
      <w:r w:rsidRPr="00742B66">
        <w:rPr>
          <w:smallCaps/>
          <w:sz w:val="20"/>
          <w:szCs w:val="20"/>
        </w:rPr>
        <w:t xml:space="preserve">, Sites of Slavery: Citizenship and Racial Democracy in the Post-Civil Rights Imagination </w:t>
      </w:r>
      <w:r w:rsidRPr="00742B66">
        <w:rPr>
          <w:sz w:val="20"/>
          <w:szCs w:val="20"/>
        </w:rPr>
        <w:t xml:space="preserve">11 (2012). </w:t>
      </w:r>
      <w:r w:rsidRPr="00742B66">
        <w:rPr>
          <w:bCs/>
          <w:sz w:val="20"/>
          <w:szCs w:val="20"/>
        </w:rPr>
        <w:t xml:space="preserve"> </w:t>
      </w:r>
      <w:r>
        <w:rPr>
          <w:bCs/>
          <w:sz w:val="20"/>
          <w:szCs w:val="20"/>
        </w:rPr>
        <w:t>Explain this point in text.</w:t>
      </w:r>
    </w:p>
  </w:footnote>
  <w:footnote w:id="19">
    <w:p w14:paraId="40B3FC25"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U.S. Const.</w:t>
      </w:r>
      <w:r w:rsidRPr="00742B66">
        <w:rPr>
          <w:sz w:val="20"/>
          <w:szCs w:val="20"/>
        </w:rPr>
        <w:t xml:space="preserve"> </w:t>
      </w:r>
      <w:proofErr w:type="gramStart"/>
      <w:r w:rsidRPr="00742B66">
        <w:rPr>
          <w:sz w:val="20"/>
          <w:szCs w:val="20"/>
        </w:rPr>
        <w:t>amend</w:t>
      </w:r>
      <w:proofErr w:type="gramEnd"/>
      <w:r w:rsidRPr="00742B66">
        <w:rPr>
          <w:sz w:val="20"/>
          <w:szCs w:val="20"/>
        </w:rPr>
        <w:t xml:space="preserve">. </w:t>
      </w:r>
      <w:proofErr w:type="gramStart"/>
      <w:r w:rsidRPr="00742B66">
        <w:rPr>
          <w:sz w:val="20"/>
          <w:szCs w:val="20"/>
        </w:rPr>
        <w:t>XIV, § 1 (“All persons born or naturalized in the United States . . . are citizens of the United States and of the state wherein they reside.”).</w:t>
      </w:r>
      <w:proofErr w:type="gramEnd"/>
    </w:p>
  </w:footnote>
  <w:footnote w:id="20">
    <w:p w14:paraId="53DCF7E0" w14:textId="33857684" w:rsidR="00E667D7" w:rsidRPr="00742B66" w:rsidRDefault="00E667D7" w:rsidP="00742B66">
      <w:pPr>
        <w:spacing w:after="240"/>
        <w:rPr>
          <w:rFonts w:eastAsia="Times New Roman"/>
          <w:sz w:val="20"/>
          <w:szCs w:val="20"/>
        </w:rPr>
      </w:pPr>
      <w:r w:rsidRPr="00742B66">
        <w:rPr>
          <w:rStyle w:val="FootnoteReference"/>
          <w:sz w:val="20"/>
          <w:szCs w:val="20"/>
        </w:rPr>
        <w:footnoteRef/>
      </w:r>
      <w:r w:rsidRPr="00742B66">
        <w:rPr>
          <w:sz w:val="20"/>
          <w:szCs w:val="20"/>
        </w:rPr>
        <w:t xml:space="preserve"> </w:t>
      </w:r>
      <w:proofErr w:type="gramStart"/>
      <w:r w:rsidRPr="00742B66">
        <w:rPr>
          <w:sz w:val="20"/>
          <w:szCs w:val="20"/>
        </w:rPr>
        <w:t>United States v. Stanley (</w:t>
      </w:r>
      <w:r w:rsidRPr="00742B66">
        <w:rPr>
          <w:i/>
          <w:sz w:val="20"/>
          <w:szCs w:val="20"/>
        </w:rPr>
        <w:t xml:space="preserve">The </w:t>
      </w:r>
      <w:r w:rsidRPr="00742B66">
        <w:rPr>
          <w:rFonts w:eastAsia="Times New Roman"/>
          <w:i/>
          <w:iCs/>
          <w:sz w:val="20"/>
          <w:szCs w:val="20"/>
        </w:rPr>
        <w:t>Civil Rights Cases</w:t>
      </w:r>
      <w:r w:rsidRPr="00742B66">
        <w:rPr>
          <w:rFonts w:eastAsia="Times New Roman"/>
          <w:iCs/>
          <w:sz w:val="20"/>
          <w:szCs w:val="20"/>
        </w:rPr>
        <w:t>)</w:t>
      </w:r>
      <w:r w:rsidRPr="00742B66">
        <w:rPr>
          <w:rFonts w:eastAsia="Times New Roman"/>
          <w:sz w:val="20"/>
          <w:szCs w:val="20"/>
        </w:rPr>
        <w:t>, 109 U.S. 3, 20 (1883).</w:t>
      </w:r>
      <w:proofErr w:type="gramEnd"/>
      <w:r w:rsidRPr="00742B66">
        <w:rPr>
          <w:rFonts w:eastAsia="Times New Roman"/>
          <w:sz w:val="20"/>
          <w:szCs w:val="20"/>
        </w:rPr>
        <w:t xml:space="preserve"> The constitutional negative-rights </w:t>
      </w:r>
      <w:proofErr w:type="gramStart"/>
      <w:r w:rsidRPr="00742B66">
        <w:rPr>
          <w:rFonts w:eastAsia="Times New Roman"/>
          <w:sz w:val="20"/>
          <w:szCs w:val="20"/>
        </w:rPr>
        <w:t>framework</w:t>
      </w:r>
      <w:r>
        <w:rPr>
          <w:rFonts w:eastAsia="Times New Roman"/>
          <w:sz w:val="20"/>
          <w:szCs w:val="20"/>
        </w:rPr>
        <w:t xml:space="preserve"> </w:t>
      </w:r>
      <w:r w:rsidRPr="00742B66">
        <w:rPr>
          <w:rFonts w:eastAsia="Times New Roman"/>
          <w:sz w:val="20"/>
          <w:szCs w:val="20"/>
        </w:rPr>
        <w:t>,</w:t>
      </w:r>
      <w:proofErr w:type="gramEnd"/>
      <w:r w:rsidRPr="00742B66">
        <w:rPr>
          <w:rFonts w:eastAsia="Times New Roman"/>
          <w:sz w:val="20"/>
          <w:szCs w:val="20"/>
        </w:rPr>
        <w:t xml:space="preserve"> at least with respect to the Reconstruction Amendments, represents a thin conceptualization of freedom. </w:t>
      </w:r>
      <w:r w:rsidRPr="00742B66">
        <w:rPr>
          <w:rFonts w:eastAsia="Times New Roman"/>
          <w:i/>
          <w:sz w:val="20"/>
          <w:szCs w:val="20"/>
        </w:rPr>
        <w:t>Compare</w:t>
      </w:r>
      <w:r w:rsidRPr="00742B66">
        <w:rPr>
          <w:rFonts w:eastAsia="Times New Roman"/>
          <w:sz w:val="20"/>
          <w:szCs w:val="20"/>
        </w:rPr>
        <w:t xml:space="preserve"> </w:t>
      </w:r>
      <w:r w:rsidRPr="00742B66">
        <w:rPr>
          <w:rFonts w:eastAsia="Times New Roman"/>
          <w:i/>
          <w:sz w:val="20"/>
          <w:szCs w:val="20"/>
        </w:rPr>
        <w:t>id.</w:t>
      </w:r>
      <w:r w:rsidRPr="00742B66">
        <w:rPr>
          <w:rFonts w:eastAsia="Times New Roman"/>
          <w:sz w:val="20"/>
          <w:szCs w:val="20"/>
        </w:rPr>
        <w:t xml:space="preserve"> </w:t>
      </w:r>
      <w:proofErr w:type="gramStart"/>
      <w:r w:rsidRPr="00742B66">
        <w:rPr>
          <w:rFonts w:eastAsia="Times New Roman"/>
          <w:sz w:val="20"/>
          <w:szCs w:val="20"/>
        </w:rPr>
        <w:t>at</w:t>
      </w:r>
      <w:proofErr w:type="gramEnd"/>
      <w:r w:rsidRPr="00742B66">
        <w:rPr>
          <w:rFonts w:eastAsia="Times New Roman"/>
          <w:sz w:val="20"/>
          <w:szCs w:val="20"/>
        </w:rPr>
        <w:t xml:space="preserve"> 11 (holding that Section 1 of the Fourteenth Amendment “is prohibitory in its character, and prohibitory upon the States,” and construing Congress’s enforcement power as applicable to only the Section’s prohibitions upon the states), </w:t>
      </w:r>
      <w:r w:rsidRPr="00742B66">
        <w:rPr>
          <w:rFonts w:eastAsia="Times New Roman"/>
          <w:i/>
          <w:sz w:val="20"/>
          <w:szCs w:val="20"/>
        </w:rPr>
        <w:t>with</w:t>
      </w:r>
      <w:r w:rsidRPr="00742B66">
        <w:rPr>
          <w:rFonts w:eastAsia="Times New Roman"/>
          <w:sz w:val="20"/>
          <w:szCs w:val="20"/>
        </w:rPr>
        <w:t xml:space="preserve"> </w:t>
      </w:r>
      <w:r w:rsidRPr="00742B66">
        <w:rPr>
          <w:rFonts w:eastAsia="Times New Roman"/>
          <w:i/>
          <w:sz w:val="20"/>
          <w:szCs w:val="20"/>
        </w:rPr>
        <w:t xml:space="preserve">id. </w:t>
      </w:r>
      <w:proofErr w:type="gramStart"/>
      <w:r w:rsidRPr="00742B66">
        <w:rPr>
          <w:rFonts w:eastAsia="Times New Roman"/>
          <w:sz w:val="20"/>
          <w:szCs w:val="20"/>
        </w:rPr>
        <w:t>at</w:t>
      </w:r>
      <w:proofErr w:type="gramEnd"/>
      <w:r w:rsidRPr="00742B66">
        <w:rPr>
          <w:rFonts w:eastAsia="Times New Roman"/>
          <w:sz w:val="20"/>
          <w:szCs w:val="20"/>
        </w:rPr>
        <w:t xml:space="preserve"> 48 (Harlan, J. dissenting) (arguing that “freedom necessarily involve[s] immunity from, and protection against, all discrimination against [the </w:t>
      </w:r>
      <w:proofErr w:type="spellStart"/>
      <w:r w:rsidRPr="00742B66">
        <w:rPr>
          <w:rFonts w:eastAsia="Times New Roman"/>
          <w:sz w:val="20"/>
          <w:szCs w:val="20"/>
        </w:rPr>
        <w:t>Freepeople</w:t>
      </w:r>
      <w:proofErr w:type="spellEnd"/>
      <w:r w:rsidRPr="00742B66">
        <w:rPr>
          <w:rFonts w:eastAsia="Times New Roman"/>
          <w:sz w:val="20"/>
          <w:szCs w:val="20"/>
        </w:rPr>
        <w:t xml:space="preserve">], because of their race, in respect of such civil rights as belong to freemen of other races”). Professor Jennifer Mason </w:t>
      </w:r>
      <w:proofErr w:type="spellStart"/>
      <w:r w:rsidRPr="00742B66">
        <w:rPr>
          <w:rFonts w:eastAsia="Times New Roman"/>
          <w:sz w:val="20"/>
          <w:szCs w:val="20"/>
        </w:rPr>
        <w:t>McAward</w:t>
      </w:r>
      <w:proofErr w:type="spellEnd"/>
      <w:r w:rsidRPr="00742B66">
        <w:rPr>
          <w:rFonts w:eastAsia="Times New Roman"/>
          <w:sz w:val="20"/>
          <w:szCs w:val="20"/>
        </w:rPr>
        <w:t xml:space="preserve"> argues that, in light of the original public understanding of the “badges and incidents of slavery,” </w:t>
      </w:r>
      <w:r>
        <w:rPr>
          <w:rFonts w:eastAsia="Times New Roman"/>
          <w:sz w:val="20"/>
          <w:szCs w:val="20"/>
        </w:rPr>
        <w:t xml:space="preserve">Is there something you should say in text about this phrase? </w:t>
      </w:r>
      <w:proofErr w:type="gramStart"/>
      <w:r w:rsidRPr="00742B66">
        <w:rPr>
          <w:rFonts w:eastAsia="Times New Roman"/>
          <w:sz w:val="20"/>
          <w:szCs w:val="20"/>
        </w:rPr>
        <w:t>terms</w:t>
      </w:r>
      <w:proofErr w:type="gramEnd"/>
      <w:r w:rsidRPr="00742B66">
        <w:rPr>
          <w:rFonts w:eastAsia="Times New Roman"/>
          <w:sz w:val="20"/>
          <w:szCs w:val="20"/>
        </w:rPr>
        <w:t xml:space="preserve"> of art as they are, the best understanding refers to “public or widespread private conduct, based on race or the previous condition of servitude, that mimics the law of slavery and that has significant potential to lead to the </w:t>
      </w:r>
      <w:r w:rsidRPr="00742B66">
        <w:rPr>
          <w:rFonts w:eastAsia="Times New Roman"/>
          <w:i/>
          <w:sz w:val="20"/>
          <w:szCs w:val="20"/>
        </w:rPr>
        <w:t xml:space="preserve">de facto </w:t>
      </w:r>
      <w:proofErr w:type="spellStart"/>
      <w:r w:rsidRPr="00742B66">
        <w:rPr>
          <w:rFonts w:eastAsia="Times New Roman"/>
          <w:i/>
          <w:sz w:val="20"/>
          <w:szCs w:val="20"/>
        </w:rPr>
        <w:t>reenslavement</w:t>
      </w:r>
      <w:proofErr w:type="spellEnd"/>
      <w:r w:rsidRPr="00742B66">
        <w:rPr>
          <w:rFonts w:eastAsia="Times New Roman"/>
          <w:sz w:val="20"/>
          <w:szCs w:val="20"/>
        </w:rPr>
        <w:t xml:space="preserve"> or legal subjugation of the targeted group.” </w:t>
      </w:r>
      <w:proofErr w:type="gramStart"/>
      <w:r w:rsidRPr="00742B66">
        <w:rPr>
          <w:rFonts w:eastAsia="Times New Roman"/>
          <w:sz w:val="20"/>
          <w:szCs w:val="20"/>
        </w:rPr>
        <w:t xml:space="preserve">Jennifer Mason </w:t>
      </w:r>
      <w:proofErr w:type="spellStart"/>
      <w:r w:rsidRPr="00742B66">
        <w:rPr>
          <w:rFonts w:eastAsia="Times New Roman"/>
          <w:sz w:val="20"/>
          <w:szCs w:val="20"/>
        </w:rPr>
        <w:t>McAward</w:t>
      </w:r>
      <w:proofErr w:type="spellEnd"/>
      <w:r w:rsidRPr="00742B66">
        <w:rPr>
          <w:rFonts w:eastAsia="Times New Roman"/>
          <w:sz w:val="20"/>
          <w:szCs w:val="20"/>
        </w:rPr>
        <w:t xml:space="preserve">, </w:t>
      </w:r>
      <w:r w:rsidRPr="00742B66">
        <w:rPr>
          <w:rFonts w:eastAsia="Times New Roman"/>
          <w:i/>
          <w:sz w:val="20"/>
          <w:szCs w:val="20"/>
        </w:rPr>
        <w:t>Defining the Badges and Incidents of Slavery</w:t>
      </w:r>
      <w:r w:rsidRPr="00742B66">
        <w:rPr>
          <w:rFonts w:eastAsia="Times New Roman"/>
          <w:sz w:val="20"/>
          <w:szCs w:val="20"/>
        </w:rPr>
        <w:t xml:space="preserve">, 14 561 </w:t>
      </w:r>
      <w:r w:rsidRPr="00742B66">
        <w:rPr>
          <w:rFonts w:eastAsia="Times New Roman"/>
          <w:smallCaps/>
          <w:sz w:val="20"/>
          <w:szCs w:val="20"/>
        </w:rPr>
        <w:t>U. Pa.</w:t>
      </w:r>
      <w:proofErr w:type="gramEnd"/>
      <w:r w:rsidRPr="00742B66">
        <w:rPr>
          <w:rFonts w:eastAsia="Times New Roman"/>
          <w:smallCaps/>
          <w:sz w:val="20"/>
          <w:szCs w:val="20"/>
        </w:rPr>
        <w:t xml:space="preserve"> J. Const. L. </w:t>
      </w:r>
      <w:r w:rsidRPr="00742B66">
        <w:rPr>
          <w:rFonts w:eastAsia="Times New Roman"/>
          <w:sz w:val="20"/>
          <w:szCs w:val="20"/>
        </w:rPr>
        <w:t xml:space="preserve">561, 569 (2012) (emphasis added). </w:t>
      </w:r>
      <w:proofErr w:type="spellStart"/>
      <w:r w:rsidRPr="00742B66">
        <w:rPr>
          <w:rFonts w:eastAsia="Times New Roman"/>
          <w:sz w:val="20"/>
          <w:szCs w:val="20"/>
        </w:rPr>
        <w:t>McAward’s</w:t>
      </w:r>
      <w:proofErr w:type="spellEnd"/>
      <w:r w:rsidRPr="00742B66">
        <w:rPr>
          <w:rFonts w:eastAsia="Times New Roman"/>
          <w:sz w:val="20"/>
          <w:szCs w:val="20"/>
        </w:rPr>
        <w:t xml:space="preserve"> conceptualization represents a principled limitation on Thirteenth Amendment optimism</w:t>
      </w:r>
      <w:r>
        <w:rPr>
          <w:rFonts w:eastAsia="Times New Roman"/>
          <w:sz w:val="20"/>
          <w:szCs w:val="20"/>
        </w:rPr>
        <w:t xml:space="preserve"> HOW SO?</w:t>
      </w:r>
      <w:r w:rsidRPr="00742B66">
        <w:rPr>
          <w:rFonts w:eastAsia="Times New Roman"/>
          <w:sz w:val="20"/>
          <w:szCs w:val="20"/>
        </w:rPr>
        <w:t xml:space="preserve"> </w:t>
      </w:r>
      <w:proofErr w:type="gramStart"/>
      <w:r>
        <w:rPr>
          <w:rFonts w:eastAsia="Times New Roman"/>
          <w:sz w:val="20"/>
          <w:szCs w:val="20"/>
        </w:rPr>
        <w:t>but</w:t>
      </w:r>
      <w:proofErr w:type="gramEnd"/>
      <w:r>
        <w:rPr>
          <w:rFonts w:eastAsia="Times New Roman"/>
          <w:sz w:val="20"/>
          <w:szCs w:val="20"/>
        </w:rPr>
        <w:t xml:space="preserve"> it is not obvious how instructive this limitation is absent consideration of the antislavery tradition of a</w:t>
      </w:r>
      <w:r w:rsidRPr="00742B66">
        <w:rPr>
          <w:rFonts w:eastAsia="Times New Roman"/>
          <w:sz w:val="20"/>
          <w:szCs w:val="20"/>
        </w:rPr>
        <w:t xml:space="preserve"> thick </w:t>
      </w:r>
      <w:r>
        <w:rPr>
          <w:rFonts w:eastAsia="Times New Roman"/>
          <w:sz w:val="20"/>
          <w:szCs w:val="20"/>
        </w:rPr>
        <w:t xml:space="preserve">reconstructed </w:t>
      </w:r>
      <w:r w:rsidRPr="00742B66">
        <w:rPr>
          <w:rFonts w:eastAsia="Times New Roman"/>
          <w:sz w:val="20"/>
          <w:szCs w:val="20"/>
        </w:rPr>
        <w:t>freedom.</w:t>
      </w:r>
    </w:p>
  </w:footnote>
  <w:footnote w:id="21">
    <w:p w14:paraId="5F1E1D72"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Theorist Roland Barthes defines myth as “constituted by the loss of the historical quality of things . . </w:t>
      </w:r>
      <w:proofErr w:type="gramStart"/>
      <w:r w:rsidRPr="00742B66">
        <w:rPr>
          <w:sz w:val="20"/>
          <w:szCs w:val="20"/>
        </w:rPr>
        <w:t>. .</w:t>
      </w:r>
      <w:proofErr w:type="gramEnd"/>
      <w:r w:rsidRPr="00742B66">
        <w:rPr>
          <w:sz w:val="20"/>
          <w:szCs w:val="20"/>
        </w:rPr>
        <w:t xml:space="preserve"> The function of myth is to empty reality: it is, literally, a ceaseless flowing out, a hemorrhage, or perhaps an evaporation.” </w:t>
      </w:r>
      <w:proofErr w:type="gramStart"/>
      <w:r w:rsidRPr="00742B66">
        <w:rPr>
          <w:sz w:val="20"/>
          <w:szCs w:val="20"/>
        </w:rPr>
        <w:t xml:space="preserve">Roland Barthes, </w:t>
      </w:r>
      <w:r w:rsidRPr="00742B66">
        <w:rPr>
          <w:i/>
          <w:sz w:val="20"/>
          <w:szCs w:val="20"/>
        </w:rPr>
        <w:t>Myth Today</w:t>
      </w:r>
      <w:r w:rsidRPr="00742B66">
        <w:rPr>
          <w:sz w:val="20"/>
          <w:szCs w:val="20"/>
        </w:rPr>
        <w:t xml:space="preserve">, </w:t>
      </w:r>
      <w:r w:rsidRPr="00742B66">
        <w:rPr>
          <w:i/>
          <w:sz w:val="20"/>
          <w:szCs w:val="20"/>
        </w:rPr>
        <w:t>in</w:t>
      </w:r>
      <w:r w:rsidRPr="00742B66">
        <w:rPr>
          <w:sz w:val="20"/>
          <w:szCs w:val="20"/>
        </w:rPr>
        <w:t xml:space="preserve"> </w:t>
      </w:r>
      <w:r w:rsidRPr="00742B66">
        <w:rPr>
          <w:smallCaps/>
          <w:sz w:val="20"/>
          <w:szCs w:val="20"/>
        </w:rPr>
        <w:t>Mythologies</w:t>
      </w:r>
      <w:r w:rsidRPr="00742B66">
        <w:rPr>
          <w:sz w:val="20"/>
          <w:szCs w:val="20"/>
        </w:rPr>
        <w:t xml:space="preserve"> 142–43 (Annette Lavers ed., trans., Noonday Press, 1972) (1957).</w:t>
      </w:r>
      <w:proofErr w:type="gramEnd"/>
    </w:p>
  </w:footnote>
  <w:footnote w:id="22">
    <w:p w14:paraId="215C8CC9" w14:textId="22208125" w:rsidR="00E667D7" w:rsidRPr="00742B66" w:rsidRDefault="00E667D7" w:rsidP="00742B66">
      <w:pPr>
        <w:spacing w:after="240"/>
        <w:rPr>
          <w:rFonts w:eastAsia="Times New Roman"/>
          <w:sz w:val="20"/>
          <w:szCs w:val="20"/>
        </w:rPr>
      </w:pPr>
      <w:r w:rsidRPr="00742B66">
        <w:rPr>
          <w:rStyle w:val="FootnoteReference"/>
          <w:sz w:val="20"/>
          <w:szCs w:val="20"/>
        </w:rPr>
        <w:footnoteRef/>
      </w:r>
      <w:r w:rsidRPr="00742B66">
        <w:rPr>
          <w:sz w:val="20"/>
          <w:szCs w:val="20"/>
        </w:rPr>
        <w:t xml:space="preserve"> </w:t>
      </w:r>
      <w:r w:rsidRPr="00742B66">
        <w:rPr>
          <w:rFonts w:eastAsia="Times New Roman"/>
          <w:i/>
          <w:sz w:val="20"/>
          <w:szCs w:val="20"/>
        </w:rPr>
        <w:t>The Civil Rights Cases</w:t>
      </w:r>
      <w:r w:rsidRPr="00742B66">
        <w:rPr>
          <w:rFonts w:eastAsia="Times New Roman"/>
          <w:sz w:val="20"/>
          <w:szCs w:val="20"/>
        </w:rPr>
        <w:t xml:space="preserve">, 109 U.S. at 25; </w:t>
      </w:r>
      <w:r w:rsidRPr="00742B66">
        <w:rPr>
          <w:rFonts w:eastAsia="Times New Roman"/>
          <w:i/>
          <w:sz w:val="20"/>
          <w:szCs w:val="20"/>
        </w:rPr>
        <w:t xml:space="preserve">see also </w:t>
      </w:r>
      <w:r w:rsidRPr="00742B66">
        <w:rPr>
          <w:sz w:val="20"/>
          <w:szCs w:val="20"/>
        </w:rPr>
        <w:t xml:space="preserve">Civil Rights Act of 1875, </w:t>
      </w:r>
      <w:proofErr w:type="spellStart"/>
      <w:r w:rsidRPr="00742B66">
        <w:rPr>
          <w:sz w:val="20"/>
          <w:szCs w:val="20"/>
        </w:rPr>
        <w:t>ch.</w:t>
      </w:r>
      <w:proofErr w:type="spellEnd"/>
      <w:r w:rsidRPr="00742B66">
        <w:rPr>
          <w:sz w:val="20"/>
          <w:szCs w:val="20"/>
        </w:rPr>
        <w:t xml:space="preserve"> 114, 18 Stat. 335 (</w:t>
      </w:r>
      <w:r w:rsidRPr="00742B66">
        <w:rPr>
          <w:bCs/>
          <w:sz w:val="20"/>
          <w:szCs w:val="20"/>
        </w:rPr>
        <w:t>“An act to protect all citizens in their civil and legal rights.”)</w:t>
      </w:r>
      <w:r w:rsidRPr="00742B66">
        <w:rPr>
          <w:sz w:val="20"/>
          <w:szCs w:val="20"/>
        </w:rPr>
        <w:t xml:space="preserve">. </w:t>
      </w:r>
      <w:r w:rsidRPr="00742B66">
        <w:rPr>
          <w:bCs/>
          <w:sz w:val="20"/>
          <w:szCs w:val="20"/>
        </w:rPr>
        <w:t>A precursor to the Civil Rights Act of 1964, the 1875 Act provided that “all persons within the jurisdiction of the United States shall be entitled to the full and equal enjoyment of the accommodations, advantages, facilities, and privileges of inns, public conveyances on land or water, theaters, and other places of public amusement.”</w:t>
      </w:r>
      <w:r w:rsidRPr="00742B66">
        <w:rPr>
          <w:i/>
          <w:sz w:val="20"/>
          <w:szCs w:val="20"/>
        </w:rPr>
        <w:t xml:space="preserve"> </w:t>
      </w:r>
      <w:proofErr w:type="gramStart"/>
      <w:r w:rsidRPr="00742B66">
        <w:rPr>
          <w:i/>
          <w:sz w:val="20"/>
          <w:szCs w:val="20"/>
        </w:rPr>
        <w:t>Id.</w:t>
      </w:r>
      <w:r w:rsidRPr="00742B66">
        <w:rPr>
          <w:sz w:val="20"/>
          <w:szCs w:val="20"/>
        </w:rPr>
        <w:t xml:space="preserve"> § 1.</w:t>
      </w:r>
      <w:proofErr w:type="gramEnd"/>
      <w:r w:rsidRPr="00742B66">
        <w:rPr>
          <w:sz w:val="20"/>
          <w:szCs w:val="20"/>
        </w:rPr>
        <w:t xml:space="preserve"> Section 2 of the Act provided penal sanction for deny</w:t>
      </w:r>
      <w:r>
        <w:rPr>
          <w:sz w:val="20"/>
          <w:szCs w:val="20"/>
        </w:rPr>
        <w:t>ing</w:t>
      </w:r>
      <w:r w:rsidRPr="00742B66">
        <w:rPr>
          <w:sz w:val="20"/>
          <w:szCs w:val="20"/>
        </w:rPr>
        <w:t xml:space="preserve"> access to public accommodations on account of race. </w:t>
      </w:r>
      <w:r w:rsidRPr="00742B66">
        <w:rPr>
          <w:i/>
          <w:sz w:val="20"/>
          <w:szCs w:val="20"/>
        </w:rPr>
        <w:t>Id.</w:t>
      </w:r>
    </w:p>
  </w:footnote>
  <w:footnote w:id="23">
    <w:p w14:paraId="7691C3D9"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 xml:space="preserve">The </w:t>
      </w:r>
      <w:r w:rsidRPr="00742B66">
        <w:rPr>
          <w:i/>
          <w:iCs/>
          <w:sz w:val="20"/>
          <w:szCs w:val="20"/>
        </w:rPr>
        <w:t>Civil Rights Cases</w:t>
      </w:r>
      <w:r w:rsidRPr="00742B66">
        <w:rPr>
          <w:sz w:val="20"/>
          <w:szCs w:val="20"/>
        </w:rPr>
        <w:t>, 109 U.S. 3, 17 (1883) (“In this connection it is proper to state that civil rights, such as are guarantied by the Constitution against State aggression, cannot be impaired by the wrongful acts of individuals, unsupported by State authority in the shape of laws, customs, or judicial or executive proceedings.”)</w:t>
      </w:r>
      <w:r>
        <w:rPr>
          <w:sz w:val="20"/>
          <w:szCs w:val="20"/>
        </w:rPr>
        <w:t>.</w:t>
      </w:r>
    </w:p>
  </w:footnote>
  <w:footnote w:id="24">
    <w:p w14:paraId="51134AF3"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iCs/>
          <w:sz w:val="20"/>
          <w:szCs w:val="20"/>
        </w:rPr>
        <w:t>Id.</w:t>
      </w:r>
      <w:r w:rsidRPr="00742B66">
        <w:rPr>
          <w:sz w:val="20"/>
          <w:szCs w:val="20"/>
        </w:rPr>
        <w:t xml:space="preserve"> at 25.</w:t>
      </w:r>
      <w:proofErr w:type="gramEnd"/>
    </w:p>
  </w:footnote>
  <w:footnote w:id="25">
    <w:p w14:paraId="6C2F3480" w14:textId="77777777" w:rsidR="00E667D7" w:rsidRPr="00742B66" w:rsidRDefault="00E667D7" w:rsidP="00742B66">
      <w:pPr>
        <w:pStyle w:val="FootnoteText"/>
        <w:spacing w:after="240"/>
        <w:rPr>
          <w:i/>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p>
  </w:footnote>
  <w:footnote w:id="26">
    <w:p w14:paraId="69FE05BD" w14:textId="77777777" w:rsidR="00E667D7" w:rsidRPr="00742B66" w:rsidRDefault="00E667D7" w:rsidP="00742B66">
      <w:pPr>
        <w:spacing w:after="240"/>
        <w:rPr>
          <w:rFonts w:eastAsia="Times New Roman"/>
          <w:sz w:val="20"/>
          <w:szCs w:val="20"/>
        </w:rPr>
      </w:pPr>
      <w:r w:rsidRPr="00742B66">
        <w:rPr>
          <w:rStyle w:val="FootnoteReference"/>
          <w:sz w:val="20"/>
          <w:szCs w:val="20"/>
        </w:rPr>
        <w:footnoteRef/>
      </w:r>
      <w:r w:rsidRPr="00742B66">
        <w:rPr>
          <w:sz w:val="20"/>
          <w:szCs w:val="20"/>
        </w:rPr>
        <w:t xml:space="preserve"> </w:t>
      </w:r>
      <w:r w:rsidRPr="00742B66">
        <w:rPr>
          <w:i/>
          <w:sz w:val="20"/>
          <w:szCs w:val="20"/>
        </w:rPr>
        <w:t>See, e.g.</w:t>
      </w:r>
      <w:r w:rsidRPr="00742B66">
        <w:rPr>
          <w:sz w:val="20"/>
          <w:szCs w:val="20"/>
        </w:rPr>
        <w:t>,</w:t>
      </w:r>
      <w:r w:rsidRPr="00742B66">
        <w:rPr>
          <w:i/>
          <w:sz w:val="20"/>
          <w:szCs w:val="20"/>
        </w:rPr>
        <w:t xml:space="preserve"> id. </w:t>
      </w:r>
      <w:proofErr w:type="gramStart"/>
      <w:r w:rsidRPr="00742B66">
        <w:rPr>
          <w:sz w:val="20"/>
          <w:szCs w:val="20"/>
        </w:rPr>
        <w:t>at</w:t>
      </w:r>
      <w:proofErr w:type="gramEnd"/>
      <w:r w:rsidRPr="00742B66">
        <w:rPr>
          <w:sz w:val="20"/>
          <w:szCs w:val="20"/>
        </w:rPr>
        <w:t xml:space="preserve"> 24–25</w:t>
      </w:r>
      <w:r w:rsidRPr="00742B66">
        <w:rPr>
          <w:i/>
          <w:sz w:val="20"/>
          <w:szCs w:val="20"/>
        </w:rPr>
        <w:t xml:space="preserve"> </w:t>
      </w:r>
      <w:r w:rsidRPr="00742B66">
        <w:rPr>
          <w:sz w:val="20"/>
          <w:szCs w:val="20"/>
        </w:rPr>
        <w:t xml:space="preserve">(“It would be running the slavery argument into the ground to make it apply to every act of discrimination which a person may see fit to make as to the guests he will entertain, or as to the people he will take into his coach or cab or car, or admit to his concert or theater, or deal with in other matters of intercourse or business.”). </w:t>
      </w:r>
    </w:p>
  </w:footnote>
  <w:footnote w:id="27">
    <w:p w14:paraId="512F0B96" w14:textId="77777777" w:rsidR="00E667D7" w:rsidRPr="00742B66" w:rsidRDefault="00E667D7" w:rsidP="00742B66">
      <w:pPr>
        <w:pStyle w:val="FootnoteText"/>
        <w:spacing w:after="240"/>
        <w:rPr>
          <w:rFonts w:eastAsia="Times New Roman"/>
          <w:sz w:val="20"/>
          <w:szCs w:val="20"/>
        </w:rPr>
      </w:pPr>
      <w:r w:rsidRPr="00742B66">
        <w:rPr>
          <w:rStyle w:val="FootnoteReference"/>
          <w:sz w:val="20"/>
          <w:szCs w:val="20"/>
        </w:rPr>
        <w:footnoteRef/>
      </w:r>
      <w:r w:rsidRPr="00742B66">
        <w:rPr>
          <w:sz w:val="20"/>
          <w:szCs w:val="20"/>
        </w:rPr>
        <w:t xml:space="preserve"> </w:t>
      </w:r>
      <w:r>
        <w:rPr>
          <w:sz w:val="20"/>
          <w:szCs w:val="20"/>
        </w:rPr>
        <w:t xml:space="preserve">There is a message in this footnote that should be articulated (in your own words) in text.  </w:t>
      </w:r>
      <w:r w:rsidRPr="00742B66">
        <w:rPr>
          <w:i/>
          <w:sz w:val="20"/>
          <w:szCs w:val="20"/>
        </w:rPr>
        <w:t>See id</w:t>
      </w:r>
      <w:proofErr w:type="gramStart"/>
      <w:r w:rsidRPr="00742B66">
        <w:rPr>
          <w:i/>
          <w:sz w:val="20"/>
          <w:szCs w:val="20"/>
        </w:rPr>
        <w:t>.</w:t>
      </w:r>
      <w:r w:rsidRPr="00742B66">
        <w:rPr>
          <w:sz w:val="20"/>
          <w:szCs w:val="20"/>
        </w:rPr>
        <w:t>;</w:t>
      </w:r>
      <w:proofErr w:type="gramEnd"/>
      <w:r w:rsidRPr="00742B66">
        <w:rPr>
          <w:sz w:val="20"/>
          <w:szCs w:val="20"/>
        </w:rPr>
        <w:t xml:space="preserve"> </w:t>
      </w:r>
      <w:proofErr w:type="spellStart"/>
      <w:r w:rsidRPr="00742B66">
        <w:rPr>
          <w:rFonts w:eastAsia="Times New Roman"/>
          <w:iCs/>
          <w:sz w:val="20"/>
          <w:szCs w:val="20"/>
        </w:rPr>
        <w:t>Plessy</w:t>
      </w:r>
      <w:proofErr w:type="spellEnd"/>
      <w:r w:rsidRPr="00742B66">
        <w:rPr>
          <w:rFonts w:eastAsia="Times New Roman"/>
          <w:iCs/>
          <w:sz w:val="20"/>
          <w:szCs w:val="20"/>
        </w:rPr>
        <w:t xml:space="preserve"> v. Ferguson</w:t>
      </w:r>
      <w:r w:rsidRPr="00742B66">
        <w:rPr>
          <w:rFonts w:eastAsia="Times New Roman"/>
          <w:sz w:val="20"/>
          <w:szCs w:val="20"/>
        </w:rPr>
        <w:t xml:space="preserve">, 163 U.S. 537, 544 (1896) (“The object of the [Fourteenth] amendment was undoubtedly to enforce the absolute equality of the two races before the law, but . . . it could not have been intended to abolish distinctions based upon color, or to enforce social, as distinguished from political, equality . . . .); Henry L. Chambers, Jr., </w:t>
      </w:r>
      <w:r w:rsidRPr="00742B66">
        <w:rPr>
          <w:rFonts w:eastAsia="Times New Roman"/>
          <w:i/>
          <w:iCs/>
          <w:sz w:val="20"/>
          <w:szCs w:val="20"/>
        </w:rPr>
        <w:t>Colorblindness, Race Neutrality, and Voting Rights</w:t>
      </w:r>
      <w:r w:rsidRPr="00742B66">
        <w:rPr>
          <w:rFonts w:eastAsia="Times New Roman"/>
          <w:sz w:val="20"/>
          <w:szCs w:val="20"/>
        </w:rPr>
        <w:t xml:space="preserve">, 51 </w:t>
      </w:r>
      <w:r w:rsidRPr="00742B66">
        <w:rPr>
          <w:rFonts w:eastAsia="Times New Roman"/>
          <w:smallCaps/>
          <w:sz w:val="20"/>
          <w:szCs w:val="20"/>
        </w:rPr>
        <w:t>Emory L.J.</w:t>
      </w:r>
      <w:r w:rsidRPr="00742B66">
        <w:rPr>
          <w:rFonts w:eastAsia="Times New Roman"/>
          <w:sz w:val="20"/>
          <w:szCs w:val="20"/>
        </w:rPr>
        <w:t xml:space="preserve"> 1397, 1416 (2002) (“[W]hen passed, the Fourteenth Amendment provided equality only with respect to a narrow set of legal rights, and did not provide political rights, such as voting rights, or social rights.” (</w:t>
      </w:r>
      <w:proofErr w:type="gramStart"/>
      <w:r w:rsidRPr="00742B66">
        <w:rPr>
          <w:rFonts w:eastAsia="Times New Roman"/>
          <w:sz w:val="20"/>
          <w:szCs w:val="20"/>
        </w:rPr>
        <w:t>internal</w:t>
      </w:r>
      <w:proofErr w:type="gramEnd"/>
      <w:r w:rsidRPr="00742B66">
        <w:rPr>
          <w:rFonts w:eastAsia="Times New Roman"/>
          <w:sz w:val="20"/>
          <w:szCs w:val="20"/>
        </w:rPr>
        <w:t xml:space="preserve"> citations omitted)); Michael W. McConnell, </w:t>
      </w:r>
      <w:proofErr w:type="spellStart"/>
      <w:r w:rsidRPr="00742B66">
        <w:rPr>
          <w:rFonts w:eastAsia="Times New Roman"/>
          <w:i/>
          <w:iCs/>
          <w:sz w:val="20"/>
          <w:szCs w:val="20"/>
        </w:rPr>
        <w:t>Originalism</w:t>
      </w:r>
      <w:proofErr w:type="spellEnd"/>
      <w:r w:rsidRPr="00742B66">
        <w:rPr>
          <w:rFonts w:eastAsia="Times New Roman"/>
          <w:i/>
          <w:iCs/>
          <w:sz w:val="20"/>
          <w:szCs w:val="20"/>
        </w:rPr>
        <w:t xml:space="preserve"> and the Desegregation Decisions</w:t>
      </w:r>
      <w:r w:rsidRPr="00742B66">
        <w:rPr>
          <w:rFonts w:eastAsia="Times New Roman"/>
          <w:sz w:val="20"/>
          <w:szCs w:val="20"/>
        </w:rPr>
        <w:t xml:space="preserve">, 81 </w:t>
      </w:r>
      <w:r w:rsidRPr="00742B66">
        <w:rPr>
          <w:rFonts w:eastAsia="Times New Roman"/>
          <w:smallCaps/>
          <w:sz w:val="20"/>
          <w:szCs w:val="20"/>
        </w:rPr>
        <w:t>Va. L. Rev.</w:t>
      </w:r>
      <w:r w:rsidRPr="00742B66">
        <w:rPr>
          <w:rFonts w:eastAsia="Times New Roman"/>
          <w:sz w:val="20"/>
          <w:szCs w:val="20"/>
        </w:rPr>
        <w:t xml:space="preserve"> 947, 1016 (1995) (arguing that the “social rights” argument in defense of racial segregation in schools rested on a “tripartite” division of rights—between civil, political, and social rights—that was universally accepted during the framing of the Fourteenth Amendment); </w:t>
      </w:r>
      <w:r w:rsidRPr="00742B66">
        <w:rPr>
          <w:sz w:val="20"/>
          <w:szCs w:val="20"/>
        </w:rPr>
        <w:t xml:space="preserve">Jeffrey Rosen, </w:t>
      </w:r>
      <w:r w:rsidRPr="00742B66">
        <w:rPr>
          <w:i/>
          <w:iCs/>
          <w:sz w:val="20"/>
          <w:szCs w:val="20"/>
        </w:rPr>
        <w:t>Translating the Privileges or Immunities Clause</w:t>
      </w:r>
      <w:r w:rsidRPr="00742B66">
        <w:rPr>
          <w:sz w:val="20"/>
          <w:szCs w:val="20"/>
        </w:rPr>
        <w:t xml:space="preserve">, 66 </w:t>
      </w:r>
      <w:r w:rsidRPr="00742B66">
        <w:rPr>
          <w:smallCaps/>
          <w:sz w:val="20"/>
          <w:szCs w:val="20"/>
        </w:rPr>
        <w:t>Geo. Wash. L. Rev.</w:t>
      </w:r>
      <w:r w:rsidRPr="00742B66">
        <w:rPr>
          <w:sz w:val="20"/>
          <w:szCs w:val="20"/>
        </w:rPr>
        <w:t xml:space="preserve"> 1241, 1242 (1998) (arguing that the Fourteenth Amendment in its original context was designed to secure “limited absolute equality” with regard to “civil rights, but not political or social rights”). </w:t>
      </w:r>
      <w:r w:rsidRPr="00742B66">
        <w:rPr>
          <w:i/>
          <w:sz w:val="20"/>
          <w:szCs w:val="20"/>
        </w:rPr>
        <w:t>But cf.</w:t>
      </w:r>
      <w:r w:rsidRPr="00742B66">
        <w:rPr>
          <w:sz w:val="20"/>
          <w:szCs w:val="20"/>
        </w:rPr>
        <w:t xml:space="preserve"> </w:t>
      </w:r>
      <w:r w:rsidRPr="00742B66">
        <w:rPr>
          <w:rFonts w:eastAsia="Times New Roman"/>
          <w:iCs/>
          <w:sz w:val="20"/>
          <w:szCs w:val="20"/>
        </w:rPr>
        <w:t>Brown v. Bd. of Educ.</w:t>
      </w:r>
      <w:r w:rsidRPr="00742B66">
        <w:rPr>
          <w:rFonts w:eastAsia="Times New Roman"/>
          <w:sz w:val="20"/>
          <w:szCs w:val="20"/>
        </w:rPr>
        <w:t xml:space="preserve">, 347 U.S. 483, 495 (1954) (“We conclude that in the field of public education the doctrine of ‘separate but equal’ has no place. Separate educational facilities are inherently unequal.”); </w:t>
      </w:r>
      <w:r w:rsidRPr="00742B66">
        <w:rPr>
          <w:rFonts w:eastAsia="Times New Roman"/>
          <w:iCs/>
          <w:sz w:val="20"/>
          <w:szCs w:val="20"/>
        </w:rPr>
        <w:t>Loving v. Virginia</w:t>
      </w:r>
      <w:r w:rsidRPr="00742B66">
        <w:rPr>
          <w:rFonts w:eastAsia="Times New Roman"/>
          <w:sz w:val="20"/>
          <w:szCs w:val="20"/>
        </w:rPr>
        <w:t xml:space="preserve">, 388 U.S. 1, 11 (1967) (“The fact that Virginia prohibits only interracial marriages involving white persons demonstrates that the racial classifications must stand on their own justification, as measures designed to maintain White Supremacy.”); </w:t>
      </w:r>
      <w:r w:rsidRPr="00742B66">
        <w:rPr>
          <w:rFonts w:eastAsia="Times New Roman"/>
          <w:iCs/>
          <w:sz w:val="20"/>
          <w:szCs w:val="20"/>
        </w:rPr>
        <w:t>Bell v. State of Md.</w:t>
      </w:r>
      <w:r w:rsidRPr="00742B66">
        <w:rPr>
          <w:rFonts w:eastAsia="Times New Roman"/>
          <w:sz w:val="20"/>
          <w:szCs w:val="20"/>
        </w:rPr>
        <w:t xml:space="preserve">, 378 U.S. 226, 293 (1964) (noting the legislative history “reveals that . . . the Fourteenth Amendment encompassed the right to equal treatment in public places—a right explicitly recognized to be a ‘civil’ rather than a ‘social’ right” but in other areas the distinction was “misty”); James W. Fox Jr., </w:t>
      </w:r>
      <w:r w:rsidRPr="00742B66">
        <w:rPr>
          <w:rFonts w:eastAsia="Times New Roman"/>
          <w:i/>
          <w:iCs/>
          <w:sz w:val="20"/>
          <w:szCs w:val="20"/>
        </w:rPr>
        <w:t>Democratic Citizenship and Congressional Reconstruction: Defining and Implementing the Privileges and Immunities of Citizenship</w:t>
      </w:r>
      <w:r w:rsidRPr="00742B66">
        <w:rPr>
          <w:rFonts w:eastAsia="Times New Roman"/>
          <w:sz w:val="20"/>
          <w:szCs w:val="20"/>
        </w:rPr>
        <w:t xml:space="preserve">, 13 </w:t>
      </w:r>
      <w:r w:rsidRPr="00742B66">
        <w:rPr>
          <w:rFonts w:eastAsia="Times New Roman"/>
          <w:smallCaps/>
          <w:sz w:val="20"/>
          <w:szCs w:val="20"/>
        </w:rPr>
        <w:t xml:space="preserve">Temp. </w:t>
      </w:r>
      <w:proofErr w:type="gramStart"/>
      <w:r w:rsidRPr="00742B66">
        <w:rPr>
          <w:rFonts w:eastAsia="Times New Roman"/>
          <w:smallCaps/>
          <w:sz w:val="20"/>
          <w:szCs w:val="20"/>
        </w:rPr>
        <w:t xml:space="preserve">Pol. &amp; Civ. </w:t>
      </w:r>
      <w:proofErr w:type="spellStart"/>
      <w:r w:rsidRPr="00742B66">
        <w:rPr>
          <w:rFonts w:eastAsia="Times New Roman"/>
          <w:smallCaps/>
          <w:sz w:val="20"/>
          <w:szCs w:val="20"/>
        </w:rPr>
        <w:t>Rts</w:t>
      </w:r>
      <w:proofErr w:type="spellEnd"/>
      <w:r w:rsidRPr="00742B66">
        <w:rPr>
          <w:rFonts w:eastAsia="Times New Roman"/>
          <w:smallCaps/>
          <w:sz w:val="20"/>
          <w:szCs w:val="20"/>
        </w:rPr>
        <w:t>.</w:t>
      </w:r>
      <w:proofErr w:type="gramEnd"/>
      <w:r w:rsidRPr="00742B66">
        <w:rPr>
          <w:rFonts w:eastAsia="Times New Roman"/>
          <w:smallCaps/>
          <w:sz w:val="20"/>
          <w:szCs w:val="20"/>
        </w:rPr>
        <w:t xml:space="preserve"> L. Rev.</w:t>
      </w:r>
      <w:r w:rsidRPr="00742B66">
        <w:rPr>
          <w:rFonts w:eastAsia="Times New Roman"/>
          <w:sz w:val="20"/>
          <w:szCs w:val="20"/>
        </w:rPr>
        <w:t xml:space="preserve"> 453 (2004) (“[</w:t>
      </w:r>
      <w:proofErr w:type="gramStart"/>
      <w:r w:rsidRPr="00742B66">
        <w:rPr>
          <w:rFonts w:eastAsia="Times New Roman"/>
          <w:sz w:val="20"/>
          <w:szCs w:val="20"/>
        </w:rPr>
        <w:t>C]</w:t>
      </w:r>
      <w:proofErr w:type="spellStart"/>
      <w:r w:rsidRPr="00742B66">
        <w:rPr>
          <w:rFonts w:eastAsia="Times New Roman"/>
          <w:sz w:val="20"/>
          <w:szCs w:val="20"/>
        </w:rPr>
        <w:t>ommon</w:t>
      </w:r>
      <w:proofErr w:type="spellEnd"/>
      <w:proofErr w:type="gramEnd"/>
      <w:r w:rsidRPr="00742B66">
        <w:rPr>
          <w:rFonts w:eastAsia="Times New Roman"/>
          <w:sz w:val="20"/>
          <w:szCs w:val="20"/>
        </w:rPr>
        <w:t xml:space="preserve"> historical interpretation that actors during Reconstruction viewed rights as sharply divided into three tiers of civil, political, and social rights too often omits and ignores alternative visions of rights as more interrelated under a developing conception of democratic citizenship.”); </w:t>
      </w:r>
      <w:proofErr w:type="spellStart"/>
      <w:r w:rsidRPr="00742B66">
        <w:rPr>
          <w:rFonts w:eastAsia="Times New Roman"/>
          <w:sz w:val="20"/>
          <w:szCs w:val="20"/>
        </w:rPr>
        <w:t>Reva</w:t>
      </w:r>
      <w:proofErr w:type="spellEnd"/>
      <w:r w:rsidRPr="00742B66">
        <w:rPr>
          <w:rFonts w:eastAsia="Times New Roman"/>
          <w:sz w:val="20"/>
          <w:szCs w:val="20"/>
        </w:rPr>
        <w:t xml:space="preserve"> Siegel, </w:t>
      </w:r>
      <w:r w:rsidRPr="00742B66">
        <w:rPr>
          <w:rFonts w:eastAsia="Times New Roman"/>
          <w:i/>
          <w:iCs/>
          <w:sz w:val="20"/>
          <w:szCs w:val="20"/>
        </w:rPr>
        <w:t>Why Equal Protection No Longer Protects: The Evolving Forms of Status-Enforcing State Action</w:t>
      </w:r>
      <w:r w:rsidRPr="00742B66">
        <w:rPr>
          <w:rFonts w:eastAsia="Times New Roman"/>
          <w:sz w:val="20"/>
          <w:szCs w:val="20"/>
        </w:rPr>
        <w:t xml:space="preserve">, </w:t>
      </w:r>
      <w:r w:rsidRPr="00742B66">
        <w:rPr>
          <w:rFonts w:eastAsia="Times New Roman"/>
          <w:smallCaps/>
          <w:sz w:val="20"/>
          <w:szCs w:val="20"/>
        </w:rPr>
        <w:t>49 Stan. L. Rev.</w:t>
      </w:r>
      <w:r w:rsidRPr="00742B66">
        <w:rPr>
          <w:rFonts w:eastAsia="Times New Roman"/>
          <w:sz w:val="20"/>
          <w:szCs w:val="20"/>
        </w:rPr>
        <w:t xml:space="preserve"> 1111, 1129 (1997) (“The civil-political-social rights distinction thus offered a framework within which white Americans could disestablish slavery, guarantee the emancipated slaves equality at law, and yet continue to justify policies and practices that perpetuated the racial stratification of American society.”). On the tripartite notion of rights—civil, political, and social—even John Bingham, the framer of the Privileges and Immunities Clause of the Fourteenth Amendment, recognized the illusory nature of the civil/social distinction in an 1866 speech on the Civil Rights Act, stating, “</w:t>
      </w:r>
      <w:r w:rsidRPr="00742B66">
        <w:rPr>
          <w:sz w:val="20"/>
          <w:szCs w:val="20"/>
        </w:rPr>
        <w:t>the term ‘political rights’ is only a limitation of the term ‘civil rights,’ and by general acceptation signifies that class of civil rights which are more directly exercised by the citizen in connection with the government of his country.”</w:t>
      </w:r>
      <w:r w:rsidRPr="00742B66">
        <w:rPr>
          <w:rFonts w:eastAsia="Times New Roman"/>
          <w:sz w:val="20"/>
          <w:szCs w:val="20"/>
        </w:rPr>
        <w:t xml:space="preserve"> </w:t>
      </w:r>
      <w:r w:rsidRPr="00742B66">
        <w:rPr>
          <w:rFonts w:eastAsia="Times New Roman"/>
          <w:smallCaps/>
          <w:sz w:val="20"/>
          <w:szCs w:val="20"/>
        </w:rPr>
        <w:t>Cong. Globe,</w:t>
      </w:r>
      <w:r w:rsidRPr="00742B66">
        <w:rPr>
          <w:rFonts w:eastAsia="Times New Roman"/>
          <w:sz w:val="20"/>
          <w:szCs w:val="20"/>
        </w:rPr>
        <w:t xml:space="preserve"> 19th Cong., 1st Sess. 1291 (1866) (statement of Rep. Bingham). Ergo</w:t>
      </w:r>
      <w:r w:rsidRPr="00742B66">
        <w:rPr>
          <w:sz w:val="20"/>
          <w:szCs w:val="20"/>
        </w:rPr>
        <w:t xml:space="preserve">, “are not political rights all embraced in the term ‘civil rights,’ and must it not of necessity be so interpreted?” </w:t>
      </w:r>
      <w:r w:rsidRPr="00742B66">
        <w:rPr>
          <w:i/>
          <w:sz w:val="20"/>
          <w:szCs w:val="20"/>
        </w:rPr>
        <w:t>Id.</w:t>
      </w:r>
      <w:r w:rsidRPr="00742B66">
        <w:rPr>
          <w:rFonts w:eastAsia="Times New Roman"/>
          <w:b/>
          <w:sz w:val="20"/>
          <w:szCs w:val="20"/>
        </w:rPr>
        <w:t xml:space="preserve"> </w:t>
      </w:r>
      <w:r w:rsidRPr="00742B66">
        <w:rPr>
          <w:rFonts w:eastAsia="Times New Roman"/>
          <w:b/>
          <w:sz w:val="20"/>
          <w:szCs w:val="20"/>
          <w:highlight w:val="yellow"/>
        </w:rPr>
        <w:t>[Add Lash citation]</w:t>
      </w:r>
    </w:p>
  </w:footnote>
  <w:footnote w:id="28">
    <w:p w14:paraId="14DC50DD"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Eric </w:t>
      </w:r>
      <w:proofErr w:type="spellStart"/>
      <w:r w:rsidRPr="00742B66">
        <w:rPr>
          <w:smallCaps/>
          <w:sz w:val="20"/>
          <w:szCs w:val="20"/>
        </w:rPr>
        <w:t>Foner</w:t>
      </w:r>
      <w:proofErr w:type="spellEnd"/>
      <w:r w:rsidRPr="00742B66">
        <w:rPr>
          <w:smallCaps/>
          <w:sz w:val="20"/>
          <w:szCs w:val="20"/>
        </w:rPr>
        <w:t xml:space="preserve">, Reconstruction: America’s Unfinished Revolution, 1863–1887, </w:t>
      </w:r>
      <w:r w:rsidRPr="00742B66">
        <w:rPr>
          <w:sz w:val="20"/>
          <w:szCs w:val="20"/>
        </w:rPr>
        <w:t xml:space="preserve">at </w:t>
      </w:r>
      <w:r w:rsidRPr="00742B66">
        <w:rPr>
          <w:smallCaps/>
          <w:sz w:val="20"/>
          <w:szCs w:val="20"/>
        </w:rPr>
        <w:t>278</w:t>
      </w:r>
      <w:r w:rsidRPr="00742B66">
        <w:rPr>
          <w:i/>
          <w:sz w:val="20"/>
          <w:szCs w:val="20"/>
        </w:rPr>
        <w:t xml:space="preserve"> </w:t>
      </w:r>
      <w:r w:rsidRPr="00742B66">
        <w:rPr>
          <w:sz w:val="20"/>
          <w:szCs w:val="20"/>
        </w:rPr>
        <w:t>(1988).</w:t>
      </w:r>
    </w:p>
  </w:footnote>
  <w:footnote w:id="29">
    <w:p w14:paraId="6316D9D1"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iCs/>
          <w:sz w:val="20"/>
          <w:szCs w:val="20"/>
        </w:rPr>
        <w:t>Id.</w:t>
      </w:r>
    </w:p>
  </w:footnote>
  <w:footnote w:id="30">
    <w:p w14:paraId="7EAF1537"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 xml:space="preserve">See </w:t>
      </w:r>
      <w:r w:rsidRPr="00742B66">
        <w:rPr>
          <w:sz w:val="20"/>
          <w:szCs w:val="20"/>
        </w:rPr>
        <w:t xml:space="preserve">Eric </w:t>
      </w:r>
      <w:proofErr w:type="spellStart"/>
      <w:r w:rsidRPr="00742B66">
        <w:rPr>
          <w:sz w:val="20"/>
          <w:szCs w:val="20"/>
        </w:rPr>
        <w:t>Foner</w:t>
      </w:r>
      <w:proofErr w:type="spellEnd"/>
      <w:r w:rsidRPr="00742B66">
        <w:rPr>
          <w:sz w:val="20"/>
          <w:szCs w:val="20"/>
        </w:rPr>
        <w:t xml:space="preserve">, </w:t>
      </w:r>
      <w:r w:rsidRPr="00742B66">
        <w:rPr>
          <w:i/>
          <w:sz w:val="20"/>
          <w:szCs w:val="20"/>
        </w:rPr>
        <w:t>The Supreme Court and the History of Reconstruction—and Vice-Versa</w:t>
      </w:r>
      <w:r w:rsidRPr="00742B66">
        <w:rPr>
          <w:sz w:val="20"/>
          <w:szCs w:val="20"/>
        </w:rPr>
        <w:t xml:space="preserve">, 112 </w:t>
      </w:r>
      <w:r w:rsidRPr="00742B66">
        <w:rPr>
          <w:smallCaps/>
          <w:sz w:val="20"/>
          <w:szCs w:val="20"/>
        </w:rPr>
        <w:t>Colum. L. Rev</w:t>
      </w:r>
      <w:r w:rsidRPr="00742B66">
        <w:rPr>
          <w:sz w:val="20"/>
          <w:szCs w:val="20"/>
        </w:rPr>
        <w:t>. 1585, 1588 (2012) (noting the convergence of ideas of “reverse discrimination” with “</w:t>
      </w:r>
      <w:proofErr w:type="spellStart"/>
      <w:r w:rsidRPr="00742B66">
        <w:rPr>
          <w:sz w:val="20"/>
          <w:szCs w:val="20"/>
        </w:rPr>
        <w:t>localist</w:t>
      </w:r>
      <w:proofErr w:type="spellEnd"/>
      <w:r w:rsidRPr="00742B66">
        <w:rPr>
          <w:sz w:val="20"/>
          <w:szCs w:val="20"/>
        </w:rPr>
        <w:t xml:space="preserve">” and laissez-faire ideology resulted in the a sense that the federal government had grown too powerful and, critically, that southern Reconstruction governments, in which African Americans played a central role for the first time in United States history, “upended the ‘natural’ order of things”); </w:t>
      </w:r>
      <w:r w:rsidRPr="00742B66">
        <w:rPr>
          <w:smallCaps/>
          <w:sz w:val="20"/>
          <w:szCs w:val="20"/>
        </w:rPr>
        <w:t>David W. Blight, Race and Reunion: The Civil War in American Memory</w:t>
      </w:r>
      <w:r w:rsidRPr="00742B66">
        <w:rPr>
          <w:sz w:val="20"/>
          <w:szCs w:val="20"/>
        </w:rPr>
        <w:t xml:space="preserve"> 3 (2002) (“For many whites, especially veterans and their family members, healing from the war was simply not the same proposition as doing justice to the four million emancipated slaves and their descendants.”); </w:t>
      </w:r>
      <w:proofErr w:type="spellStart"/>
      <w:r w:rsidRPr="00742B66">
        <w:rPr>
          <w:sz w:val="20"/>
          <w:szCs w:val="20"/>
        </w:rPr>
        <w:t>Ariela</w:t>
      </w:r>
      <w:proofErr w:type="spellEnd"/>
      <w:r w:rsidRPr="00742B66">
        <w:rPr>
          <w:sz w:val="20"/>
          <w:szCs w:val="20"/>
        </w:rPr>
        <w:t xml:space="preserve"> Gross, </w:t>
      </w:r>
      <w:r w:rsidRPr="00742B66">
        <w:rPr>
          <w:i/>
          <w:sz w:val="20"/>
          <w:szCs w:val="20"/>
        </w:rPr>
        <w:t>When is the Time of Slavery? The History of Slavery in Contemporary Legal and Political Argument</w:t>
      </w:r>
      <w:r w:rsidRPr="00742B66">
        <w:rPr>
          <w:sz w:val="20"/>
          <w:szCs w:val="20"/>
        </w:rPr>
        <w:t xml:space="preserve">, 96 </w:t>
      </w:r>
      <w:r w:rsidRPr="00742B66">
        <w:rPr>
          <w:smallCaps/>
          <w:sz w:val="20"/>
          <w:szCs w:val="20"/>
        </w:rPr>
        <w:t xml:space="preserve">Cal. L. Rev. </w:t>
      </w:r>
      <w:r w:rsidRPr="00742B66">
        <w:rPr>
          <w:sz w:val="20"/>
          <w:szCs w:val="20"/>
        </w:rPr>
        <w:t>283, 287 (2008) (“[</w:t>
      </w:r>
      <w:proofErr w:type="gramStart"/>
      <w:r w:rsidRPr="00742B66">
        <w:rPr>
          <w:sz w:val="20"/>
          <w:szCs w:val="20"/>
        </w:rPr>
        <w:t>C]o</w:t>
      </w:r>
      <w:proofErr w:type="gramEnd"/>
      <w:r w:rsidRPr="00742B66">
        <w:rPr>
          <w:sz w:val="20"/>
          <w:szCs w:val="20"/>
        </w:rPr>
        <w:t xml:space="preserve">-opting colorblindness as a conservative slogan against liberal, race-based remediation was part of a neo-conservative transformation of the ‘slavery to freedom’ story as an argument against, rather than in favor of racial redress.”); David W. Blight, </w:t>
      </w:r>
      <w:r w:rsidRPr="00742B66">
        <w:rPr>
          <w:i/>
          <w:sz w:val="20"/>
          <w:szCs w:val="20"/>
        </w:rPr>
        <w:t>The Civil War Isn’t Over</w:t>
      </w:r>
      <w:r w:rsidRPr="00742B66">
        <w:rPr>
          <w:sz w:val="20"/>
          <w:szCs w:val="20"/>
        </w:rPr>
        <w:t xml:space="preserve">, </w:t>
      </w:r>
      <w:r w:rsidRPr="00742B66">
        <w:rPr>
          <w:smallCaps/>
          <w:sz w:val="20"/>
          <w:szCs w:val="20"/>
        </w:rPr>
        <w:t>Atlantic</w:t>
      </w:r>
      <w:r w:rsidRPr="00742B66">
        <w:rPr>
          <w:sz w:val="20"/>
          <w:szCs w:val="20"/>
        </w:rPr>
        <w:t xml:space="preserve"> (Apr. 8, 2015, 12:07 PM), http://www.theatlantic.com/politics/archive/2015/04/the-civil-war-isnt-over/389847 (“[I]n America, . . . the defeated in this civil war eventually came to control large elements of the event’s meaning, legacies, and policy implications, a reality wracked with irony and driven by the nation’s persistence</w:t>
      </w:r>
      <w:r>
        <w:rPr>
          <w:sz w:val="20"/>
          <w:szCs w:val="20"/>
        </w:rPr>
        <w:t>?</w:t>
      </w:r>
      <w:r w:rsidRPr="00742B66">
        <w:rPr>
          <w:sz w:val="20"/>
          <w:szCs w:val="20"/>
        </w:rPr>
        <w:t xml:space="preserve"> </w:t>
      </w:r>
      <w:proofErr w:type="gramStart"/>
      <w:r w:rsidRPr="00742B66">
        <w:rPr>
          <w:sz w:val="20"/>
          <w:szCs w:val="20"/>
        </w:rPr>
        <w:t>racism</w:t>
      </w:r>
      <w:proofErr w:type="gramEnd"/>
      <w:r w:rsidRPr="00742B66">
        <w:rPr>
          <w:sz w:val="20"/>
          <w:szCs w:val="20"/>
        </w:rPr>
        <w:t xml:space="preserve">.”); Gregory P. Downs, </w:t>
      </w:r>
      <w:r w:rsidRPr="00742B66">
        <w:rPr>
          <w:i/>
          <w:sz w:val="20"/>
          <w:szCs w:val="20"/>
        </w:rPr>
        <w:t>The Dangerous Myth of Appomattox</w:t>
      </w:r>
      <w:r w:rsidRPr="00742B66">
        <w:rPr>
          <w:sz w:val="20"/>
          <w:szCs w:val="20"/>
        </w:rPr>
        <w:t xml:space="preserve">, </w:t>
      </w:r>
      <w:r w:rsidRPr="00742B66">
        <w:rPr>
          <w:smallCaps/>
          <w:sz w:val="20"/>
          <w:szCs w:val="20"/>
        </w:rPr>
        <w:t>N.Y. Times</w:t>
      </w:r>
      <w:r w:rsidRPr="00742B66">
        <w:rPr>
          <w:sz w:val="20"/>
          <w:szCs w:val="20"/>
        </w:rPr>
        <w:t xml:space="preserve">, Apr. 12, 2015, at SR12 (“By severing the war’s conflict from the Reconstruction that followed, it drains meaning from the Civil War and turns it into a family feud, a fight ended with regional reconciliation.”); </w:t>
      </w:r>
      <w:r w:rsidRPr="00742B66">
        <w:rPr>
          <w:i/>
          <w:sz w:val="20"/>
          <w:szCs w:val="20"/>
        </w:rPr>
        <w:t>cf</w:t>
      </w:r>
      <w:r>
        <w:rPr>
          <w:i/>
          <w:sz w:val="20"/>
          <w:szCs w:val="20"/>
        </w:rPr>
        <w:t>.</w:t>
      </w:r>
      <w:r w:rsidRPr="00742B66">
        <w:rPr>
          <w:i/>
          <w:sz w:val="20"/>
          <w:szCs w:val="20"/>
        </w:rPr>
        <w:t xml:space="preserve"> </w:t>
      </w:r>
      <w:r w:rsidRPr="00742B66">
        <w:rPr>
          <w:sz w:val="20"/>
          <w:szCs w:val="20"/>
        </w:rPr>
        <w:t xml:space="preserve">Fox, </w:t>
      </w:r>
      <w:r w:rsidRPr="00742B66">
        <w:rPr>
          <w:i/>
          <w:sz w:val="20"/>
          <w:szCs w:val="20"/>
        </w:rPr>
        <w:t>supra</w:t>
      </w:r>
      <w:r w:rsidRPr="00742B66">
        <w:rPr>
          <w:sz w:val="20"/>
          <w:szCs w:val="20"/>
        </w:rPr>
        <w:t xml:space="preserve">, note </w:t>
      </w:r>
      <w:r w:rsidRPr="00742B66">
        <w:rPr>
          <w:sz w:val="20"/>
          <w:szCs w:val="20"/>
        </w:rPr>
        <w:fldChar w:fldCharType="begin"/>
      </w:r>
      <w:r w:rsidRPr="00742B66">
        <w:rPr>
          <w:sz w:val="20"/>
          <w:szCs w:val="20"/>
        </w:rPr>
        <w:instrText xml:space="preserve"> NOTEREF _Ref291334476 \h </w:instrText>
      </w:r>
      <w:r w:rsidRPr="00742B66">
        <w:rPr>
          <w:sz w:val="20"/>
          <w:szCs w:val="20"/>
        </w:rPr>
      </w:r>
      <w:r w:rsidRPr="00742B66">
        <w:rPr>
          <w:sz w:val="20"/>
          <w:szCs w:val="20"/>
        </w:rPr>
        <w:fldChar w:fldCharType="separate"/>
      </w:r>
      <w:r>
        <w:rPr>
          <w:sz w:val="20"/>
          <w:szCs w:val="20"/>
        </w:rPr>
        <w:t>27</w:t>
      </w:r>
      <w:r w:rsidRPr="00742B66">
        <w:rPr>
          <w:sz w:val="20"/>
          <w:szCs w:val="20"/>
        </w:rPr>
        <w:fldChar w:fldCharType="end"/>
      </w:r>
      <w:r w:rsidRPr="00742B66">
        <w:rPr>
          <w:sz w:val="20"/>
          <w:szCs w:val="20"/>
        </w:rPr>
        <w:t xml:space="preserve"> at 459 (arguing that inuring too close to the civil/political/social distinction risks assimilating the arguments of the “victors of Reconstruction” who “rejected social rights and federal authority to enforce them,” a position best exemplified by </w:t>
      </w:r>
      <w:r w:rsidRPr="00742B66">
        <w:rPr>
          <w:i/>
          <w:sz w:val="20"/>
          <w:szCs w:val="20"/>
        </w:rPr>
        <w:t>The Civil Rights Cases</w:t>
      </w:r>
      <w:r>
        <w:rPr>
          <w:sz w:val="20"/>
          <w:szCs w:val="20"/>
        </w:rPr>
        <w:t>)</w:t>
      </w:r>
      <w:r w:rsidRPr="00742B66">
        <w:rPr>
          <w:sz w:val="20"/>
          <w:szCs w:val="20"/>
        </w:rPr>
        <w:t xml:space="preserve">. There is an important and growing literature on the way the war has been remembered and commemorated through often-contradictory narratives in the nineteenth and twentieth centuries. </w:t>
      </w:r>
      <w:r w:rsidRPr="00742B66">
        <w:rPr>
          <w:i/>
          <w:sz w:val="20"/>
          <w:szCs w:val="20"/>
        </w:rPr>
        <w:t>See, e.g.</w:t>
      </w:r>
      <w:r w:rsidRPr="00742B66">
        <w:rPr>
          <w:sz w:val="20"/>
          <w:szCs w:val="20"/>
        </w:rPr>
        <w:t xml:space="preserve">, </w:t>
      </w:r>
      <w:r w:rsidRPr="00742B66">
        <w:rPr>
          <w:smallCaps/>
          <w:sz w:val="20"/>
          <w:szCs w:val="20"/>
        </w:rPr>
        <w:t xml:space="preserve">David W. Blight, American Oracle: The Civil War in the Civil Rights Era </w:t>
      </w:r>
      <w:r w:rsidRPr="00742B66">
        <w:rPr>
          <w:sz w:val="20"/>
          <w:szCs w:val="20"/>
        </w:rPr>
        <w:t xml:space="preserve">(2013); </w:t>
      </w:r>
      <w:r w:rsidRPr="00742B66">
        <w:rPr>
          <w:smallCaps/>
          <w:sz w:val="20"/>
          <w:szCs w:val="20"/>
        </w:rPr>
        <w:t>David W. Blight, Beyond the Battlefield: Race, Memory, and the American Civil War</w:t>
      </w:r>
      <w:r w:rsidRPr="00742B66">
        <w:rPr>
          <w:sz w:val="20"/>
          <w:szCs w:val="20"/>
        </w:rPr>
        <w:t xml:space="preserve"> (2002); </w:t>
      </w:r>
      <w:r w:rsidRPr="00742B66">
        <w:rPr>
          <w:smallCaps/>
          <w:sz w:val="20"/>
          <w:szCs w:val="20"/>
        </w:rPr>
        <w:t xml:space="preserve">Peggy Cooper Davis, Neglected Stories: The Constitution and Family Values </w:t>
      </w:r>
      <w:r w:rsidRPr="00742B66">
        <w:rPr>
          <w:sz w:val="20"/>
          <w:szCs w:val="20"/>
        </w:rPr>
        <w:t xml:space="preserve">(1997); </w:t>
      </w:r>
      <w:r w:rsidRPr="00742B66">
        <w:rPr>
          <w:smallCaps/>
          <w:sz w:val="20"/>
          <w:szCs w:val="20"/>
        </w:rPr>
        <w:t xml:space="preserve">The Memory of the Civil War in American Culture </w:t>
      </w:r>
      <w:r w:rsidRPr="00742B66">
        <w:rPr>
          <w:sz w:val="20"/>
          <w:szCs w:val="20"/>
        </w:rPr>
        <w:t xml:space="preserve">(Alice </w:t>
      </w:r>
      <w:proofErr w:type="spellStart"/>
      <w:r w:rsidRPr="00742B66">
        <w:rPr>
          <w:sz w:val="20"/>
          <w:szCs w:val="20"/>
        </w:rPr>
        <w:t>Fahs</w:t>
      </w:r>
      <w:proofErr w:type="spellEnd"/>
      <w:r w:rsidRPr="00742B66">
        <w:rPr>
          <w:sz w:val="20"/>
          <w:szCs w:val="20"/>
        </w:rPr>
        <w:t xml:space="preserve"> &amp; Joan Waugh eds</w:t>
      </w:r>
      <w:proofErr w:type="gramStart"/>
      <w:r w:rsidRPr="00742B66">
        <w:rPr>
          <w:sz w:val="20"/>
          <w:szCs w:val="20"/>
        </w:rPr>
        <w:t>.,</w:t>
      </w:r>
      <w:proofErr w:type="gramEnd"/>
      <w:r w:rsidRPr="00742B66">
        <w:rPr>
          <w:sz w:val="20"/>
          <w:szCs w:val="20"/>
        </w:rPr>
        <w:t xml:space="preserve"> 2004); </w:t>
      </w:r>
      <w:proofErr w:type="spellStart"/>
      <w:r w:rsidRPr="00742B66">
        <w:rPr>
          <w:sz w:val="20"/>
          <w:szCs w:val="20"/>
        </w:rPr>
        <w:t>Foner</w:t>
      </w:r>
      <w:proofErr w:type="spellEnd"/>
      <w:r w:rsidRPr="00742B66">
        <w:rPr>
          <w:sz w:val="20"/>
          <w:szCs w:val="20"/>
        </w:rPr>
        <w:t xml:space="preserve">, </w:t>
      </w:r>
      <w:r w:rsidRPr="00742B66">
        <w:rPr>
          <w:i/>
          <w:sz w:val="20"/>
          <w:szCs w:val="20"/>
        </w:rPr>
        <w:t>supra</w:t>
      </w:r>
      <w:r w:rsidRPr="00742B66">
        <w:rPr>
          <w:sz w:val="20"/>
          <w:szCs w:val="20"/>
        </w:rPr>
        <w:t xml:space="preserve">; Gross, </w:t>
      </w:r>
      <w:r>
        <w:rPr>
          <w:i/>
          <w:sz w:val="20"/>
          <w:szCs w:val="20"/>
        </w:rPr>
        <w:t>supra</w:t>
      </w:r>
      <w:r w:rsidRPr="00742B66">
        <w:rPr>
          <w:sz w:val="20"/>
          <w:szCs w:val="20"/>
        </w:rPr>
        <w:t>.</w:t>
      </w:r>
    </w:p>
  </w:footnote>
  <w:footnote w:id="31">
    <w:p w14:paraId="1DCDED92"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Davis</w:t>
      </w:r>
      <w:r w:rsidRPr="00742B66">
        <w:rPr>
          <w:sz w:val="20"/>
          <w:szCs w:val="20"/>
        </w:rPr>
        <w:t xml:space="preserve">, </w:t>
      </w:r>
      <w:r w:rsidRPr="00742B66">
        <w:rPr>
          <w:i/>
          <w:sz w:val="20"/>
          <w:szCs w:val="20"/>
        </w:rPr>
        <w:t>supra</w:t>
      </w:r>
      <w:r w:rsidRPr="00742B66">
        <w:rPr>
          <w:sz w:val="20"/>
          <w:szCs w:val="20"/>
        </w:rPr>
        <w:t xml:space="preserve"> note </w:t>
      </w:r>
      <w:r w:rsidRPr="00742B66">
        <w:rPr>
          <w:sz w:val="20"/>
          <w:szCs w:val="20"/>
        </w:rPr>
        <w:fldChar w:fldCharType="begin"/>
      </w:r>
      <w:r w:rsidRPr="00742B66">
        <w:rPr>
          <w:sz w:val="20"/>
          <w:szCs w:val="20"/>
        </w:rPr>
        <w:instrText xml:space="preserve"> NOTEREF _Ref291272874 \h </w:instrText>
      </w:r>
      <w:r w:rsidRPr="00742B66">
        <w:rPr>
          <w:sz w:val="20"/>
          <w:szCs w:val="20"/>
        </w:rPr>
      </w:r>
      <w:r w:rsidRPr="00742B66">
        <w:rPr>
          <w:sz w:val="20"/>
          <w:szCs w:val="20"/>
        </w:rPr>
        <w:fldChar w:fldCharType="separate"/>
      </w:r>
      <w:r>
        <w:rPr>
          <w:sz w:val="20"/>
          <w:szCs w:val="20"/>
        </w:rPr>
        <w:t>30</w:t>
      </w:r>
      <w:r w:rsidRPr="00742B66">
        <w:rPr>
          <w:sz w:val="20"/>
          <w:szCs w:val="20"/>
        </w:rPr>
        <w:fldChar w:fldCharType="end"/>
      </w:r>
      <w:r w:rsidRPr="00742B66">
        <w:rPr>
          <w:sz w:val="20"/>
          <w:szCs w:val="20"/>
        </w:rPr>
        <w:t>.</w:t>
      </w:r>
    </w:p>
  </w:footnote>
  <w:footnote w:id="32">
    <w:p w14:paraId="001FC6FF"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U.S. Const.</w:t>
      </w:r>
      <w:r w:rsidRPr="00742B66">
        <w:rPr>
          <w:sz w:val="20"/>
          <w:szCs w:val="20"/>
        </w:rPr>
        <w:t xml:space="preserve"> </w:t>
      </w:r>
      <w:proofErr w:type="gramStart"/>
      <w:r w:rsidRPr="00742B66">
        <w:rPr>
          <w:sz w:val="20"/>
          <w:szCs w:val="20"/>
        </w:rPr>
        <w:t>amend</w:t>
      </w:r>
      <w:proofErr w:type="gramEnd"/>
      <w:r w:rsidRPr="00742B66">
        <w:rPr>
          <w:sz w:val="20"/>
          <w:szCs w:val="20"/>
        </w:rPr>
        <w:t xml:space="preserve">. </w:t>
      </w:r>
      <w:proofErr w:type="gramStart"/>
      <w:r w:rsidRPr="00742B66">
        <w:rPr>
          <w:sz w:val="20"/>
          <w:szCs w:val="20"/>
        </w:rPr>
        <w:t>XIII, § 1.</w:t>
      </w:r>
      <w:proofErr w:type="gramEnd"/>
      <w:r w:rsidRPr="00742B66">
        <w:rPr>
          <w:sz w:val="20"/>
          <w:szCs w:val="20"/>
        </w:rPr>
        <w:t xml:space="preserve"> Of course, there is the intermediate clause, “except as a punishment for crime whereof the party shall have been duly convicted,” which cries out for scrutiny but bears little relation to this essay’s purpose and thus will remain fodder for future investigation. </w:t>
      </w:r>
      <w:r w:rsidRPr="00742B66">
        <w:rPr>
          <w:i/>
          <w:sz w:val="20"/>
          <w:szCs w:val="20"/>
        </w:rPr>
        <w:t>Id.</w:t>
      </w:r>
    </w:p>
  </w:footnote>
  <w:footnote w:id="33">
    <w:p w14:paraId="5E21C6A7"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 xml:space="preserve">See </w:t>
      </w:r>
      <w:r w:rsidRPr="00742B66">
        <w:rPr>
          <w:sz w:val="20"/>
          <w:szCs w:val="20"/>
        </w:rPr>
        <w:t xml:space="preserve">Emancipation Proclamation, Exec. Order No. 17, 12 Stat. 1268 (applying only to the “states and parts of states” in rebellion); </w:t>
      </w:r>
      <w:r w:rsidRPr="00742B66">
        <w:rPr>
          <w:i/>
          <w:sz w:val="20"/>
          <w:szCs w:val="20"/>
        </w:rPr>
        <w:t xml:space="preserve">infra </w:t>
      </w:r>
      <w:r w:rsidRPr="00742B66">
        <w:rPr>
          <w:sz w:val="20"/>
          <w:szCs w:val="20"/>
        </w:rPr>
        <w:t xml:space="preserve">notes </w:t>
      </w:r>
      <w:r w:rsidRPr="00742B66">
        <w:rPr>
          <w:sz w:val="20"/>
          <w:szCs w:val="20"/>
        </w:rPr>
        <w:fldChar w:fldCharType="begin"/>
      </w:r>
      <w:r w:rsidRPr="00742B66">
        <w:rPr>
          <w:sz w:val="20"/>
          <w:szCs w:val="20"/>
        </w:rPr>
        <w:instrText xml:space="preserve"> NOTEREF _Ref291416648 \h </w:instrText>
      </w:r>
      <w:r w:rsidRPr="00742B66">
        <w:rPr>
          <w:sz w:val="20"/>
          <w:szCs w:val="20"/>
        </w:rPr>
      </w:r>
      <w:r w:rsidRPr="00742B66">
        <w:rPr>
          <w:sz w:val="20"/>
          <w:szCs w:val="20"/>
        </w:rPr>
        <w:fldChar w:fldCharType="separate"/>
      </w:r>
      <w:r>
        <w:rPr>
          <w:sz w:val="20"/>
          <w:szCs w:val="20"/>
        </w:rPr>
        <w:t>37</w:t>
      </w:r>
      <w:r w:rsidRPr="00742B66">
        <w:rPr>
          <w:sz w:val="20"/>
          <w:szCs w:val="20"/>
        </w:rPr>
        <w:fldChar w:fldCharType="end"/>
      </w:r>
      <w:r w:rsidRPr="00742B66">
        <w:rPr>
          <w:sz w:val="20"/>
          <w:szCs w:val="20"/>
        </w:rPr>
        <w:t>–</w:t>
      </w:r>
      <w:r w:rsidRPr="00742B66">
        <w:rPr>
          <w:sz w:val="20"/>
          <w:szCs w:val="20"/>
        </w:rPr>
        <w:fldChar w:fldCharType="begin"/>
      </w:r>
      <w:r w:rsidRPr="00742B66">
        <w:rPr>
          <w:sz w:val="20"/>
          <w:szCs w:val="20"/>
        </w:rPr>
        <w:instrText xml:space="preserve"> NOTEREF _Ref291416674 \h </w:instrText>
      </w:r>
      <w:r w:rsidRPr="00742B66">
        <w:rPr>
          <w:sz w:val="20"/>
          <w:szCs w:val="20"/>
        </w:rPr>
      </w:r>
      <w:r w:rsidRPr="00742B66">
        <w:rPr>
          <w:sz w:val="20"/>
          <w:szCs w:val="20"/>
        </w:rPr>
        <w:fldChar w:fldCharType="separate"/>
      </w:r>
      <w:r>
        <w:rPr>
          <w:sz w:val="20"/>
          <w:szCs w:val="20"/>
        </w:rPr>
        <w:t>38</w:t>
      </w:r>
      <w:r w:rsidRPr="00742B66">
        <w:rPr>
          <w:sz w:val="20"/>
          <w:szCs w:val="20"/>
        </w:rPr>
        <w:fldChar w:fldCharType="end"/>
      </w:r>
      <w:r w:rsidRPr="00742B66">
        <w:rPr>
          <w:sz w:val="20"/>
          <w:szCs w:val="20"/>
        </w:rPr>
        <w:t xml:space="preserve">; </w:t>
      </w:r>
      <w:proofErr w:type="spellStart"/>
      <w:r w:rsidRPr="00742B66">
        <w:rPr>
          <w:smallCaps/>
          <w:sz w:val="20"/>
          <w:szCs w:val="20"/>
        </w:rPr>
        <w:t>Foner</w:t>
      </w:r>
      <w:proofErr w:type="spellEnd"/>
      <w:r w:rsidRPr="00742B66">
        <w:rPr>
          <w:smallCaps/>
          <w:sz w:val="20"/>
          <w:szCs w:val="20"/>
        </w:rPr>
        <w:t xml:space="preserve">, </w:t>
      </w:r>
      <w:r>
        <w:rPr>
          <w:i/>
          <w:sz w:val="20"/>
          <w:szCs w:val="20"/>
        </w:rPr>
        <w:t xml:space="preserve">supra </w:t>
      </w:r>
      <w:r>
        <w:rPr>
          <w:sz w:val="20"/>
          <w:szCs w:val="20"/>
        </w:rPr>
        <w:t xml:space="preserve">note </w:t>
      </w:r>
      <w:r>
        <w:rPr>
          <w:sz w:val="20"/>
          <w:szCs w:val="20"/>
        </w:rPr>
        <w:fldChar w:fldCharType="begin"/>
      </w:r>
      <w:r>
        <w:rPr>
          <w:sz w:val="20"/>
          <w:szCs w:val="20"/>
        </w:rPr>
        <w:instrText xml:space="preserve"> NOTEREF _Ref291520820 \h </w:instrText>
      </w:r>
      <w:r>
        <w:rPr>
          <w:sz w:val="20"/>
          <w:szCs w:val="20"/>
        </w:rPr>
      </w:r>
      <w:r>
        <w:rPr>
          <w:sz w:val="20"/>
          <w:szCs w:val="20"/>
        </w:rPr>
        <w:fldChar w:fldCharType="separate"/>
      </w:r>
      <w:r>
        <w:rPr>
          <w:sz w:val="20"/>
          <w:szCs w:val="20"/>
        </w:rPr>
        <w:t>28</w:t>
      </w:r>
      <w:r>
        <w:rPr>
          <w:sz w:val="20"/>
          <w:szCs w:val="20"/>
        </w:rPr>
        <w:fldChar w:fldCharType="end"/>
      </w:r>
      <w:r>
        <w:rPr>
          <w:sz w:val="20"/>
          <w:szCs w:val="20"/>
        </w:rPr>
        <w:t xml:space="preserve">, </w:t>
      </w:r>
      <w:r w:rsidRPr="00742B66">
        <w:rPr>
          <w:sz w:val="20"/>
          <w:szCs w:val="20"/>
        </w:rPr>
        <w:t xml:space="preserve">at 77 (“Freedom came in different ways to different parts of the South. In large areas, slavery had disintegrated long before Lee’s surrender, but elsewhere, far from the presence of federal troops, blacks did not learn of its irrevocable end until the spring of 1865.”); Downs, </w:t>
      </w:r>
      <w:r>
        <w:rPr>
          <w:i/>
          <w:sz w:val="20"/>
          <w:szCs w:val="20"/>
        </w:rPr>
        <w:t xml:space="preserve">supra </w:t>
      </w:r>
      <w:r>
        <w:rPr>
          <w:sz w:val="20"/>
          <w:szCs w:val="20"/>
        </w:rPr>
        <w:t xml:space="preserve">note </w:t>
      </w:r>
      <w:r>
        <w:rPr>
          <w:sz w:val="20"/>
          <w:szCs w:val="20"/>
        </w:rPr>
        <w:fldChar w:fldCharType="begin"/>
      </w:r>
      <w:r>
        <w:rPr>
          <w:sz w:val="20"/>
          <w:szCs w:val="20"/>
        </w:rPr>
        <w:instrText xml:space="preserve"> NOTEREF _Ref291272874 \h </w:instrText>
      </w:r>
      <w:r>
        <w:rPr>
          <w:sz w:val="20"/>
          <w:szCs w:val="20"/>
        </w:rPr>
      </w:r>
      <w:r>
        <w:rPr>
          <w:sz w:val="20"/>
          <w:szCs w:val="20"/>
        </w:rPr>
        <w:fldChar w:fldCharType="separate"/>
      </w:r>
      <w:r>
        <w:rPr>
          <w:sz w:val="20"/>
          <w:szCs w:val="20"/>
        </w:rPr>
        <w:t>30</w:t>
      </w:r>
      <w:r>
        <w:rPr>
          <w:sz w:val="20"/>
          <w:szCs w:val="20"/>
        </w:rPr>
        <w:fldChar w:fldCharType="end"/>
      </w:r>
      <w:r w:rsidRPr="00742B66">
        <w:rPr>
          <w:sz w:val="20"/>
          <w:szCs w:val="20"/>
        </w:rPr>
        <w:t xml:space="preserve"> at SR12 (“[</w:t>
      </w:r>
      <w:proofErr w:type="gramStart"/>
      <w:r w:rsidRPr="00742B66">
        <w:rPr>
          <w:sz w:val="20"/>
          <w:szCs w:val="20"/>
        </w:rPr>
        <w:t>F]</w:t>
      </w:r>
      <w:proofErr w:type="spellStart"/>
      <w:r w:rsidRPr="00742B66">
        <w:rPr>
          <w:sz w:val="20"/>
          <w:szCs w:val="20"/>
        </w:rPr>
        <w:t>ighting</w:t>
      </w:r>
      <w:proofErr w:type="spellEnd"/>
      <w:proofErr w:type="gramEnd"/>
      <w:r w:rsidRPr="00742B66">
        <w:rPr>
          <w:sz w:val="20"/>
          <w:szCs w:val="20"/>
        </w:rPr>
        <w:t xml:space="preserve"> continue</w:t>
      </w:r>
      <w:r>
        <w:rPr>
          <w:sz w:val="20"/>
          <w:szCs w:val="20"/>
        </w:rPr>
        <w:t>d</w:t>
      </w:r>
      <w:r w:rsidRPr="00742B66">
        <w:rPr>
          <w:sz w:val="20"/>
          <w:szCs w:val="20"/>
        </w:rPr>
        <w:t xml:space="preserve"> in pockets for weeks, but in other ways the United States extended the war for more than five years after Appomattox. . . . [</w:t>
      </w:r>
      <w:proofErr w:type="gramStart"/>
      <w:r w:rsidRPr="00742B66">
        <w:rPr>
          <w:sz w:val="20"/>
          <w:szCs w:val="20"/>
        </w:rPr>
        <w:t>T]he</w:t>
      </w:r>
      <w:proofErr w:type="gramEnd"/>
      <w:r w:rsidRPr="00742B66">
        <w:rPr>
          <w:sz w:val="20"/>
          <w:szCs w:val="20"/>
        </w:rPr>
        <w:t xml:space="preserve"> federal government fought against white Southern insurgency that relied on murder and intimidation to undo the gains of the war.”).</w:t>
      </w:r>
    </w:p>
  </w:footnote>
  <w:footnote w:id="34">
    <w:p w14:paraId="50CEE057" w14:textId="77777777" w:rsidR="00E667D7" w:rsidRPr="00742B66" w:rsidRDefault="00E667D7" w:rsidP="00742B66">
      <w:pPr>
        <w:spacing w:after="240"/>
        <w:rPr>
          <w:rFonts w:eastAsia="Times New Roman"/>
          <w:sz w:val="20"/>
          <w:szCs w:val="20"/>
        </w:rPr>
      </w:pPr>
      <w:r w:rsidRPr="00742B66">
        <w:rPr>
          <w:rStyle w:val="FootnoteReference"/>
          <w:sz w:val="20"/>
          <w:szCs w:val="20"/>
        </w:rPr>
        <w:footnoteRef/>
      </w:r>
      <w:r w:rsidRPr="00742B66">
        <w:rPr>
          <w:sz w:val="20"/>
          <w:szCs w:val="20"/>
        </w:rPr>
        <w:t xml:space="preserve"> Butchers’ Benevolent Assoc. v. Crescent City </w:t>
      </w:r>
      <w:proofErr w:type="gramStart"/>
      <w:r w:rsidRPr="00742B66">
        <w:rPr>
          <w:sz w:val="20"/>
          <w:szCs w:val="20"/>
        </w:rPr>
        <w:t>Live-Stock</w:t>
      </w:r>
      <w:proofErr w:type="gramEnd"/>
      <w:r w:rsidRPr="00742B66">
        <w:rPr>
          <w:sz w:val="20"/>
          <w:szCs w:val="20"/>
        </w:rPr>
        <w:t xml:space="preserve"> Landing and Slaughter-House Co. (</w:t>
      </w:r>
      <w:r w:rsidRPr="00742B66">
        <w:rPr>
          <w:i/>
          <w:sz w:val="20"/>
          <w:szCs w:val="20"/>
        </w:rPr>
        <w:t>The Slaughter-House Cases</w:t>
      </w:r>
      <w:r w:rsidRPr="00742B66">
        <w:rPr>
          <w:sz w:val="20"/>
          <w:szCs w:val="20"/>
        </w:rPr>
        <w:t>), 83 U.S. 36, 51 (1872)</w:t>
      </w:r>
      <w:r w:rsidRPr="00742B66">
        <w:rPr>
          <w:rFonts w:eastAsia="Times New Roman"/>
          <w:sz w:val="20"/>
          <w:szCs w:val="20"/>
        </w:rPr>
        <w:t>.</w:t>
      </w:r>
    </w:p>
  </w:footnote>
  <w:footnote w:id="35">
    <w:p w14:paraId="2B815282"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sz w:val="20"/>
          <w:szCs w:val="20"/>
        </w:rPr>
        <w:t xml:space="preserve">Jack M. </w:t>
      </w:r>
      <w:proofErr w:type="spellStart"/>
      <w:r w:rsidRPr="00742B66">
        <w:rPr>
          <w:sz w:val="20"/>
          <w:szCs w:val="20"/>
        </w:rPr>
        <w:t>Balkin</w:t>
      </w:r>
      <w:proofErr w:type="spellEnd"/>
      <w:r w:rsidRPr="00742B66">
        <w:rPr>
          <w:sz w:val="20"/>
          <w:szCs w:val="20"/>
        </w:rPr>
        <w:t xml:space="preserve"> &amp; Sanford Levinson, </w:t>
      </w:r>
      <w:r w:rsidRPr="00742B66">
        <w:rPr>
          <w:i/>
          <w:sz w:val="20"/>
          <w:szCs w:val="20"/>
        </w:rPr>
        <w:t>The Dangerous Thirteenth Amendment</w:t>
      </w:r>
      <w:r w:rsidRPr="00742B66">
        <w:rPr>
          <w:sz w:val="20"/>
          <w:szCs w:val="20"/>
        </w:rPr>
        <w:t xml:space="preserve">, 112 </w:t>
      </w:r>
      <w:r w:rsidRPr="00742B66">
        <w:rPr>
          <w:smallCaps/>
          <w:sz w:val="20"/>
          <w:szCs w:val="20"/>
        </w:rPr>
        <w:t>Colum.</w:t>
      </w:r>
      <w:proofErr w:type="gramEnd"/>
      <w:r w:rsidRPr="00742B66">
        <w:rPr>
          <w:smallCaps/>
          <w:sz w:val="20"/>
          <w:szCs w:val="20"/>
        </w:rPr>
        <w:t xml:space="preserve"> L. Rev.</w:t>
      </w:r>
      <w:r w:rsidRPr="00742B66">
        <w:rPr>
          <w:sz w:val="20"/>
          <w:szCs w:val="20"/>
        </w:rPr>
        <w:t xml:space="preserve"> 1459, 1480 (2012).</w:t>
      </w:r>
    </w:p>
  </w:footnote>
  <w:footnote w:id="36">
    <w:p w14:paraId="1B470418"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 xml:space="preserve">See </w:t>
      </w:r>
      <w:r w:rsidRPr="00742B66">
        <w:rPr>
          <w:sz w:val="20"/>
          <w:szCs w:val="20"/>
        </w:rPr>
        <w:t xml:space="preserve">Northwest Ordinance of 1787, </w:t>
      </w:r>
      <w:proofErr w:type="spellStart"/>
      <w:r w:rsidRPr="00742B66">
        <w:rPr>
          <w:sz w:val="20"/>
          <w:szCs w:val="20"/>
        </w:rPr>
        <w:t>ch.</w:t>
      </w:r>
      <w:proofErr w:type="spellEnd"/>
      <w:r w:rsidRPr="00742B66">
        <w:rPr>
          <w:sz w:val="20"/>
          <w:szCs w:val="20"/>
        </w:rPr>
        <w:t xml:space="preserve"> 8, art. VI, 1 Stat. 50, 53 (“There shall be neither slavery nor involuntary servitude in the said territory, otherwise than in the punishment of crimes, whereof the party shall have been duly convicted . . </w:t>
      </w:r>
      <w:proofErr w:type="gramStart"/>
      <w:r w:rsidRPr="00742B66">
        <w:rPr>
          <w:sz w:val="20"/>
          <w:szCs w:val="20"/>
        </w:rPr>
        <w:t>. .</w:t>
      </w:r>
      <w:proofErr w:type="gramEnd"/>
      <w:r w:rsidRPr="00742B66">
        <w:rPr>
          <w:sz w:val="20"/>
          <w:szCs w:val="20"/>
        </w:rPr>
        <w:t xml:space="preserve">”). </w:t>
      </w:r>
    </w:p>
  </w:footnote>
  <w:footnote w:id="37">
    <w:p w14:paraId="0E74CF69"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An Act for the Release of Certain Persons held to Service or Labor in the District of Columbia, </w:t>
      </w:r>
      <w:proofErr w:type="spellStart"/>
      <w:r w:rsidRPr="00742B66">
        <w:rPr>
          <w:sz w:val="20"/>
          <w:szCs w:val="20"/>
        </w:rPr>
        <w:t>ch.</w:t>
      </w:r>
      <w:proofErr w:type="spellEnd"/>
      <w:r w:rsidRPr="00742B66">
        <w:rPr>
          <w:sz w:val="20"/>
          <w:szCs w:val="20"/>
        </w:rPr>
        <w:t xml:space="preserve"> 54, 12 Stat. 376, 376 (1862) (declaring “neither slavery nor involuntary servitude” shall exist in the District).</w:t>
      </w:r>
    </w:p>
  </w:footnote>
  <w:footnote w:id="38">
    <w:p w14:paraId="32459595"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An Act to Secure Freedom to All Persons within the Territories of the United States, </w:t>
      </w:r>
      <w:proofErr w:type="spellStart"/>
      <w:r w:rsidRPr="00742B66">
        <w:rPr>
          <w:sz w:val="20"/>
          <w:szCs w:val="20"/>
        </w:rPr>
        <w:t>ch.</w:t>
      </w:r>
      <w:proofErr w:type="spellEnd"/>
      <w:r w:rsidRPr="00742B66">
        <w:rPr>
          <w:sz w:val="20"/>
          <w:szCs w:val="20"/>
        </w:rPr>
        <w:t xml:space="preserve"> 111, 12 Stat. 432, 432 (1862) (“[</w:t>
      </w:r>
      <w:proofErr w:type="gramStart"/>
      <w:r w:rsidRPr="00742B66">
        <w:rPr>
          <w:sz w:val="20"/>
          <w:szCs w:val="20"/>
        </w:rPr>
        <w:t>T]here</w:t>
      </w:r>
      <w:proofErr w:type="gramEnd"/>
      <w:r w:rsidRPr="00742B66">
        <w:rPr>
          <w:sz w:val="20"/>
          <w:szCs w:val="20"/>
        </w:rPr>
        <w:t xml:space="preserve"> shall be neither slavery nor involuntary servitude in any of the Territories of the United States now existing . . . .”).</w:t>
      </w:r>
    </w:p>
  </w:footnote>
  <w:footnote w:id="39">
    <w:p w14:paraId="328855F0"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spellStart"/>
      <w:r w:rsidRPr="00742B66">
        <w:rPr>
          <w:sz w:val="20"/>
          <w:szCs w:val="20"/>
        </w:rPr>
        <w:t>Balkin</w:t>
      </w:r>
      <w:proofErr w:type="spellEnd"/>
      <w:r w:rsidRPr="00742B66">
        <w:rPr>
          <w:sz w:val="20"/>
          <w:szCs w:val="20"/>
        </w:rPr>
        <w:t xml:space="preserve"> &amp; Levinson, </w:t>
      </w:r>
      <w:r>
        <w:rPr>
          <w:i/>
          <w:sz w:val="20"/>
          <w:szCs w:val="20"/>
        </w:rPr>
        <w:t>su</w:t>
      </w:r>
      <w:r w:rsidRPr="00742B66">
        <w:rPr>
          <w:i/>
          <w:sz w:val="20"/>
          <w:szCs w:val="20"/>
        </w:rPr>
        <w:t>p</w:t>
      </w:r>
      <w:r>
        <w:rPr>
          <w:i/>
          <w:sz w:val="20"/>
          <w:szCs w:val="20"/>
        </w:rPr>
        <w:t>r</w:t>
      </w:r>
      <w:r w:rsidRPr="00742B66">
        <w:rPr>
          <w:i/>
          <w:sz w:val="20"/>
          <w:szCs w:val="20"/>
        </w:rPr>
        <w:t>a</w:t>
      </w:r>
      <w:r w:rsidRPr="00742B66">
        <w:rPr>
          <w:sz w:val="20"/>
          <w:szCs w:val="20"/>
        </w:rPr>
        <w:t xml:space="preserve"> note </w:t>
      </w:r>
      <w:r w:rsidRPr="00742B66">
        <w:rPr>
          <w:sz w:val="20"/>
          <w:szCs w:val="20"/>
        </w:rPr>
        <w:fldChar w:fldCharType="begin"/>
      </w:r>
      <w:r w:rsidRPr="00742B66">
        <w:rPr>
          <w:sz w:val="20"/>
          <w:szCs w:val="20"/>
        </w:rPr>
        <w:instrText xml:space="preserve"> NOTEREF _Ref291446684 \h </w:instrText>
      </w:r>
      <w:r w:rsidRPr="00742B66">
        <w:rPr>
          <w:sz w:val="20"/>
          <w:szCs w:val="20"/>
        </w:rPr>
      </w:r>
      <w:r w:rsidRPr="00742B66">
        <w:rPr>
          <w:sz w:val="20"/>
          <w:szCs w:val="20"/>
        </w:rPr>
        <w:fldChar w:fldCharType="separate"/>
      </w:r>
      <w:r>
        <w:rPr>
          <w:sz w:val="20"/>
          <w:szCs w:val="20"/>
        </w:rPr>
        <w:t>35</w:t>
      </w:r>
      <w:r w:rsidRPr="00742B66">
        <w:rPr>
          <w:sz w:val="20"/>
          <w:szCs w:val="20"/>
        </w:rPr>
        <w:fldChar w:fldCharType="end"/>
      </w:r>
      <w:r w:rsidRPr="00742B66">
        <w:rPr>
          <w:sz w:val="20"/>
          <w:szCs w:val="20"/>
        </w:rPr>
        <w:t xml:space="preserve">, at 1478–79. The language of the 1878 Ordinance had the benefit of being drafted by Thomas Jefferson, author of the Declaration of Independence, and founder of the </w:t>
      </w:r>
      <w:r>
        <w:rPr>
          <w:sz w:val="20"/>
          <w:szCs w:val="20"/>
        </w:rPr>
        <w:t>precursor</w:t>
      </w:r>
      <w:r w:rsidRPr="00742B66">
        <w:rPr>
          <w:sz w:val="20"/>
          <w:szCs w:val="20"/>
        </w:rPr>
        <w:t xml:space="preserve"> to the Democratic Party. </w:t>
      </w:r>
      <w:r w:rsidRPr="00742B66">
        <w:rPr>
          <w:i/>
          <w:sz w:val="20"/>
          <w:szCs w:val="20"/>
        </w:rPr>
        <w:t xml:space="preserve">Id. </w:t>
      </w:r>
      <w:r w:rsidRPr="00742B66">
        <w:rPr>
          <w:sz w:val="20"/>
          <w:szCs w:val="20"/>
        </w:rPr>
        <w:t xml:space="preserve">Perhaps this would and did buy some political capital with “War Democrats,” including Vice President Andrew Johnson, </w:t>
      </w:r>
      <w:r w:rsidRPr="00742B66">
        <w:rPr>
          <w:i/>
          <w:sz w:val="20"/>
          <w:szCs w:val="20"/>
        </w:rPr>
        <w:t>id</w:t>
      </w:r>
      <w:proofErr w:type="gramStart"/>
      <w:r w:rsidRPr="00742B66">
        <w:rPr>
          <w:i/>
          <w:sz w:val="20"/>
          <w:szCs w:val="20"/>
        </w:rPr>
        <w:t>.</w:t>
      </w:r>
      <w:r w:rsidRPr="00742B66">
        <w:rPr>
          <w:sz w:val="20"/>
          <w:szCs w:val="20"/>
        </w:rPr>
        <w:t>;</w:t>
      </w:r>
      <w:proofErr w:type="gramEnd"/>
      <w:r w:rsidRPr="00742B66">
        <w:rPr>
          <w:sz w:val="20"/>
          <w:szCs w:val="20"/>
        </w:rPr>
        <w:t xml:space="preserve"> the Declaration also held a peculiar place in the black political imagination. In 1776, </w:t>
      </w:r>
      <w:proofErr w:type="spellStart"/>
      <w:r w:rsidRPr="00742B66">
        <w:rPr>
          <w:sz w:val="20"/>
          <w:szCs w:val="20"/>
        </w:rPr>
        <w:t>Lemuel</w:t>
      </w:r>
      <w:proofErr w:type="spellEnd"/>
      <w:r w:rsidRPr="00742B66">
        <w:rPr>
          <w:sz w:val="20"/>
          <w:szCs w:val="20"/>
        </w:rPr>
        <w:t xml:space="preserve"> Haynes, a newly freed indentured servant</w:t>
      </w:r>
      <w:r>
        <w:rPr>
          <w:sz w:val="20"/>
          <w:szCs w:val="20"/>
        </w:rPr>
        <w:t xml:space="preserve"> and the illegitimate son of a black father and white mother</w:t>
      </w:r>
      <w:r w:rsidRPr="00742B66">
        <w:rPr>
          <w:sz w:val="20"/>
          <w:szCs w:val="20"/>
        </w:rPr>
        <w:t xml:space="preserve">, composed an addendum to the Declaration of Independence, a document he entitled “Liberty Further Extended.” </w:t>
      </w:r>
      <w:proofErr w:type="spellStart"/>
      <w:r w:rsidRPr="003C6FB6">
        <w:rPr>
          <w:smallCaps/>
          <w:sz w:val="20"/>
          <w:szCs w:val="20"/>
        </w:rPr>
        <w:t>Lemuel</w:t>
      </w:r>
      <w:proofErr w:type="spellEnd"/>
      <w:r w:rsidRPr="003C6FB6">
        <w:rPr>
          <w:smallCaps/>
          <w:sz w:val="20"/>
          <w:szCs w:val="20"/>
        </w:rPr>
        <w:t xml:space="preserve"> Haynes, Liberty Further Extended</w:t>
      </w:r>
      <w:r>
        <w:rPr>
          <w:sz w:val="20"/>
          <w:szCs w:val="20"/>
        </w:rPr>
        <w:t xml:space="preserve">, </w:t>
      </w:r>
      <w:r>
        <w:rPr>
          <w:i/>
          <w:sz w:val="20"/>
          <w:szCs w:val="20"/>
        </w:rPr>
        <w:t xml:space="preserve">reprinted in </w:t>
      </w:r>
      <w:r w:rsidRPr="00975487">
        <w:rPr>
          <w:sz w:val="20"/>
          <w:szCs w:val="20"/>
        </w:rPr>
        <w:t>Black</w:t>
      </w:r>
      <w:r>
        <w:rPr>
          <w:sz w:val="20"/>
          <w:szCs w:val="20"/>
        </w:rPr>
        <w:t xml:space="preserve"> </w:t>
      </w:r>
      <w:r w:rsidRPr="003C6FB6">
        <w:rPr>
          <w:smallCaps/>
          <w:sz w:val="20"/>
          <w:szCs w:val="20"/>
        </w:rPr>
        <w:t>Preacher to White America</w:t>
      </w:r>
      <w:r>
        <w:rPr>
          <w:smallCaps/>
          <w:sz w:val="20"/>
          <w:szCs w:val="20"/>
        </w:rPr>
        <w:t xml:space="preserve"> </w:t>
      </w:r>
      <w:r w:rsidRPr="003C6FB6">
        <w:rPr>
          <w:sz w:val="20"/>
          <w:szCs w:val="20"/>
        </w:rPr>
        <w:t xml:space="preserve">xi, </w:t>
      </w:r>
      <w:r>
        <w:rPr>
          <w:smallCaps/>
          <w:sz w:val="20"/>
          <w:szCs w:val="20"/>
        </w:rPr>
        <w:t>17</w:t>
      </w:r>
      <w:r>
        <w:rPr>
          <w:sz w:val="20"/>
          <w:szCs w:val="20"/>
        </w:rPr>
        <w:t xml:space="preserve"> (Richard Newman ed., 1990)</w:t>
      </w:r>
      <w:r w:rsidRPr="00742B66">
        <w:rPr>
          <w:sz w:val="20"/>
          <w:szCs w:val="20"/>
        </w:rPr>
        <w:t>. Opening his manuscript with the Declaration of Independence, which had</w:t>
      </w:r>
      <w:r>
        <w:rPr>
          <w:sz w:val="20"/>
          <w:szCs w:val="20"/>
        </w:rPr>
        <w:t xml:space="preserve"> been</w:t>
      </w:r>
      <w:r w:rsidRPr="00742B66">
        <w:rPr>
          <w:sz w:val="20"/>
          <w:szCs w:val="20"/>
        </w:rPr>
        <w:t xml:space="preserve"> issued earlier that summer, he then declared “it cannot Be </w:t>
      </w:r>
      <w:proofErr w:type="spellStart"/>
      <w:r w:rsidRPr="00742B66">
        <w:rPr>
          <w:sz w:val="20"/>
          <w:szCs w:val="20"/>
        </w:rPr>
        <w:t>tho’t</w:t>
      </w:r>
      <w:proofErr w:type="spellEnd"/>
      <w:r w:rsidRPr="00742B66">
        <w:rPr>
          <w:sz w:val="20"/>
          <w:szCs w:val="20"/>
        </w:rPr>
        <w:t xml:space="preserve"> impertinent for us to turn an eye into our own Breast, for a little moment, and See, whether thro some inadvertency, or a self-contradicted Spirit, we Do not find the monster Lurking in our own Bosom.” </w:t>
      </w:r>
      <w:r w:rsidRPr="00742B66">
        <w:rPr>
          <w:i/>
          <w:sz w:val="20"/>
          <w:szCs w:val="20"/>
        </w:rPr>
        <w:t>Id.</w:t>
      </w:r>
      <w:r w:rsidRPr="00742B66">
        <w:rPr>
          <w:sz w:val="20"/>
          <w:szCs w:val="20"/>
        </w:rPr>
        <w:t xml:space="preserve"> He observed, a much “greater oppression” than the injustices that spurred the colonists into dissent: “the practice of </w:t>
      </w:r>
      <w:r w:rsidRPr="00742B66">
        <w:rPr>
          <w:i/>
          <w:sz w:val="20"/>
          <w:szCs w:val="20"/>
        </w:rPr>
        <w:t>Slave-keeping</w:t>
      </w:r>
      <w:r w:rsidRPr="00742B66">
        <w:rPr>
          <w:sz w:val="20"/>
          <w:szCs w:val="20"/>
        </w:rPr>
        <w:t xml:space="preserve">.” </w:t>
      </w:r>
      <w:r w:rsidRPr="00742B66">
        <w:rPr>
          <w:i/>
          <w:sz w:val="20"/>
          <w:szCs w:val="20"/>
        </w:rPr>
        <w:t>Id.</w:t>
      </w:r>
      <w:r w:rsidRPr="00742B66">
        <w:rPr>
          <w:sz w:val="20"/>
          <w:szCs w:val="20"/>
        </w:rPr>
        <w:t xml:space="preserve"> Similarly, Frederick Douglas, when speaking on July 5, 1852, queried his northern white audience whether they mocked him in extending an invitation to an ex-slave and non-citizen to speak in honor of the Declaration of Independence. </w:t>
      </w:r>
      <w:proofErr w:type="spellStart"/>
      <w:r w:rsidRPr="00742B66">
        <w:rPr>
          <w:smallCaps/>
          <w:sz w:val="20"/>
          <w:szCs w:val="20"/>
        </w:rPr>
        <w:t>Tillet</w:t>
      </w:r>
      <w:proofErr w:type="spellEnd"/>
      <w:r w:rsidRPr="00742B66">
        <w:rPr>
          <w:smallCaps/>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_Ref291436620 \h </w:instrText>
      </w:r>
      <w:r w:rsidRPr="00742B66">
        <w:rPr>
          <w:sz w:val="20"/>
          <w:szCs w:val="20"/>
        </w:rPr>
      </w:r>
      <w:r w:rsidRPr="00742B66">
        <w:rPr>
          <w:sz w:val="20"/>
          <w:szCs w:val="20"/>
        </w:rPr>
        <w:fldChar w:fldCharType="separate"/>
      </w:r>
      <w:r>
        <w:rPr>
          <w:sz w:val="20"/>
          <w:szCs w:val="20"/>
        </w:rPr>
        <w:t>18</w:t>
      </w:r>
      <w:r w:rsidRPr="00742B66">
        <w:rPr>
          <w:sz w:val="20"/>
          <w:szCs w:val="20"/>
        </w:rPr>
        <w:fldChar w:fldCharType="end"/>
      </w:r>
      <w:r w:rsidRPr="00742B66">
        <w:rPr>
          <w:sz w:val="20"/>
          <w:szCs w:val="20"/>
        </w:rPr>
        <w:t>, at 11. Deep was the irony of the democratic ideal enshrined in the Declaration and the stubborn refusal of the Republic to live up to it.</w:t>
      </w:r>
    </w:p>
  </w:footnote>
  <w:footnote w:id="40">
    <w:p w14:paraId="3355A5BD"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spellStart"/>
      <w:r w:rsidRPr="00742B66">
        <w:rPr>
          <w:sz w:val="20"/>
          <w:szCs w:val="20"/>
        </w:rPr>
        <w:t>Balkin</w:t>
      </w:r>
      <w:proofErr w:type="spellEnd"/>
      <w:r w:rsidRPr="00742B66">
        <w:rPr>
          <w:sz w:val="20"/>
          <w:szCs w:val="20"/>
        </w:rPr>
        <w:t xml:space="preserve"> &amp; Levinson, </w:t>
      </w:r>
      <w:r>
        <w:rPr>
          <w:i/>
          <w:sz w:val="20"/>
          <w:szCs w:val="20"/>
        </w:rPr>
        <w:t>supra</w:t>
      </w:r>
      <w:r w:rsidRPr="00742B66">
        <w:rPr>
          <w:sz w:val="20"/>
          <w:szCs w:val="20"/>
        </w:rPr>
        <w:t xml:space="preserve"> note </w:t>
      </w:r>
      <w:r w:rsidRPr="00742B66">
        <w:rPr>
          <w:sz w:val="20"/>
          <w:szCs w:val="20"/>
        </w:rPr>
        <w:fldChar w:fldCharType="begin"/>
      </w:r>
      <w:r w:rsidRPr="00742B66">
        <w:rPr>
          <w:sz w:val="20"/>
          <w:szCs w:val="20"/>
        </w:rPr>
        <w:instrText xml:space="preserve"> NOTEREF _Ref291446684 \h </w:instrText>
      </w:r>
      <w:r w:rsidRPr="00742B66">
        <w:rPr>
          <w:sz w:val="20"/>
          <w:szCs w:val="20"/>
        </w:rPr>
      </w:r>
      <w:r w:rsidRPr="00742B66">
        <w:rPr>
          <w:sz w:val="20"/>
          <w:szCs w:val="20"/>
        </w:rPr>
        <w:fldChar w:fldCharType="separate"/>
      </w:r>
      <w:r>
        <w:rPr>
          <w:sz w:val="20"/>
          <w:szCs w:val="20"/>
        </w:rPr>
        <w:t>35</w:t>
      </w:r>
      <w:r w:rsidRPr="00742B66">
        <w:rPr>
          <w:sz w:val="20"/>
          <w:szCs w:val="20"/>
        </w:rPr>
        <w:fldChar w:fldCharType="end"/>
      </w:r>
      <w:r w:rsidRPr="00742B66">
        <w:rPr>
          <w:sz w:val="20"/>
          <w:szCs w:val="20"/>
        </w:rPr>
        <w:t xml:space="preserve">, at 1480 (citing </w:t>
      </w:r>
      <w:r w:rsidRPr="00742B66">
        <w:rPr>
          <w:smallCaps/>
          <w:sz w:val="20"/>
          <w:szCs w:val="20"/>
        </w:rPr>
        <w:t xml:space="preserve">Jack M. </w:t>
      </w:r>
      <w:proofErr w:type="spellStart"/>
      <w:r w:rsidRPr="00742B66">
        <w:rPr>
          <w:smallCaps/>
          <w:sz w:val="20"/>
          <w:szCs w:val="20"/>
        </w:rPr>
        <w:t>Balkin</w:t>
      </w:r>
      <w:proofErr w:type="spellEnd"/>
      <w:r w:rsidRPr="00742B66">
        <w:rPr>
          <w:smallCaps/>
          <w:sz w:val="20"/>
          <w:szCs w:val="20"/>
        </w:rPr>
        <w:t xml:space="preserve">, Living </w:t>
      </w:r>
      <w:proofErr w:type="spellStart"/>
      <w:r w:rsidRPr="00742B66">
        <w:rPr>
          <w:smallCaps/>
          <w:sz w:val="20"/>
          <w:szCs w:val="20"/>
        </w:rPr>
        <w:t>Originalism</w:t>
      </w:r>
      <w:proofErr w:type="spellEnd"/>
      <w:r w:rsidRPr="00742B66">
        <w:rPr>
          <w:sz w:val="20"/>
          <w:szCs w:val="20"/>
        </w:rPr>
        <w:t xml:space="preserve"> 23, 199–200, 228–29, 256–58, 268–70, 333, 342 n.2 (2011) (showing use of history for purposes of construction)). </w:t>
      </w:r>
    </w:p>
  </w:footnote>
  <w:footnote w:id="41">
    <w:p w14:paraId="77C41D6C"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 xml:space="preserve">Id. </w:t>
      </w:r>
      <w:r w:rsidRPr="00742B66">
        <w:rPr>
          <w:sz w:val="20"/>
          <w:szCs w:val="20"/>
        </w:rPr>
        <w:t>at 1480.</w:t>
      </w:r>
      <w:proofErr w:type="gramEnd"/>
      <w:r w:rsidRPr="00742B66">
        <w:rPr>
          <w:sz w:val="20"/>
          <w:szCs w:val="20"/>
        </w:rPr>
        <w:t xml:space="preserve"> They also suggest that such a temporal disjunction is idiosyncratic and strains any reasonable concept of original public meaning, but it is hardly unprecedented. </w:t>
      </w:r>
      <w:r w:rsidRPr="00742B66">
        <w:rPr>
          <w:i/>
          <w:sz w:val="20"/>
          <w:szCs w:val="20"/>
        </w:rPr>
        <w:t xml:space="preserve">See id. </w:t>
      </w:r>
      <w:proofErr w:type="gramStart"/>
      <w:r w:rsidRPr="00742B66">
        <w:rPr>
          <w:sz w:val="20"/>
          <w:szCs w:val="20"/>
        </w:rPr>
        <w:t>at</w:t>
      </w:r>
      <w:proofErr w:type="gramEnd"/>
      <w:r w:rsidRPr="00742B66">
        <w:rPr>
          <w:sz w:val="20"/>
          <w:szCs w:val="20"/>
        </w:rPr>
        <w:t xml:space="preserve"> 1479 (highlighting the “interesting interpretive question” it presents); </w:t>
      </w:r>
      <w:r w:rsidRPr="00742B66">
        <w:rPr>
          <w:i/>
          <w:sz w:val="20"/>
          <w:szCs w:val="20"/>
        </w:rPr>
        <w:t>see, e.g.</w:t>
      </w:r>
      <w:r w:rsidRPr="00742B66">
        <w:rPr>
          <w:sz w:val="20"/>
          <w:szCs w:val="20"/>
        </w:rPr>
        <w:t xml:space="preserve">, District of Columbia v. Heller, 554 U.S. 570, 608 (2008) (turning to the 1688 English Bill of Rights for guidance on whether, in 1791, the public understanding of the right to bear arms encompassed an individual right of self defense); Brown v. </w:t>
      </w:r>
      <w:proofErr w:type="spellStart"/>
      <w:r w:rsidRPr="00742B66">
        <w:rPr>
          <w:sz w:val="20"/>
          <w:szCs w:val="20"/>
        </w:rPr>
        <w:t>Entm’t</w:t>
      </w:r>
      <w:proofErr w:type="spellEnd"/>
      <w:r w:rsidRPr="00742B66">
        <w:rPr>
          <w:sz w:val="20"/>
          <w:szCs w:val="20"/>
        </w:rPr>
        <w:t xml:space="preserve"> Merchants </w:t>
      </w:r>
      <w:proofErr w:type="spellStart"/>
      <w:r w:rsidRPr="00742B66">
        <w:rPr>
          <w:sz w:val="20"/>
          <w:szCs w:val="20"/>
        </w:rPr>
        <w:t>Ass’n</w:t>
      </w:r>
      <w:proofErr w:type="spellEnd"/>
      <w:r w:rsidRPr="00742B66">
        <w:rPr>
          <w:sz w:val="20"/>
          <w:szCs w:val="20"/>
        </w:rPr>
        <w:t>, 131 S. Ct. 2729, 2751–53 (2011) (Thomas, J., dissenting) (looking at Puritan parent</w:t>
      </w:r>
      <w:r>
        <w:rPr>
          <w:sz w:val="20"/>
          <w:szCs w:val="20"/>
        </w:rPr>
        <w:t>al</w:t>
      </w:r>
      <w:r w:rsidRPr="00742B66">
        <w:rPr>
          <w:sz w:val="20"/>
          <w:szCs w:val="20"/>
        </w:rPr>
        <w:t xml:space="preserve"> practices from the turn of the eighteenth century to understand whether, as originally understood, the First Amendment’s protection against laws “abridging the freedom of speech” extended to all speech); </w:t>
      </w:r>
      <w:r w:rsidRPr="00742B66">
        <w:rPr>
          <w:i/>
          <w:sz w:val="20"/>
          <w:szCs w:val="20"/>
        </w:rPr>
        <w:t xml:space="preserve">cf. </w:t>
      </w:r>
      <w:r w:rsidRPr="00742B66">
        <w:rPr>
          <w:smallCaps/>
          <w:sz w:val="20"/>
          <w:szCs w:val="20"/>
        </w:rPr>
        <w:t>Kurt T. Lash,</w:t>
      </w:r>
      <w:r w:rsidRPr="00742B66">
        <w:rPr>
          <w:sz w:val="20"/>
          <w:szCs w:val="20"/>
        </w:rPr>
        <w:t xml:space="preserve"> </w:t>
      </w:r>
      <w:r w:rsidRPr="00742B66">
        <w:rPr>
          <w:smallCaps/>
          <w:sz w:val="20"/>
          <w:szCs w:val="20"/>
        </w:rPr>
        <w:t>The Fourteenth Amendment and the Privileges and Immunities of American Citizenship</w:t>
      </w:r>
      <w:r w:rsidRPr="00742B66">
        <w:rPr>
          <w:sz w:val="20"/>
          <w:szCs w:val="20"/>
        </w:rPr>
        <w:t xml:space="preserve"> xii (noting that important to an understanding of the Privileges and Immunities Clause of the Fourteenth Amendment is that it is based on not the Comity Clause in Article IV of the Constitution but the Louisiana Cession Act of 1803 and the understanding of the privileges of citizenship at the turn of the nineteenth century).</w:t>
      </w:r>
    </w:p>
  </w:footnote>
  <w:footnote w:id="42">
    <w:p w14:paraId="39A9A94D"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r w:rsidRPr="00742B66">
        <w:rPr>
          <w:sz w:val="20"/>
          <w:szCs w:val="20"/>
        </w:rPr>
        <w:t xml:space="preserve"> at 1479; </w:t>
      </w:r>
      <w:r w:rsidRPr="00742B66">
        <w:rPr>
          <w:i/>
          <w:sz w:val="20"/>
          <w:szCs w:val="20"/>
        </w:rPr>
        <w:t>see, e.g.</w:t>
      </w:r>
      <w:r w:rsidRPr="00742B66">
        <w:rPr>
          <w:sz w:val="20"/>
          <w:szCs w:val="20"/>
        </w:rPr>
        <w:t xml:space="preserve">, Cong. Globe, 38th Cong. 1st Sess. 1488 (1864) (statement of Sen. James R. Doolittle) (“They are both in the Jeffersonian ordinance.”); </w:t>
      </w:r>
      <w:r w:rsidRPr="00742B66">
        <w:rPr>
          <w:i/>
          <w:sz w:val="20"/>
          <w:szCs w:val="20"/>
        </w:rPr>
        <w:t xml:space="preserve">cf. </w:t>
      </w:r>
      <w:r w:rsidRPr="00742B66">
        <w:rPr>
          <w:sz w:val="20"/>
          <w:szCs w:val="20"/>
        </w:rPr>
        <w:t>Cong. Globe, 37th Cong. 2d Sess. 2942 (1862) (statement of Sen. Charles Sumner) (moving to add the “Jeffersonian ordinance” as a condition for West Virginia’s admission to the Union).</w:t>
      </w:r>
    </w:p>
  </w:footnote>
  <w:footnote w:id="43">
    <w:p w14:paraId="3CD0CC8F"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spellStart"/>
      <w:r w:rsidRPr="00742B66">
        <w:rPr>
          <w:sz w:val="20"/>
          <w:szCs w:val="20"/>
        </w:rPr>
        <w:t>Balkin</w:t>
      </w:r>
      <w:proofErr w:type="spellEnd"/>
      <w:r w:rsidRPr="00742B66">
        <w:rPr>
          <w:sz w:val="20"/>
          <w:szCs w:val="20"/>
        </w:rPr>
        <w:t xml:space="preserve"> &amp; Levinson, </w:t>
      </w:r>
      <w:r>
        <w:rPr>
          <w:i/>
          <w:sz w:val="20"/>
          <w:szCs w:val="20"/>
        </w:rPr>
        <w:t>supra</w:t>
      </w:r>
      <w:r w:rsidRPr="00742B66">
        <w:rPr>
          <w:sz w:val="20"/>
          <w:szCs w:val="20"/>
        </w:rPr>
        <w:t xml:space="preserve"> note </w:t>
      </w:r>
      <w:r w:rsidRPr="00742B66">
        <w:rPr>
          <w:sz w:val="20"/>
          <w:szCs w:val="20"/>
        </w:rPr>
        <w:fldChar w:fldCharType="begin"/>
      </w:r>
      <w:r w:rsidRPr="00742B66">
        <w:rPr>
          <w:sz w:val="20"/>
          <w:szCs w:val="20"/>
        </w:rPr>
        <w:instrText xml:space="preserve"> NOTEREF _Ref291446684 \h </w:instrText>
      </w:r>
      <w:r w:rsidRPr="00742B66">
        <w:rPr>
          <w:sz w:val="20"/>
          <w:szCs w:val="20"/>
        </w:rPr>
      </w:r>
      <w:r w:rsidRPr="00742B66">
        <w:rPr>
          <w:sz w:val="20"/>
          <w:szCs w:val="20"/>
        </w:rPr>
        <w:fldChar w:fldCharType="separate"/>
      </w:r>
      <w:r>
        <w:rPr>
          <w:sz w:val="20"/>
          <w:szCs w:val="20"/>
        </w:rPr>
        <w:t>35</w:t>
      </w:r>
      <w:r w:rsidRPr="00742B66">
        <w:rPr>
          <w:sz w:val="20"/>
          <w:szCs w:val="20"/>
        </w:rPr>
        <w:fldChar w:fldCharType="end"/>
      </w:r>
      <w:r w:rsidRPr="00742B66">
        <w:rPr>
          <w:sz w:val="20"/>
          <w:szCs w:val="20"/>
        </w:rPr>
        <w:t>, at 1481.</w:t>
      </w:r>
    </w:p>
  </w:footnote>
  <w:footnote w:id="44">
    <w:p w14:paraId="31445EC5"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Id.</w:t>
      </w:r>
      <w:r w:rsidRPr="00742B66">
        <w:rPr>
          <w:sz w:val="20"/>
          <w:szCs w:val="20"/>
        </w:rPr>
        <w:t xml:space="preserve"> at 1462; 1481–86.</w:t>
      </w:r>
      <w:proofErr w:type="gramEnd"/>
      <w:r w:rsidRPr="00742B66">
        <w:rPr>
          <w:sz w:val="20"/>
          <w:szCs w:val="20"/>
        </w:rPr>
        <w:t xml:space="preserve"> Although he was the keeper of enslaved persons, within the deep logic of the Declaration, it would have been internally consistent for Jefferson, as he did, to propose a clause “reprobating the enslaving of the inhabitants of Africa.” </w:t>
      </w:r>
      <w:r w:rsidRPr="00742B66">
        <w:rPr>
          <w:smallCaps/>
          <w:sz w:val="20"/>
          <w:szCs w:val="20"/>
        </w:rPr>
        <w:t xml:space="preserve">Alexander </w:t>
      </w:r>
      <w:proofErr w:type="spellStart"/>
      <w:r w:rsidRPr="00742B66">
        <w:rPr>
          <w:smallCaps/>
          <w:sz w:val="20"/>
          <w:szCs w:val="20"/>
        </w:rPr>
        <w:t>Tsesis</w:t>
      </w:r>
      <w:proofErr w:type="spellEnd"/>
      <w:r w:rsidRPr="00742B66">
        <w:rPr>
          <w:smallCaps/>
          <w:sz w:val="20"/>
          <w:szCs w:val="20"/>
        </w:rPr>
        <w:t xml:space="preserve">, For Liberty and Equality: The Life and Times of the Declaration of Independence </w:t>
      </w:r>
      <w:r w:rsidRPr="00742B66">
        <w:rPr>
          <w:sz w:val="20"/>
          <w:szCs w:val="20"/>
        </w:rPr>
        <w:t xml:space="preserve">18 (2012). Of greater moment than Jefferson’s consternation at the “pusillanimous idea” of striking passages upbraiding the English people was Congress’s willingness to eliminate the passage to placate South Carolina and Georgia slave importers. </w:t>
      </w:r>
      <w:r w:rsidRPr="00742B66">
        <w:rPr>
          <w:i/>
          <w:sz w:val="20"/>
          <w:szCs w:val="20"/>
        </w:rPr>
        <w:t>Id.</w:t>
      </w:r>
      <w:r w:rsidRPr="00742B66">
        <w:rPr>
          <w:sz w:val="20"/>
          <w:szCs w:val="20"/>
        </w:rPr>
        <w:t xml:space="preserve"> </w:t>
      </w:r>
    </w:p>
    <w:p w14:paraId="26F476B9" w14:textId="77777777" w:rsidR="00E667D7" w:rsidRPr="003C6FB6" w:rsidRDefault="00E667D7" w:rsidP="003C6FB6">
      <w:pPr>
        <w:spacing w:after="240"/>
        <w:rPr>
          <w:rFonts w:ascii="Times" w:eastAsia="Times New Roman" w:hAnsi="Times"/>
          <w:b/>
          <w:sz w:val="20"/>
          <w:szCs w:val="20"/>
        </w:rPr>
      </w:pPr>
      <w:r w:rsidRPr="00742B66">
        <w:rPr>
          <w:sz w:val="20"/>
          <w:szCs w:val="20"/>
        </w:rPr>
        <w:t>While Jefferson thought that slavery had a deleterious moral impact for whites, he believe</w:t>
      </w:r>
      <w:r>
        <w:rPr>
          <w:sz w:val="20"/>
          <w:szCs w:val="20"/>
        </w:rPr>
        <w:t>d</w:t>
      </w:r>
      <w:r w:rsidRPr="00742B66">
        <w:rPr>
          <w:sz w:val="20"/>
          <w:szCs w:val="20"/>
        </w:rPr>
        <w:t xml:space="preserve"> that blacks, inter alia, lacked rational forethought, self control, and a communitarian ethic, partly due to their nature and partly due to their experience as chattel, and these deficits rendered them disloyal to the nation. </w:t>
      </w:r>
      <w:r w:rsidRPr="00742B66">
        <w:rPr>
          <w:smallCaps/>
          <w:sz w:val="20"/>
          <w:szCs w:val="20"/>
        </w:rPr>
        <w:t xml:space="preserve">Thomas </w:t>
      </w:r>
      <w:proofErr w:type="gramStart"/>
      <w:r w:rsidRPr="00742B66">
        <w:rPr>
          <w:smallCaps/>
          <w:sz w:val="20"/>
          <w:szCs w:val="20"/>
        </w:rPr>
        <w:t>Jefferson,</w:t>
      </w:r>
      <w:proofErr w:type="gramEnd"/>
      <w:r w:rsidRPr="00742B66">
        <w:rPr>
          <w:smallCaps/>
          <w:sz w:val="20"/>
          <w:szCs w:val="20"/>
        </w:rPr>
        <w:t xml:space="preserve"> Notes on the State of Virginia 144</w:t>
      </w:r>
      <w:r w:rsidRPr="00742B66">
        <w:rPr>
          <w:sz w:val="20"/>
          <w:szCs w:val="20"/>
        </w:rPr>
        <w:t>–</w:t>
      </w:r>
      <w:r w:rsidRPr="00742B66">
        <w:rPr>
          <w:smallCaps/>
          <w:sz w:val="20"/>
          <w:szCs w:val="20"/>
        </w:rPr>
        <w:t xml:space="preserve">51, </w:t>
      </w:r>
      <w:r w:rsidRPr="00742B66">
        <w:rPr>
          <w:sz w:val="20"/>
          <w:szCs w:val="20"/>
        </w:rPr>
        <w:t>169–71 (Boston, Lilly and Wait 1832) (1785).</w:t>
      </w:r>
      <w:r>
        <w:rPr>
          <w:sz w:val="20"/>
          <w:szCs w:val="20"/>
        </w:rPr>
        <w:t xml:space="preserve"> Jefferson is widely known, however, as the patron saint of federalism, believing that whatever government action necessary to “close the circle of our facilities” could be effectively addressed by the states. </w:t>
      </w:r>
      <w:r w:rsidRPr="003C6FB6">
        <w:rPr>
          <w:sz w:val="20"/>
          <w:szCs w:val="20"/>
        </w:rPr>
        <w:t xml:space="preserve">Jeff Powell, </w:t>
      </w:r>
      <w:r w:rsidRPr="003C6FB6">
        <w:rPr>
          <w:i/>
          <w:sz w:val="20"/>
          <w:szCs w:val="20"/>
        </w:rPr>
        <w:t>The Complete Jeffersonian: Justice Rehnquist and Federalism</w:t>
      </w:r>
      <w:r w:rsidRPr="003C6FB6">
        <w:rPr>
          <w:sz w:val="20"/>
          <w:szCs w:val="20"/>
        </w:rPr>
        <w:t>, 91 Yale L.J. 1317, 1365</w:t>
      </w:r>
      <w:r>
        <w:rPr>
          <w:sz w:val="20"/>
          <w:szCs w:val="20"/>
        </w:rPr>
        <w:t xml:space="preserve"> (citing </w:t>
      </w:r>
      <w:r w:rsidRPr="003C6FB6">
        <w:rPr>
          <w:i/>
          <w:sz w:val="20"/>
          <w:szCs w:val="20"/>
        </w:rPr>
        <w:t>Inaugural Address by President Jefferson</w:t>
      </w:r>
      <w:r>
        <w:rPr>
          <w:sz w:val="20"/>
          <w:szCs w:val="20"/>
        </w:rPr>
        <w:t xml:space="preserve"> (1801), </w:t>
      </w:r>
      <w:r>
        <w:rPr>
          <w:i/>
          <w:sz w:val="20"/>
          <w:szCs w:val="20"/>
        </w:rPr>
        <w:t xml:space="preserve">reprinted in </w:t>
      </w:r>
      <w:r w:rsidRPr="003C6FB6">
        <w:rPr>
          <w:smallCaps/>
          <w:sz w:val="20"/>
          <w:szCs w:val="20"/>
        </w:rPr>
        <w:t>Dumas Malone, Thomas Jefferson as Political Leader</w:t>
      </w:r>
      <w:r>
        <w:rPr>
          <w:sz w:val="20"/>
          <w:szCs w:val="20"/>
        </w:rPr>
        <w:t xml:space="preserve"> 22 (1970)</w:t>
      </w:r>
      <w:r>
        <w:rPr>
          <w:b/>
          <w:sz w:val="20"/>
          <w:szCs w:val="20"/>
        </w:rPr>
        <w:t xml:space="preserve">. </w:t>
      </w:r>
      <w:r>
        <w:rPr>
          <w:sz w:val="20"/>
          <w:szCs w:val="20"/>
        </w:rPr>
        <w:t>I</w:t>
      </w:r>
      <w:r w:rsidRPr="00CB3C32">
        <w:rPr>
          <w:sz w:val="20"/>
          <w:szCs w:val="20"/>
        </w:rPr>
        <w:t>n contrast to Justice Rehnquist</w:t>
      </w:r>
      <w:r>
        <w:rPr>
          <w:sz w:val="20"/>
          <w:szCs w:val="20"/>
        </w:rPr>
        <w:t>, whose focus is almost always on the value of federalism per se</w:t>
      </w:r>
      <w:r w:rsidRPr="00CB3C32">
        <w:rPr>
          <w:sz w:val="20"/>
          <w:szCs w:val="20"/>
        </w:rPr>
        <w:t xml:space="preserve">, </w:t>
      </w:r>
      <w:r w:rsidRPr="003C6FB6">
        <w:rPr>
          <w:sz w:val="20"/>
          <w:szCs w:val="20"/>
        </w:rPr>
        <w:t>Jefferson’s interest in federalism</w:t>
      </w:r>
      <w:r>
        <w:rPr>
          <w:sz w:val="20"/>
          <w:szCs w:val="20"/>
        </w:rPr>
        <w:t>,</w:t>
      </w:r>
      <w:r w:rsidRPr="003C6FB6">
        <w:rPr>
          <w:sz w:val="20"/>
          <w:szCs w:val="20"/>
        </w:rPr>
        <w:t xml:space="preserve"> however</w:t>
      </w:r>
      <w:r>
        <w:rPr>
          <w:sz w:val="20"/>
          <w:szCs w:val="20"/>
        </w:rPr>
        <w:t>,</w:t>
      </w:r>
      <w:r w:rsidRPr="003C6FB6">
        <w:rPr>
          <w:sz w:val="20"/>
          <w:szCs w:val="20"/>
        </w:rPr>
        <w:t xml:space="preserve"> was primarily instrumentalist.</w:t>
      </w:r>
      <w:r>
        <w:rPr>
          <w:sz w:val="20"/>
          <w:szCs w:val="20"/>
        </w:rPr>
        <w:t xml:space="preserve"> </w:t>
      </w:r>
      <w:proofErr w:type="gramStart"/>
      <w:r>
        <w:rPr>
          <w:i/>
          <w:sz w:val="20"/>
          <w:szCs w:val="20"/>
        </w:rPr>
        <w:t>Id.</w:t>
      </w:r>
      <w:r>
        <w:rPr>
          <w:sz w:val="20"/>
          <w:szCs w:val="20"/>
        </w:rPr>
        <w:t xml:space="preserve"> at 1365 </w:t>
      </w:r>
      <w:r w:rsidRPr="00DF4332">
        <w:rPr>
          <w:sz w:val="20"/>
          <w:szCs w:val="20"/>
        </w:rPr>
        <w:t>n.288</w:t>
      </w:r>
      <w:r>
        <w:rPr>
          <w:sz w:val="20"/>
          <w:szCs w:val="20"/>
        </w:rPr>
        <w:t xml:space="preserve">; </w:t>
      </w:r>
      <w:r w:rsidRPr="00D9692C">
        <w:rPr>
          <w:rFonts w:ascii="Times" w:eastAsia="Times New Roman" w:hAnsi="Times"/>
          <w:sz w:val="20"/>
          <w:szCs w:val="20"/>
        </w:rPr>
        <w:t xml:space="preserve">Christopher J. </w:t>
      </w:r>
      <w:proofErr w:type="spellStart"/>
      <w:r w:rsidRPr="00D9692C">
        <w:rPr>
          <w:rFonts w:ascii="Times" w:eastAsia="Times New Roman" w:hAnsi="Times"/>
          <w:sz w:val="20"/>
          <w:szCs w:val="20"/>
        </w:rPr>
        <w:t>Parosa</w:t>
      </w:r>
      <w:proofErr w:type="spellEnd"/>
      <w:r w:rsidRPr="00D9692C">
        <w:rPr>
          <w:rFonts w:ascii="Times" w:eastAsia="Times New Roman" w:hAnsi="Times"/>
          <w:sz w:val="20"/>
          <w:szCs w:val="20"/>
        </w:rPr>
        <w:t xml:space="preserve">, </w:t>
      </w:r>
      <w:r w:rsidRPr="00D9692C">
        <w:rPr>
          <w:rFonts w:ascii="Times" w:eastAsia="Times New Roman" w:hAnsi="Times"/>
          <w:i/>
          <w:iCs/>
          <w:sz w:val="20"/>
          <w:szCs w:val="20"/>
        </w:rPr>
        <w:t>Federalism: Finding Meaning Through Historical Analysis</w:t>
      </w:r>
      <w:r w:rsidRPr="00D9692C">
        <w:rPr>
          <w:rFonts w:ascii="Times" w:eastAsia="Times New Roman" w:hAnsi="Times"/>
          <w:sz w:val="20"/>
          <w:szCs w:val="20"/>
        </w:rPr>
        <w:t xml:space="preserve">, 82 </w:t>
      </w:r>
      <w:r w:rsidRPr="003C6FB6">
        <w:rPr>
          <w:rFonts w:ascii="Times" w:eastAsia="Times New Roman" w:hAnsi="Times"/>
          <w:smallCaps/>
          <w:sz w:val="20"/>
          <w:szCs w:val="20"/>
        </w:rPr>
        <w:t>Or.</w:t>
      </w:r>
      <w:proofErr w:type="gramEnd"/>
      <w:r w:rsidRPr="003C6FB6">
        <w:rPr>
          <w:rFonts w:ascii="Times" w:eastAsia="Times New Roman" w:hAnsi="Times"/>
          <w:smallCaps/>
          <w:sz w:val="20"/>
          <w:szCs w:val="20"/>
        </w:rPr>
        <w:t xml:space="preserve"> L. Rev. </w:t>
      </w:r>
      <w:r w:rsidRPr="00D9692C">
        <w:rPr>
          <w:rFonts w:ascii="Times" w:eastAsia="Times New Roman" w:hAnsi="Times"/>
          <w:sz w:val="20"/>
          <w:szCs w:val="20"/>
        </w:rPr>
        <w:t>119, 120 (2003)</w:t>
      </w:r>
      <w:r>
        <w:rPr>
          <w:sz w:val="20"/>
          <w:szCs w:val="20"/>
        </w:rPr>
        <w:t>. “</w:t>
      </w:r>
      <w:r w:rsidRPr="00626DDE">
        <w:rPr>
          <w:rFonts w:ascii="Times" w:eastAsia="Times New Roman" w:hAnsi="Times"/>
          <w:sz w:val="20"/>
          <w:szCs w:val="20"/>
        </w:rPr>
        <w:t>For Jefferson, the defense of state autonomy and opposition to federal power is always linked to the substantive goals of Jeffersonian republicanism.</w:t>
      </w:r>
      <w:r>
        <w:rPr>
          <w:rFonts w:ascii="Times" w:eastAsia="Times New Roman" w:hAnsi="Times"/>
          <w:sz w:val="20"/>
          <w:szCs w:val="20"/>
        </w:rPr>
        <w:t xml:space="preserve">” </w:t>
      </w:r>
      <w:proofErr w:type="gramStart"/>
      <w:r>
        <w:rPr>
          <w:rFonts w:ascii="Times" w:eastAsia="Times New Roman" w:hAnsi="Times"/>
          <w:sz w:val="20"/>
          <w:szCs w:val="20"/>
        </w:rPr>
        <w:t xml:space="preserve">Power, </w:t>
      </w:r>
      <w:r w:rsidRPr="00D9692C">
        <w:rPr>
          <w:rFonts w:ascii="Times" w:eastAsia="Times New Roman" w:hAnsi="Times"/>
          <w:i/>
          <w:sz w:val="20"/>
          <w:szCs w:val="20"/>
        </w:rPr>
        <w:t>supra</w:t>
      </w:r>
      <w:r>
        <w:rPr>
          <w:rFonts w:ascii="Times" w:eastAsia="Times New Roman" w:hAnsi="Times"/>
          <w:sz w:val="20"/>
          <w:szCs w:val="20"/>
        </w:rPr>
        <w:t xml:space="preserve">, </w:t>
      </w:r>
      <w:r>
        <w:rPr>
          <w:rFonts w:ascii="Times" w:eastAsia="Times New Roman" w:hAnsi="Times"/>
          <w:i/>
          <w:sz w:val="20"/>
          <w:szCs w:val="20"/>
        </w:rPr>
        <w:t>id.</w:t>
      </w:r>
      <w:proofErr w:type="gramEnd"/>
      <w:r>
        <w:rPr>
          <w:rFonts w:ascii="Times" w:eastAsia="Times New Roman" w:hAnsi="Times"/>
          <w:i/>
          <w:sz w:val="20"/>
          <w:szCs w:val="20"/>
        </w:rPr>
        <w:t xml:space="preserve"> </w:t>
      </w:r>
      <w:r>
        <w:rPr>
          <w:rFonts w:ascii="Times" w:eastAsia="Times New Roman" w:hAnsi="Times"/>
          <w:b/>
          <w:sz w:val="20"/>
          <w:szCs w:val="20"/>
        </w:rPr>
        <w:t>[</w:t>
      </w:r>
      <w:proofErr w:type="gramStart"/>
      <w:r>
        <w:rPr>
          <w:rFonts w:ascii="Times" w:eastAsia="Times New Roman" w:hAnsi="Times"/>
          <w:b/>
          <w:sz w:val="20"/>
          <w:szCs w:val="20"/>
        </w:rPr>
        <w:t>develop</w:t>
      </w:r>
      <w:proofErr w:type="gramEnd"/>
      <w:r>
        <w:rPr>
          <w:rFonts w:ascii="Times" w:eastAsia="Times New Roman" w:hAnsi="Times"/>
          <w:b/>
          <w:sz w:val="20"/>
          <w:szCs w:val="20"/>
        </w:rPr>
        <w:t xml:space="preserve"> this discussion; is the Jeffersonian ordinance argument still helpful?] Not clear to me where the ordinance references take you.</w:t>
      </w:r>
    </w:p>
  </w:footnote>
  <w:footnote w:id="45">
    <w:p w14:paraId="0B7B51CE" w14:textId="77777777" w:rsidR="00E667D7" w:rsidRPr="00742B66" w:rsidRDefault="00E667D7" w:rsidP="00742B66">
      <w:pPr>
        <w:pStyle w:val="FootnoteText"/>
        <w:spacing w:after="240"/>
        <w:rPr>
          <w:sz w:val="20"/>
          <w:szCs w:val="20"/>
        </w:rPr>
      </w:pPr>
      <w:r w:rsidRPr="00742B66">
        <w:rPr>
          <w:rStyle w:val="FootnoteReference"/>
          <w:sz w:val="20"/>
          <w:szCs w:val="20"/>
          <w:highlight w:val="yellow"/>
        </w:rPr>
        <w:footnoteRef/>
      </w:r>
      <w:r w:rsidRPr="00742B66">
        <w:rPr>
          <w:sz w:val="20"/>
          <w:szCs w:val="20"/>
          <w:highlight w:val="yellow"/>
        </w:rPr>
        <w:t xml:space="preserve"> </w:t>
      </w:r>
      <w:r w:rsidRPr="00742B66">
        <w:rPr>
          <w:i/>
          <w:sz w:val="20"/>
          <w:szCs w:val="20"/>
          <w:highlight w:val="yellow"/>
        </w:rPr>
        <w:t>Extract of a Letter From a Young Man in the Army at New York, to His Father in Town</w:t>
      </w:r>
      <w:r w:rsidRPr="00742B66">
        <w:rPr>
          <w:sz w:val="20"/>
          <w:szCs w:val="20"/>
          <w:highlight w:val="yellow"/>
        </w:rPr>
        <w:t xml:space="preserve">, </w:t>
      </w:r>
      <w:r w:rsidRPr="00742B66">
        <w:rPr>
          <w:smallCaps/>
          <w:sz w:val="20"/>
          <w:szCs w:val="20"/>
          <w:highlight w:val="yellow"/>
        </w:rPr>
        <w:t xml:space="preserve">Am. </w:t>
      </w:r>
      <w:proofErr w:type="gramStart"/>
      <w:r w:rsidRPr="00742B66">
        <w:rPr>
          <w:smallCaps/>
          <w:sz w:val="20"/>
          <w:szCs w:val="20"/>
          <w:highlight w:val="yellow"/>
        </w:rPr>
        <w:t>Gazette, or, Const. J.</w:t>
      </w:r>
      <w:r w:rsidRPr="00742B66">
        <w:rPr>
          <w:sz w:val="20"/>
          <w:szCs w:val="20"/>
          <w:highlight w:val="yellow"/>
        </w:rPr>
        <w:t xml:space="preserve"> (Salem, Mass.), July 23, 1776, at 24.</w:t>
      </w:r>
      <w:proofErr w:type="gramEnd"/>
    </w:p>
  </w:footnote>
  <w:footnote w:id="46">
    <w:p w14:paraId="14FE00F7"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While </w:t>
      </w:r>
      <w:proofErr w:type="spellStart"/>
      <w:r w:rsidRPr="00742B66">
        <w:rPr>
          <w:sz w:val="20"/>
          <w:szCs w:val="20"/>
        </w:rPr>
        <w:t>Balkin</w:t>
      </w:r>
      <w:proofErr w:type="spellEnd"/>
      <w:r w:rsidRPr="00742B66">
        <w:rPr>
          <w:sz w:val="20"/>
          <w:szCs w:val="20"/>
        </w:rPr>
        <w:t xml:space="preserve"> suggests that the capaciousness of slavery’s meaning may have been what Reconstruction Republicans saw as the intent of </w:t>
      </w:r>
      <w:r>
        <w:rPr>
          <w:sz w:val="20"/>
          <w:szCs w:val="20"/>
        </w:rPr>
        <w:t xml:space="preserve">the </w:t>
      </w:r>
      <w:r w:rsidRPr="00742B66">
        <w:rPr>
          <w:sz w:val="20"/>
          <w:szCs w:val="20"/>
        </w:rPr>
        <w:t xml:space="preserve">Thirteenth Amendment, textual analysis supports the theory. While the Fifteenth Amendment and most of the Fourteenth Amendment are written as restraining state action, </w:t>
      </w:r>
      <w:r w:rsidRPr="00D00C72">
        <w:rPr>
          <w:sz w:val="20"/>
          <w:szCs w:val="20"/>
          <w:highlight w:val="magenta"/>
        </w:rPr>
        <w:t xml:space="preserve">Section 1 of the Thirteenth Amendment and the first clause of the Fourteenth Amendments are constructed differently. Jack M. </w:t>
      </w:r>
      <w:proofErr w:type="spellStart"/>
      <w:r w:rsidRPr="00D00C72">
        <w:rPr>
          <w:sz w:val="20"/>
          <w:szCs w:val="20"/>
          <w:highlight w:val="magenta"/>
        </w:rPr>
        <w:t>Balkin</w:t>
      </w:r>
      <w:proofErr w:type="spellEnd"/>
      <w:r w:rsidRPr="00D00C72">
        <w:rPr>
          <w:sz w:val="20"/>
          <w:szCs w:val="20"/>
          <w:highlight w:val="magenta"/>
        </w:rPr>
        <w:t xml:space="preserve">, </w:t>
      </w:r>
      <w:r w:rsidRPr="00D00C72">
        <w:rPr>
          <w:i/>
          <w:sz w:val="20"/>
          <w:szCs w:val="20"/>
          <w:highlight w:val="magenta"/>
        </w:rPr>
        <w:t>The Reconstruction Power</w:t>
      </w:r>
      <w:r w:rsidRPr="00D00C72">
        <w:rPr>
          <w:sz w:val="20"/>
          <w:szCs w:val="20"/>
          <w:highlight w:val="magenta"/>
        </w:rPr>
        <w:t xml:space="preserve">, 85 </w:t>
      </w:r>
      <w:r w:rsidRPr="00D00C72">
        <w:rPr>
          <w:smallCaps/>
          <w:sz w:val="20"/>
          <w:szCs w:val="20"/>
          <w:highlight w:val="magenta"/>
        </w:rPr>
        <w:t>N.Y.U. L. Rev.</w:t>
      </w:r>
      <w:r w:rsidRPr="00D00C72">
        <w:rPr>
          <w:sz w:val="20"/>
          <w:szCs w:val="20"/>
          <w:highlight w:val="magenta"/>
        </w:rPr>
        <w:t xml:space="preserve"> 1801, 1816 (2010). The two are linked in the sense that the Thirteenth Amendment was an affirmative grant of freedom; the Citizenship Clause was an affirmative grant of citizenship for those born in the United States. </w:t>
      </w:r>
      <w:r w:rsidRPr="00D00C72">
        <w:rPr>
          <w:i/>
          <w:sz w:val="20"/>
          <w:szCs w:val="20"/>
          <w:highlight w:val="magenta"/>
        </w:rPr>
        <w:t>Id.</w:t>
      </w:r>
      <w:r w:rsidRPr="00D00C72">
        <w:rPr>
          <w:sz w:val="20"/>
          <w:szCs w:val="20"/>
          <w:highlight w:val="magenta"/>
        </w:rPr>
        <w:t xml:space="preserve">; </w:t>
      </w:r>
      <w:r w:rsidRPr="00D00C72">
        <w:rPr>
          <w:i/>
          <w:sz w:val="20"/>
          <w:szCs w:val="20"/>
          <w:highlight w:val="magenta"/>
        </w:rPr>
        <w:t xml:space="preserve">see also </w:t>
      </w:r>
      <w:r w:rsidRPr="00D00C72">
        <w:rPr>
          <w:sz w:val="20"/>
          <w:szCs w:val="20"/>
          <w:highlight w:val="magenta"/>
        </w:rPr>
        <w:t xml:space="preserve">Goodwin Liu, </w:t>
      </w:r>
      <w:r w:rsidRPr="00D00C72">
        <w:rPr>
          <w:i/>
          <w:sz w:val="20"/>
          <w:szCs w:val="20"/>
          <w:highlight w:val="magenta"/>
        </w:rPr>
        <w:t>Education, Equality, and National Citizenship</w:t>
      </w:r>
      <w:r w:rsidRPr="00D00C72">
        <w:rPr>
          <w:sz w:val="20"/>
          <w:szCs w:val="20"/>
          <w:highlight w:val="magenta"/>
        </w:rPr>
        <w:t xml:space="preserve">, 116 </w:t>
      </w:r>
      <w:r w:rsidRPr="00D00C72">
        <w:rPr>
          <w:smallCaps/>
          <w:sz w:val="20"/>
          <w:szCs w:val="20"/>
          <w:highlight w:val="magenta"/>
        </w:rPr>
        <w:t>Yale L. J.</w:t>
      </w:r>
      <w:r w:rsidRPr="00D00C72">
        <w:rPr>
          <w:sz w:val="20"/>
          <w:szCs w:val="20"/>
          <w:highlight w:val="magenta"/>
        </w:rPr>
        <w:t xml:space="preserve"> 330, 335 (arguing that the Citizenship Clause “affirmatively declare[s]” a duty for the national government to secure the “full membership, effective participation, and equal dignity” of all citizens); </w:t>
      </w:r>
      <w:r w:rsidRPr="00D00C72">
        <w:rPr>
          <w:b/>
          <w:sz w:val="20"/>
          <w:szCs w:val="20"/>
          <w:highlight w:val="magenta"/>
        </w:rPr>
        <w:t xml:space="preserve">[add additional authority] </w:t>
      </w:r>
      <w:r w:rsidRPr="00D00C72">
        <w:rPr>
          <w:sz w:val="20"/>
          <w:szCs w:val="20"/>
          <w:highlight w:val="magenta"/>
        </w:rPr>
        <w:t xml:space="preserve">The Republicans understood that together, once African Americans became free, they assumed all the rights of citizens. </w:t>
      </w:r>
      <w:proofErr w:type="spellStart"/>
      <w:r w:rsidRPr="00D00C72">
        <w:rPr>
          <w:sz w:val="20"/>
          <w:szCs w:val="20"/>
          <w:highlight w:val="magenta"/>
        </w:rPr>
        <w:t>Balkin</w:t>
      </w:r>
      <w:proofErr w:type="spellEnd"/>
      <w:r w:rsidRPr="00D00C72">
        <w:rPr>
          <w:sz w:val="20"/>
          <w:szCs w:val="20"/>
          <w:highlight w:val="magenta"/>
        </w:rPr>
        <w:t xml:space="preserve">, </w:t>
      </w:r>
      <w:r w:rsidRPr="00D00C72">
        <w:rPr>
          <w:i/>
          <w:sz w:val="20"/>
          <w:szCs w:val="20"/>
          <w:highlight w:val="magenta"/>
        </w:rPr>
        <w:t>supra</w:t>
      </w:r>
      <w:r w:rsidRPr="00D00C72">
        <w:rPr>
          <w:sz w:val="20"/>
          <w:szCs w:val="20"/>
          <w:highlight w:val="magenta"/>
        </w:rPr>
        <w:t>, at 1816 (citing Cong. Globe, 39th Cong., 1st Sess. 474 (1866) (statement of Sen. Trumbull)).</w:t>
      </w:r>
      <w:r>
        <w:rPr>
          <w:sz w:val="20"/>
          <w:szCs w:val="20"/>
        </w:rPr>
        <w:t xml:space="preserve"> </w:t>
      </w:r>
      <w:proofErr w:type="gramStart"/>
      <w:r>
        <w:rPr>
          <w:sz w:val="20"/>
          <w:szCs w:val="20"/>
        </w:rPr>
        <w:t>use</w:t>
      </w:r>
      <w:proofErr w:type="gramEnd"/>
      <w:r>
        <w:rPr>
          <w:sz w:val="20"/>
          <w:szCs w:val="20"/>
        </w:rPr>
        <w:t xml:space="preserve"> these ideas to link 13A and Citizenship/P&amp;I clause arguments??</w:t>
      </w:r>
    </w:p>
  </w:footnote>
  <w:footnote w:id="47">
    <w:p w14:paraId="6F77AEE3"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Leon F. </w:t>
      </w:r>
      <w:proofErr w:type="spellStart"/>
      <w:r w:rsidRPr="00742B66">
        <w:rPr>
          <w:smallCaps/>
          <w:sz w:val="20"/>
          <w:szCs w:val="20"/>
        </w:rPr>
        <w:t>Litwack</w:t>
      </w:r>
      <w:proofErr w:type="spellEnd"/>
      <w:r w:rsidRPr="00742B66">
        <w:rPr>
          <w:smallCaps/>
          <w:sz w:val="20"/>
          <w:szCs w:val="20"/>
        </w:rPr>
        <w:t>, Been in the Storm So Long: The Aftermath of Slavery</w:t>
      </w:r>
      <w:r w:rsidRPr="00742B66">
        <w:rPr>
          <w:sz w:val="20"/>
          <w:szCs w:val="20"/>
        </w:rPr>
        <w:t xml:space="preserve"> xii (1979).</w:t>
      </w:r>
    </w:p>
  </w:footnote>
  <w:footnote w:id="48">
    <w:p w14:paraId="5D7D2C48" w14:textId="77777777" w:rsidR="00E667D7" w:rsidRPr="00742B66" w:rsidRDefault="00E667D7" w:rsidP="00742B66">
      <w:pPr>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smallCaps/>
          <w:sz w:val="20"/>
          <w:szCs w:val="20"/>
        </w:rPr>
        <w:t xml:space="preserve">Ronald E. </w:t>
      </w:r>
      <w:proofErr w:type="spellStart"/>
      <w:r w:rsidRPr="00742B66">
        <w:rPr>
          <w:smallCaps/>
          <w:sz w:val="20"/>
          <w:szCs w:val="20"/>
        </w:rPr>
        <w:t>Butchart</w:t>
      </w:r>
      <w:proofErr w:type="spellEnd"/>
      <w:r w:rsidRPr="00742B66">
        <w:rPr>
          <w:smallCaps/>
          <w:sz w:val="20"/>
          <w:szCs w:val="20"/>
        </w:rPr>
        <w:t>, Northern Schools, Southern Blacks, and Reconstruction, Freedmen’s Education, 1862–1875,</w:t>
      </w:r>
      <w:r w:rsidRPr="00742B66">
        <w:rPr>
          <w:sz w:val="20"/>
          <w:szCs w:val="20"/>
        </w:rPr>
        <w:t xml:space="preserve"> at 15 (1980).</w:t>
      </w:r>
      <w:proofErr w:type="gramEnd"/>
      <w:r w:rsidRPr="00742B66">
        <w:rPr>
          <w:sz w:val="20"/>
          <w:szCs w:val="20"/>
        </w:rPr>
        <w:t xml:space="preserve"> </w:t>
      </w:r>
    </w:p>
  </w:footnote>
  <w:footnote w:id="49">
    <w:p w14:paraId="26189CB3"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sz w:val="20"/>
          <w:szCs w:val="20"/>
        </w:rPr>
        <w:t xml:space="preserve">1 </w:t>
      </w:r>
      <w:r w:rsidRPr="00742B66">
        <w:rPr>
          <w:smallCaps/>
          <w:sz w:val="20"/>
          <w:szCs w:val="20"/>
        </w:rPr>
        <w:t>American Freedman</w:t>
      </w:r>
      <w:r w:rsidRPr="00742B66">
        <w:rPr>
          <w:sz w:val="20"/>
          <w:szCs w:val="20"/>
        </w:rPr>
        <w:t xml:space="preserve"> 3 (N.Y.C. American Freedman’s Union Commission, Apr. 1866).</w:t>
      </w:r>
      <w:proofErr w:type="gramEnd"/>
    </w:p>
  </w:footnote>
  <w:footnote w:id="50">
    <w:p w14:paraId="19405100"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spellStart"/>
      <w:r w:rsidRPr="00742B66">
        <w:rPr>
          <w:smallCaps/>
          <w:sz w:val="20"/>
          <w:szCs w:val="20"/>
        </w:rPr>
        <w:t>Butchart</w:t>
      </w:r>
      <w:proofErr w:type="spellEnd"/>
      <w:r w:rsidRPr="00742B66">
        <w:rPr>
          <w:smallCaps/>
          <w:sz w:val="20"/>
          <w:szCs w:val="20"/>
        </w:rPr>
        <w:t>,</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_Ref291515864 \h </w:instrText>
      </w:r>
      <w:r w:rsidRPr="00742B66">
        <w:rPr>
          <w:sz w:val="20"/>
          <w:szCs w:val="20"/>
        </w:rPr>
      </w:r>
      <w:r w:rsidRPr="00742B66">
        <w:rPr>
          <w:sz w:val="20"/>
          <w:szCs w:val="20"/>
        </w:rPr>
        <w:fldChar w:fldCharType="separate"/>
      </w:r>
      <w:r>
        <w:rPr>
          <w:sz w:val="20"/>
          <w:szCs w:val="20"/>
        </w:rPr>
        <w:t>48</w:t>
      </w:r>
      <w:r w:rsidRPr="00742B66">
        <w:rPr>
          <w:sz w:val="20"/>
          <w:szCs w:val="20"/>
        </w:rPr>
        <w:fldChar w:fldCharType="end"/>
      </w:r>
      <w:r w:rsidRPr="00742B66">
        <w:rPr>
          <w:sz w:val="20"/>
          <w:szCs w:val="20"/>
        </w:rPr>
        <w:t xml:space="preserve">, at 44, 209 n. 108 (2010); </w:t>
      </w:r>
      <w:r w:rsidRPr="00742B66">
        <w:rPr>
          <w:i/>
          <w:sz w:val="20"/>
          <w:szCs w:val="20"/>
        </w:rPr>
        <w:t xml:space="preserve">see also </w:t>
      </w:r>
      <w:r w:rsidRPr="00742B66">
        <w:rPr>
          <w:smallCaps/>
          <w:sz w:val="20"/>
          <w:szCs w:val="20"/>
        </w:rPr>
        <w:t>Salmon P. Chase, et al., The Results of Emancipation in the United States of America</w:t>
      </w:r>
      <w:r w:rsidRPr="00742B66">
        <w:rPr>
          <w:sz w:val="20"/>
          <w:szCs w:val="20"/>
        </w:rPr>
        <w:t xml:space="preserve"> 12 (N.Y.C., Am. Freedman’s Union </w:t>
      </w:r>
      <w:proofErr w:type="spellStart"/>
      <w:r w:rsidRPr="00742B66">
        <w:rPr>
          <w:sz w:val="20"/>
          <w:szCs w:val="20"/>
        </w:rPr>
        <w:t>Comm’n</w:t>
      </w:r>
      <w:proofErr w:type="spellEnd"/>
      <w:r w:rsidRPr="00742B66">
        <w:rPr>
          <w:sz w:val="20"/>
          <w:szCs w:val="20"/>
        </w:rPr>
        <w:t xml:space="preserve"> 1867) (describing the </w:t>
      </w:r>
      <w:proofErr w:type="spellStart"/>
      <w:r w:rsidRPr="00742B66">
        <w:rPr>
          <w:sz w:val="20"/>
          <w:szCs w:val="20"/>
        </w:rPr>
        <w:t>Freepeople</w:t>
      </w:r>
      <w:proofErr w:type="spellEnd"/>
      <w:r w:rsidRPr="00742B66">
        <w:rPr>
          <w:sz w:val="20"/>
          <w:szCs w:val="20"/>
        </w:rPr>
        <w:t xml:space="preserve"> as having “few, if any, friends in the South to advocate their elevation to the rank of citizenship, or their education into the fullness of manhood.”). </w:t>
      </w:r>
    </w:p>
  </w:footnote>
  <w:footnote w:id="51">
    <w:p w14:paraId="53703BE6"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Id.</w:t>
      </w:r>
      <w:r w:rsidRPr="00742B66">
        <w:rPr>
          <w:sz w:val="20"/>
          <w:szCs w:val="20"/>
        </w:rPr>
        <w:t xml:space="preserve"> at 44.</w:t>
      </w:r>
      <w:proofErr w:type="gramEnd"/>
    </w:p>
  </w:footnote>
  <w:footnote w:id="52">
    <w:p w14:paraId="13B6CAA9"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p>
  </w:footnote>
  <w:footnote w:id="53">
    <w:p w14:paraId="668982A5"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Id.</w:t>
      </w:r>
      <w:r w:rsidRPr="00742B66">
        <w:rPr>
          <w:sz w:val="20"/>
          <w:szCs w:val="20"/>
        </w:rPr>
        <w:t xml:space="preserve">; </w:t>
      </w:r>
      <w:r w:rsidRPr="00742B66">
        <w:rPr>
          <w:i/>
          <w:sz w:val="20"/>
          <w:szCs w:val="20"/>
        </w:rPr>
        <w:t>contra Dred Scott</w:t>
      </w:r>
      <w:r w:rsidRPr="00742B66">
        <w:rPr>
          <w:sz w:val="20"/>
          <w:szCs w:val="20"/>
        </w:rPr>
        <w:t>, 60 U.S. (19 How.) 393, 406 (1857) (holding that no State, “by any act or law of its own,” passed since the adoption of the Constitution, could introduce a free or non-free black into the “political community” created by the Constitution).</w:t>
      </w:r>
      <w:proofErr w:type="gramEnd"/>
    </w:p>
  </w:footnote>
  <w:footnote w:id="54">
    <w:p w14:paraId="4465D832"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spellStart"/>
      <w:r w:rsidRPr="00742B66">
        <w:rPr>
          <w:smallCaps/>
          <w:sz w:val="20"/>
          <w:szCs w:val="20"/>
        </w:rPr>
        <w:t>Foner</w:t>
      </w:r>
      <w:proofErr w:type="spellEnd"/>
      <w:r w:rsidRPr="00742B66">
        <w:rPr>
          <w:smallCaps/>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_Ref291520820 \h </w:instrText>
      </w:r>
      <w:r w:rsidRPr="00742B66">
        <w:rPr>
          <w:sz w:val="20"/>
          <w:szCs w:val="20"/>
        </w:rPr>
      </w:r>
      <w:r w:rsidRPr="00742B66">
        <w:rPr>
          <w:sz w:val="20"/>
          <w:szCs w:val="20"/>
        </w:rPr>
        <w:fldChar w:fldCharType="separate"/>
      </w:r>
      <w:r>
        <w:rPr>
          <w:sz w:val="20"/>
          <w:szCs w:val="20"/>
        </w:rPr>
        <w:t>28</w:t>
      </w:r>
      <w:r w:rsidRPr="00742B66">
        <w:rPr>
          <w:sz w:val="20"/>
          <w:szCs w:val="20"/>
        </w:rPr>
        <w:fldChar w:fldCharType="end"/>
      </w:r>
      <w:r w:rsidRPr="00742B66">
        <w:rPr>
          <w:smallCaps/>
          <w:sz w:val="20"/>
          <w:szCs w:val="20"/>
        </w:rPr>
        <w:t xml:space="preserve">, </w:t>
      </w:r>
      <w:r w:rsidRPr="00742B66">
        <w:rPr>
          <w:sz w:val="20"/>
          <w:szCs w:val="20"/>
        </w:rPr>
        <w:t>at 77.</w:t>
      </w:r>
    </w:p>
  </w:footnote>
  <w:footnote w:id="55">
    <w:p w14:paraId="1223D15B" w14:textId="77777777" w:rsidR="00E667D7" w:rsidRPr="00742B66" w:rsidRDefault="00E667D7" w:rsidP="003C6FB6">
      <w:pPr>
        <w:pStyle w:val="FootnoteText"/>
        <w:rPr>
          <w:sz w:val="20"/>
          <w:szCs w:val="20"/>
        </w:rPr>
      </w:pPr>
      <w:r w:rsidRPr="00742B66">
        <w:rPr>
          <w:rStyle w:val="FootnoteReference"/>
          <w:sz w:val="20"/>
          <w:szCs w:val="20"/>
        </w:rPr>
        <w:footnoteRef/>
      </w:r>
      <w:r w:rsidRPr="00742B66">
        <w:rPr>
          <w:sz w:val="20"/>
          <w:szCs w:val="20"/>
        </w:rPr>
        <w:t xml:space="preserve"> </w:t>
      </w:r>
      <w:r w:rsidRPr="00742B66">
        <w:rPr>
          <w:i/>
          <w:iCs/>
          <w:sz w:val="20"/>
          <w:szCs w:val="20"/>
        </w:rPr>
        <w:t>Id.</w:t>
      </w:r>
      <w:r w:rsidRPr="00742B66">
        <w:rPr>
          <w:sz w:val="20"/>
          <w:szCs w:val="20"/>
        </w:rPr>
        <w:t xml:space="preserve"> On July 22, 1862, three months after the end of the Civil War, South Carolinian Julius J. Fleming, a white public figure wrote: “The negroes are to be pitied. The new order of things has burst upon them too suddenly. They were not prepared for it. They do not understand the liberty which has been conferred upon them.” </w:t>
      </w:r>
      <w:r w:rsidRPr="00742B66">
        <w:rPr>
          <w:smallCaps/>
          <w:sz w:val="20"/>
          <w:szCs w:val="20"/>
        </w:rPr>
        <w:t xml:space="preserve">The </w:t>
      </w:r>
      <w:proofErr w:type="spellStart"/>
      <w:r w:rsidRPr="00742B66">
        <w:rPr>
          <w:smallCaps/>
          <w:sz w:val="20"/>
          <w:szCs w:val="20"/>
        </w:rPr>
        <w:t>Juhl</w:t>
      </w:r>
      <w:proofErr w:type="spellEnd"/>
      <w:r w:rsidRPr="00742B66">
        <w:rPr>
          <w:smallCaps/>
          <w:sz w:val="20"/>
          <w:szCs w:val="20"/>
        </w:rPr>
        <w:t xml:space="preserve"> Letters to the “Charleston Courier”: A View of the South, </w:t>
      </w:r>
      <w:r w:rsidRPr="00742B66">
        <w:rPr>
          <w:sz w:val="20"/>
          <w:szCs w:val="20"/>
        </w:rPr>
        <w:t>1865–1871, at 20 (John Hammond Moore ed., 1974)</w:t>
      </w:r>
      <w:proofErr w:type="gramStart"/>
      <w:r w:rsidRPr="00742B66">
        <w:rPr>
          <w:sz w:val="20"/>
          <w:szCs w:val="20"/>
        </w:rPr>
        <w:t>;</w:t>
      </w:r>
      <w:proofErr w:type="gramEnd"/>
      <w:r w:rsidRPr="00742B66">
        <w:rPr>
          <w:sz w:val="20"/>
          <w:szCs w:val="20"/>
        </w:rPr>
        <w:t xml:space="preserve"> </w:t>
      </w:r>
      <w:r w:rsidRPr="00742B66">
        <w:rPr>
          <w:i/>
          <w:sz w:val="20"/>
          <w:szCs w:val="20"/>
        </w:rPr>
        <w:t>see also</w:t>
      </w:r>
      <w:r w:rsidRPr="00742B66">
        <w:rPr>
          <w:sz w:val="20"/>
          <w:szCs w:val="20"/>
        </w:rPr>
        <w:t xml:space="preserve"> </w:t>
      </w:r>
      <w:r w:rsidRPr="00742B66">
        <w:rPr>
          <w:i/>
          <w:sz w:val="20"/>
          <w:szCs w:val="20"/>
        </w:rPr>
        <w:t xml:space="preserve">id. </w:t>
      </w:r>
      <w:r w:rsidRPr="00742B66">
        <w:rPr>
          <w:sz w:val="20"/>
          <w:szCs w:val="20"/>
        </w:rPr>
        <w:t>(“They [the freedmen] certainly need guides and instructors; we might us</w:t>
      </w:r>
      <w:r>
        <w:rPr>
          <w:sz w:val="20"/>
          <w:szCs w:val="20"/>
        </w:rPr>
        <w:t>e</w:t>
      </w:r>
      <w:r w:rsidRPr="00742B66">
        <w:rPr>
          <w:sz w:val="20"/>
          <w:szCs w:val="20"/>
        </w:rPr>
        <w:t xml:space="preserve"> a stronger word and say that, like minors, they need guardians. If left to themselves, uncontrolled, uninstructed, uncared for, we cannot indulge in a very hopeful view of their future.”).</w:t>
      </w:r>
    </w:p>
    <w:p w14:paraId="032345B6" w14:textId="77777777" w:rsidR="00E667D7" w:rsidRPr="00742B66" w:rsidRDefault="00E667D7" w:rsidP="00742B66">
      <w:pPr>
        <w:pStyle w:val="FootnoteText"/>
        <w:spacing w:after="240"/>
        <w:ind w:firstLine="720"/>
        <w:rPr>
          <w:sz w:val="20"/>
          <w:szCs w:val="20"/>
        </w:rPr>
      </w:pPr>
      <w:r w:rsidRPr="00742B66">
        <w:rPr>
          <w:sz w:val="20"/>
          <w:szCs w:val="20"/>
        </w:rPr>
        <w:t xml:space="preserve">These same sentiments, that freed African Americans were </w:t>
      </w:r>
      <w:proofErr w:type="gramStart"/>
      <w:r w:rsidRPr="00742B66">
        <w:rPr>
          <w:sz w:val="20"/>
          <w:szCs w:val="20"/>
        </w:rPr>
        <w:t>ill-suited</w:t>
      </w:r>
      <w:proofErr w:type="gramEnd"/>
      <w:r w:rsidRPr="00742B66">
        <w:rPr>
          <w:sz w:val="20"/>
          <w:szCs w:val="20"/>
        </w:rPr>
        <w:t xml:space="preserve"> for freedom, were carried forward in early historiography of the Civil War. </w:t>
      </w:r>
      <w:r w:rsidRPr="00742B66">
        <w:rPr>
          <w:i/>
          <w:sz w:val="20"/>
          <w:szCs w:val="20"/>
        </w:rPr>
        <w:t>See, e.g.</w:t>
      </w:r>
      <w:r w:rsidRPr="00742B66">
        <w:rPr>
          <w:sz w:val="20"/>
          <w:szCs w:val="20"/>
        </w:rPr>
        <w:t xml:space="preserve">, </w:t>
      </w:r>
      <w:r w:rsidRPr="00742B66">
        <w:rPr>
          <w:smallCaps/>
          <w:sz w:val="20"/>
          <w:szCs w:val="20"/>
        </w:rPr>
        <w:t>Walter L. Fleming, Civil War and Reconstruction in Alabama</w:t>
      </w:r>
      <w:r w:rsidRPr="00742B66">
        <w:rPr>
          <w:sz w:val="20"/>
          <w:szCs w:val="20"/>
        </w:rPr>
        <w:t xml:space="preserve"> 270 (1905) (describing the </w:t>
      </w:r>
      <w:proofErr w:type="spellStart"/>
      <w:r>
        <w:rPr>
          <w:sz w:val="20"/>
          <w:szCs w:val="20"/>
        </w:rPr>
        <w:t>Freepeople</w:t>
      </w:r>
      <w:proofErr w:type="spellEnd"/>
      <w:r w:rsidRPr="00742B66">
        <w:rPr>
          <w:sz w:val="20"/>
          <w:szCs w:val="20"/>
        </w:rPr>
        <w:t xml:space="preserve"> as bright-eyed with child-like naïveté, Walter wrote: “The negro believed, when he became free, that he had entered Paradise, that he never again would be cold or hungry, that he never would have to work unless he chose to, and that he never would have to obey a master,” and he could “live the remainder of his life under the tender care of the government that had freed him”); </w:t>
      </w:r>
      <w:r w:rsidRPr="00742B66">
        <w:rPr>
          <w:smallCaps/>
          <w:sz w:val="20"/>
          <w:szCs w:val="20"/>
          <w:highlight w:val="yellow"/>
        </w:rPr>
        <w:t>Howard K. Beale, The Critical Year: A Study of Andrew Johnson and Reconstruction</w:t>
      </w:r>
      <w:r w:rsidRPr="00742B66">
        <w:rPr>
          <w:sz w:val="20"/>
          <w:szCs w:val="20"/>
          <w:highlight w:val="yellow"/>
        </w:rPr>
        <w:t xml:space="preserve"> 188–89 (1930);</w:t>
      </w:r>
      <w:r w:rsidRPr="00742B66">
        <w:rPr>
          <w:sz w:val="20"/>
          <w:szCs w:val="20"/>
        </w:rPr>
        <w:t xml:space="preserve"> </w:t>
      </w:r>
      <w:r w:rsidRPr="00742B66">
        <w:rPr>
          <w:smallCaps/>
          <w:sz w:val="20"/>
          <w:szCs w:val="20"/>
        </w:rPr>
        <w:t>William C. Harris, Presidential Reconstruction in Mississippi</w:t>
      </w:r>
      <w:r w:rsidRPr="00742B66">
        <w:rPr>
          <w:sz w:val="20"/>
          <w:szCs w:val="20"/>
        </w:rPr>
        <w:t xml:space="preserve"> 80–81 (1967) (“The irresponsible practices and behaviors of the Negroes at the first flush of freedom suggested that their adjustment to postwar conditions would be difficult . . . .”).</w:t>
      </w:r>
    </w:p>
  </w:footnote>
  <w:footnote w:id="56">
    <w:p w14:paraId="7B360CB0"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 xml:space="preserve">See </w:t>
      </w:r>
      <w:r w:rsidRPr="00742B66">
        <w:rPr>
          <w:smallCaps/>
          <w:sz w:val="20"/>
          <w:szCs w:val="20"/>
          <w:highlight w:val="yellow"/>
        </w:rPr>
        <w:t xml:space="preserve">John W. </w:t>
      </w:r>
      <w:proofErr w:type="spellStart"/>
      <w:r w:rsidRPr="00742B66">
        <w:rPr>
          <w:smallCaps/>
          <w:sz w:val="20"/>
          <w:szCs w:val="20"/>
          <w:highlight w:val="yellow"/>
        </w:rPr>
        <w:t>Blassingame</w:t>
      </w:r>
      <w:proofErr w:type="spellEnd"/>
      <w:r w:rsidRPr="00742B66">
        <w:rPr>
          <w:smallCaps/>
          <w:sz w:val="20"/>
          <w:szCs w:val="20"/>
          <w:highlight w:val="yellow"/>
        </w:rPr>
        <w:t>, Slave Testimony</w:t>
      </w:r>
      <w:r w:rsidRPr="00742B66">
        <w:rPr>
          <w:sz w:val="20"/>
          <w:szCs w:val="20"/>
          <w:highlight w:val="yellow"/>
        </w:rPr>
        <w:t xml:space="preserve"> 174 (1977); </w:t>
      </w:r>
      <w:r w:rsidRPr="00742B66">
        <w:rPr>
          <w:smallCaps/>
          <w:sz w:val="20"/>
          <w:szCs w:val="20"/>
        </w:rPr>
        <w:t xml:space="preserve">Elizabeth Hyde </w:t>
      </w:r>
      <w:proofErr w:type="spellStart"/>
      <w:r w:rsidRPr="00742B66">
        <w:rPr>
          <w:smallCaps/>
          <w:sz w:val="20"/>
          <w:szCs w:val="20"/>
        </w:rPr>
        <w:t>Botume</w:t>
      </w:r>
      <w:proofErr w:type="spellEnd"/>
      <w:r w:rsidRPr="00742B66">
        <w:rPr>
          <w:smallCaps/>
          <w:sz w:val="20"/>
          <w:szCs w:val="20"/>
        </w:rPr>
        <w:t>, First Days Amongst Contrabands</w:t>
      </w:r>
      <w:r w:rsidRPr="00742B66">
        <w:rPr>
          <w:sz w:val="20"/>
          <w:szCs w:val="20"/>
        </w:rPr>
        <w:t xml:space="preserve"> 259 (Boston, Lee and Shepard Publishers 1893) (“My Lord, </w:t>
      </w:r>
      <w:proofErr w:type="spellStart"/>
      <w:r w:rsidRPr="00742B66">
        <w:rPr>
          <w:sz w:val="20"/>
          <w:szCs w:val="20"/>
        </w:rPr>
        <w:t>m’am</w:t>
      </w:r>
      <w:proofErr w:type="spellEnd"/>
      <w:r w:rsidRPr="00742B66">
        <w:rPr>
          <w:sz w:val="20"/>
          <w:szCs w:val="20"/>
        </w:rPr>
        <w:t xml:space="preserve">, what a great thing </w:t>
      </w:r>
      <w:proofErr w:type="spellStart"/>
      <w:r w:rsidRPr="00742B66">
        <w:rPr>
          <w:sz w:val="20"/>
          <w:szCs w:val="20"/>
        </w:rPr>
        <w:t>larning</w:t>
      </w:r>
      <w:proofErr w:type="spellEnd"/>
      <w:r w:rsidRPr="00742B66">
        <w:rPr>
          <w:sz w:val="20"/>
          <w:szCs w:val="20"/>
        </w:rPr>
        <w:t xml:space="preserve"> is! In course white folks can do what they likes, for they know so much </w:t>
      </w:r>
      <w:proofErr w:type="spellStart"/>
      <w:r w:rsidRPr="00742B66">
        <w:rPr>
          <w:sz w:val="20"/>
          <w:szCs w:val="20"/>
        </w:rPr>
        <w:t>more’na</w:t>
      </w:r>
      <w:proofErr w:type="spellEnd"/>
      <w:r w:rsidRPr="00742B66">
        <w:rPr>
          <w:sz w:val="20"/>
          <w:szCs w:val="20"/>
        </w:rPr>
        <w:t xml:space="preserve"> we.”).</w:t>
      </w:r>
    </w:p>
  </w:footnote>
  <w:footnote w:id="57">
    <w:p w14:paraId="6391B745"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spellStart"/>
      <w:r w:rsidRPr="00742B66">
        <w:rPr>
          <w:smallCaps/>
          <w:sz w:val="20"/>
          <w:szCs w:val="20"/>
        </w:rPr>
        <w:t>Litwack</w:t>
      </w:r>
      <w:proofErr w:type="spellEnd"/>
      <w:r w:rsidRPr="00742B66">
        <w:rPr>
          <w:smallCaps/>
          <w:sz w:val="20"/>
          <w:szCs w:val="20"/>
        </w:rPr>
        <w:t xml:space="preserve">, </w:t>
      </w:r>
      <w:r w:rsidRPr="00B46277">
        <w:rPr>
          <w:i/>
          <w:sz w:val="20"/>
          <w:szCs w:val="20"/>
        </w:rPr>
        <w:t xml:space="preserve">supra </w:t>
      </w:r>
      <w:r w:rsidRPr="00B46277">
        <w:rPr>
          <w:sz w:val="20"/>
          <w:szCs w:val="20"/>
        </w:rPr>
        <w:t>note</w:t>
      </w:r>
      <w:r>
        <w:rPr>
          <w:smallCaps/>
          <w:sz w:val="20"/>
          <w:szCs w:val="20"/>
        </w:rPr>
        <w:t xml:space="preserve"> </w:t>
      </w:r>
      <w:r>
        <w:rPr>
          <w:sz w:val="20"/>
          <w:szCs w:val="20"/>
        </w:rPr>
        <w:fldChar w:fldCharType="begin"/>
      </w:r>
      <w:r>
        <w:rPr>
          <w:sz w:val="20"/>
          <w:szCs w:val="20"/>
        </w:rPr>
        <w:instrText xml:space="preserve"> NOTEREF _Ref291624652 \h </w:instrText>
      </w:r>
      <w:r>
        <w:rPr>
          <w:sz w:val="20"/>
          <w:szCs w:val="20"/>
        </w:rPr>
      </w:r>
      <w:r>
        <w:rPr>
          <w:sz w:val="20"/>
          <w:szCs w:val="20"/>
        </w:rPr>
        <w:fldChar w:fldCharType="separate"/>
      </w:r>
      <w:r>
        <w:rPr>
          <w:sz w:val="20"/>
          <w:szCs w:val="20"/>
        </w:rPr>
        <w:t>47</w:t>
      </w:r>
      <w:r>
        <w:rPr>
          <w:sz w:val="20"/>
          <w:szCs w:val="20"/>
        </w:rPr>
        <w:fldChar w:fldCharType="end"/>
      </w:r>
      <w:r>
        <w:rPr>
          <w:sz w:val="20"/>
          <w:szCs w:val="20"/>
        </w:rPr>
        <w:t>, at 473</w:t>
      </w:r>
      <w:r w:rsidRPr="00742B66">
        <w:rPr>
          <w:sz w:val="20"/>
          <w:szCs w:val="20"/>
        </w:rPr>
        <w:t>.</w:t>
      </w:r>
    </w:p>
  </w:footnote>
  <w:footnote w:id="58">
    <w:p w14:paraId="6830C23B"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Chase, et al.,</w:t>
      </w:r>
      <w:r>
        <w:rPr>
          <w:smallCaps/>
          <w:sz w:val="20"/>
          <w:szCs w:val="20"/>
        </w:rPr>
        <w:t xml:space="preserve"> </w:t>
      </w:r>
      <w:r w:rsidRPr="00597785">
        <w:rPr>
          <w:i/>
          <w:sz w:val="20"/>
          <w:szCs w:val="20"/>
        </w:rPr>
        <w:t xml:space="preserve">supra </w:t>
      </w:r>
      <w:proofErr w:type="gramStart"/>
      <w:r w:rsidRPr="00597785">
        <w:rPr>
          <w:sz w:val="20"/>
          <w:szCs w:val="20"/>
        </w:rPr>
        <w:t>note</w:t>
      </w:r>
      <w:proofErr w:type="gramEnd"/>
      <w:r w:rsidRPr="00742B66">
        <w:rPr>
          <w:smallCaps/>
          <w:sz w:val="20"/>
          <w:szCs w:val="20"/>
        </w:rPr>
        <w:t xml:space="preserve"> </w:t>
      </w:r>
      <w:r>
        <w:rPr>
          <w:smallCaps/>
          <w:sz w:val="20"/>
          <w:szCs w:val="20"/>
        </w:rPr>
        <w:fldChar w:fldCharType="begin"/>
      </w:r>
      <w:r>
        <w:rPr>
          <w:smallCaps/>
          <w:sz w:val="20"/>
          <w:szCs w:val="20"/>
        </w:rPr>
        <w:instrText xml:space="preserve"> NOTEREF _Ref291597951 \h </w:instrText>
      </w:r>
      <w:r>
        <w:rPr>
          <w:smallCaps/>
          <w:sz w:val="20"/>
          <w:szCs w:val="20"/>
        </w:rPr>
      </w:r>
      <w:r>
        <w:rPr>
          <w:smallCaps/>
          <w:sz w:val="20"/>
          <w:szCs w:val="20"/>
        </w:rPr>
        <w:fldChar w:fldCharType="separate"/>
      </w:r>
      <w:r>
        <w:rPr>
          <w:smallCaps/>
          <w:sz w:val="20"/>
          <w:szCs w:val="20"/>
        </w:rPr>
        <w:t>50</w:t>
      </w:r>
      <w:r>
        <w:rPr>
          <w:smallCaps/>
          <w:sz w:val="20"/>
          <w:szCs w:val="20"/>
        </w:rPr>
        <w:fldChar w:fldCharType="end"/>
      </w:r>
      <w:r>
        <w:rPr>
          <w:smallCaps/>
          <w:sz w:val="20"/>
          <w:szCs w:val="20"/>
        </w:rPr>
        <w:t xml:space="preserve">, </w:t>
      </w:r>
      <w:r>
        <w:rPr>
          <w:sz w:val="20"/>
          <w:szCs w:val="20"/>
        </w:rPr>
        <w:t xml:space="preserve">at </w:t>
      </w:r>
      <w:r w:rsidRPr="00742B66">
        <w:rPr>
          <w:sz w:val="20"/>
          <w:szCs w:val="20"/>
        </w:rPr>
        <w:t>28</w:t>
      </w:r>
      <w:r>
        <w:rPr>
          <w:sz w:val="20"/>
          <w:szCs w:val="20"/>
        </w:rPr>
        <w:t>.</w:t>
      </w:r>
    </w:p>
  </w:footnote>
  <w:footnote w:id="59">
    <w:p w14:paraId="31984E6A"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Thomas Jones, The Experience of Thomas Jones, Who Was a Slave for Forty-Three Years </w:t>
      </w:r>
      <w:r w:rsidRPr="00742B66">
        <w:rPr>
          <w:sz w:val="20"/>
          <w:szCs w:val="20"/>
        </w:rPr>
        <w:t>15 (Boston, Daniel Laing, Jr. 1850).</w:t>
      </w:r>
    </w:p>
  </w:footnote>
  <w:footnote w:id="60">
    <w:p w14:paraId="3B051173" w14:textId="77777777" w:rsidR="00E667D7" w:rsidRPr="00742B66" w:rsidRDefault="00E667D7" w:rsidP="00742B66">
      <w:pPr>
        <w:spacing w:after="240"/>
        <w:rPr>
          <w:sz w:val="20"/>
          <w:szCs w:val="20"/>
        </w:rPr>
      </w:pPr>
      <w:r w:rsidRPr="00742B66">
        <w:rPr>
          <w:rStyle w:val="FootnoteReference"/>
          <w:sz w:val="20"/>
          <w:szCs w:val="20"/>
          <w:highlight w:val="yellow"/>
        </w:rPr>
        <w:footnoteRef/>
      </w:r>
      <w:r w:rsidRPr="00742B66">
        <w:rPr>
          <w:sz w:val="20"/>
          <w:szCs w:val="20"/>
          <w:highlight w:val="yellow"/>
        </w:rPr>
        <w:t xml:space="preserve"> </w:t>
      </w:r>
      <w:proofErr w:type="gramStart"/>
      <w:r w:rsidRPr="00742B66">
        <w:rPr>
          <w:smallCaps/>
          <w:sz w:val="20"/>
          <w:szCs w:val="20"/>
          <w:highlight w:val="yellow"/>
        </w:rPr>
        <w:t xml:space="preserve">Norman R. </w:t>
      </w:r>
      <w:proofErr w:type="spellStart"/>
      <w:r w:rsidRPr="00742B66">
        <w:rPr>
          <w:smallCaps/>
          <w:sz w:val="20"/>
          <w:szCs w:val="20"/>
          <w:highlight w:val="yellow"/>
        </w:rPr>
        <w:t>Yetman</w:t>
      </w:r>
      <w:proofErr w:type="spellEnd"/>
      <w:r w:rsidRPr="00742B66">
        <w:rPr>
          <w:smallCaps/>
          <w:sz w:val="20"/>
          <w:szCs w:val="20"/>
          <w:highlight w:val="yellow"/>
        </w:rPr>
        <w:t>, Life Under the “Peculiar Institution”</w:t>
      </w:r>
      <w:r w:rsidRPr="00742B66">
        <w:rPr>
          <w:sz w:val="20"/>
          <w:szCs w:val="20"/>
          <w:highlight w:val="yellow"/>
        </w:rPr>
        <w:t xml:space="preserve"> 145 (1970).</w:t>
      </w:r>
      <w:proofErr w:type="gramEnd"/>
    </w:p>
  </w:footnote>
  <w:footnote w:id="61">
    <w:p w14:paraId="4C7B338E" w14:textId="77777777" w:rsidR="00E667D7" w:rsidRPr="00742B66" w:rsidRDefault="00E667D7" w:rsidP="00742B66">
      <w:pPr>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Benjamin Drew, The Refugee: or Narratives of Fugitive Slaves in Canada</w:t>
      </w:r>
      <w:r w:rsidRPr="00742B66">
        <w:rPr>
          <w:sz w:val="20"/>
          <w:szCs w:val="20"/>
        </w:rPr>
        <w:t xml:space="preserve"> 180 (</w:t>
      </w:r>
      <w:proofErr w:type="spellStart"/>
      <w:r w:rsidRPr="00742B66">
        <w:rPr>
          <w:sz w:val="20"/>
          <w:szCs w:val="20"/>
        </w:rPr>
        <w:t>Bos</w:t>
      </w:r>
      <w:proofErr w:type="spellEnd"/>
      <w:proofErr w:type="gramStart"/>
      <w:r w:rsidRPr="00742B66">
        <w:rPr>
          <w:sz w:val="20"/>
          <w:szCs w:val="20"/>
        </w:rPr>
        <w:t>.,</w:t>
      </w:r>
      <w:proofErr w:type="gramEnd"/>
      <w:r w:rsidRPr="00742B66">
        <w:rPr>
          <w:sz w:val="20"/>
          <w:szCs w:val="20"/>
        </w:rPr>
        <w:t xml:space="preserve"> John P. Jewett and Co. 1856).</w:t>
      </w:r>
    </w:p>
  </w:footnote>
  <w:footnote w:id="62">
    <w:p w14:paraId="2D75B311"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spellStart"/>
      <w:r w:rsidRPr="00CC58B3">
        <w:rPr>
          <w:smallCaps/>
          <w:sz w:val="20"/>
          <w:szCs w:val="20"/>
        </w:rPr>
        <w:t>Yetman</w:t>
      </w:r>
      <w:proofErr w:type="spellEnd"/>
      <w:r>
        <w:rPr>
          <w:sz w:val="20"/>
          <w:szCs w:val="20"/>
        </w:rPr>
        <w:t xml:space="preserve">, </w:t>
      </w:r>
      <w:r>
        <w:rPr>
          <w:i/>
          <w:sz w:val="20"/>
          <w:szCs w:val="20"/>
        </w:rPr>
        <w:t xml:space="preserve">supra </w:t>
      </w:r>
      <w:r>
        <w:rPr>
          <w:sz w:val="20"/>
          <w:szCs w:val="20"/>
        </w:rPr>
        <w:t xml:space="preserve">note </w:t>
      </w:r>
      <w:r>
        <w:rPr>
          <w:sz w:val="20"/>
          <w:szCs w:val="20"/>
        </w:rPr>
        <w:fldChar w:fldCharType="begin"/>
      </w:r>
      <w:r>
        <w:rPr>
          <w:sz w:val="20"/>
          <w:szCs w:val="20"/>
        </w:rPr>
        <w:instrText xml:space="preserve"> NOTEREF _Ref291714769 \h </w:instrText>
      </w:r>
      <w:r>
        <w:rPr>
          <w:sz w:val="20"/>
          <w:szCs w:val="20"/>
        </w:rPr>
      </w:r>
      <w:r>
        <w:rPr>
          <w:sz w:val="20"/>
          <w:szCs w:val="20"/>
        </w:rPr>
        <w:fldChar w:fldCharType="separate"/>
      </w:r>
      <w:r>
        <w:rPr>
          <w:sz w:val="20"/>
          <w:szCs w:val="20"/>
        </w:rPr>
        <w:t>60</w:t>
      </w:r>
      <w:r>
        <w:rPr>
          <w:sz w:val="20"/>
          <w:szCs w:val="20"/>
        </w:rPr>
        <w:fldChar w:fldCharType="end"/>
      </w:r>
      <w:r>
        <w:rPr>
          <w:sz w:val="20"/>
          <w:szCs w:val="20"/>
        </w:rPr>
        <w:t>,</w:t>
      </w:r>
      <w:r w:rsidRPr="00742B66">
        <w:rPr>
          <w:i/>
          <w:sz w:val="20"/>
          <w:szCs w:val="20"/>
        </w:rPr>
        <w:t xml:space="preserve"> </w:t>
      </w:r>
      <w:r w:rsidRPr="00742B66">
        <w:rPr>
          <w:sz w:val="20"/>
          <w:szCs w:val="20"/>
        </w:rPr>
        <w:t xml:space="preserve">at 145. The colony of </w:t>
      </w:r>
      <w:proofErr w:type="spellStart"/>
      <w:r w:rsidRPr="00742B66">
        <w:rPr>
          <w:sz w:val="20"/>
          <w:szCs w:val="20"/>
        </w:rPr>
        <w:t>Freepeople</w:t>
      </w:r>
      <w:proofErr w:type="spellEnd"/>
      <w:r w:rsidRPr="00742B66">
        <w:rPr>
          <w:sz w:val="20"/>
          <w:szCs w:val="20"/>
        </w:rPr>
        <w:t xml:space="preserve"> in Elgin Settlement, or, as it was more commonly known, King’s Settlement, population of 800, all of whom were once slaves, was located in Buxton in Ontario Canada. A former slave owner named William King in 1849 started the settlement. King had owned slaves in Louisiana, but not being “to the manner born,” he manumitted his slaves and brought them north to Buxton with him where he settle</w:t>
      </w:r>
      <w:r>
        <w:rPr>
          <w:sz w:val="20"/>
          <w:szCs w:val="20"/>
        </w:rPr>
        <w:t>d</w:t>
      </w:r>
      <w:r w:rsidRPr="00742B66">
        <w:rPr>
          <w:sz w:val="20"/>
          <w:szCs w:val="20"/>
        </w:rPr>
        <w:t xml:space="preserve"> them on land he purchased from the government. </w:t>
      </w:r>
      <w:r w:rsidRPr="00742B66">
        <w:rPr>
          <w:smallCaps/>
          <w:sz w:val="20"/>
          <w:szCs w:val="20"/>
        </w:rPr>
        <w:t xml:space="preserve">Drew, </w:t>
      </w:r>
      <w:r w:rsidRPr="00DA6FA7">
        <w:rPr>
          <w:i/>
          <w:sz w:val="20"/>
          <w:szCs w:val="20"/>
        </w:rPr>
        <w:t xml:space="preserve">supra </w:t>
      </w:r>
      <w:r w:rsidRPr="00DA6FA7">
        <w:rPr>
          <w:sz w:val="20"/>
          <w:szCs w:val="20"/>
        </w:rPr>
        <w:t xml:space="preserve">note </w:t>
      </w:r>
      <w:r w:rsidRPr="00DA6FA7">
        <w:rPr>
          <w:sz w:val="20"/>
          <w:szCs w:val="20"/>
        </w:rPr>
        <w:fldChar w:fldCharType="begin"/>
      </w:r>
      <w:r w:rsidRPr="00DA6FA7">
        <w:rPr>
          <w:sz w:val="20"/>
          <w:szCs w:val="20"/>
        </w:rPr>
        <w:instrText xml:space="preserve"> NOTEREF _Ref291714841 \h </w:instrText>
      </w:r>
      <w:r w:rsidRPr="00DA6FA7">
        <w:rPr>
          <w:sz w:val="20"/>
          <w:szCs w:val="20"/>
        </w:rPr>
      </w:r>
      <w:r w:rsidRPr="00DA6FA7">
        <w:rPr>
          <w:sz w:val="20"/>
          <w:szCs w:val="20"/>
        </w:rPr>
        <w:fldChar w:fldCharType="separate"/>
      </w:r>
      <w:r>
        <w:rPr>
          <w:sz w:val="20"/>
          <w:szCs w:val="20"/>
        </w:rPr>
        <w:t>61</w:t>
      </w:r>
      <w:r w:rsidRPr="00DA6FA7">
        <w:rPr>
          <w:sz w:val="20"/>
          <w:szCs w:val="20"/>
        </w:rPr>
        <w:fldChar w:fldCharType="end"/>
      </w:r>
      <w:r w:rsidRPr="00DA6FA7">
        <w:rPr>
          <w:sz w:val="20"/>
          <w:szCs w:val="20"/>
        </w:rPr>
        <w:t>, at</w:t>
      </w:r>
      <w:r w:rsidRPr="00742B66">
        <w:rPr>
          <w:sz w:val="20"/>
          <w:szCs w:val="20"/>
        </w:rPr>
        <w:t xml:space="preserve"> 291. Records show that in 1854, 147 residents were on the role for the community’s two schools. </w:t>
      </w:r>
      <w:proofErr w:type="gramStart"/>
      <w:r w:rsidRPr="00742B66">
        <w:rPr>
          <w:i/>
          <w:sz w:val="20"/>
          <w:szCs w:val="20"/>
        </w:rPr>
        <w:t xml:space="preserve">Id. </w:t>
      </w:r>
      <w:r w:rsidRPr="00742B66">
        <w:rPr>
          <w:sz w:val="20"/>
          <w:szCs w:val="20"/>
        </w:rPr>
        <w:t>at 295–96.</w:t>
      </w:r>
      <w:proofErr w:type="gramEnd"/>
      <w:r w:rsidRPr="00742B66">
        <w:rPr>
          <w:sz w:val="20"/>
          <w:szCs w:val="20"/>
        </w:rPr>
        <w:t xml:space="preserve"> The second of the two schools along w</w:t>
      </w:r>
      <w:r>
        <w:rPr>
          <w:sz w:val="20"/>
          <w:szCs w:val="20"/>
        </w:rPr>
        <w:t>it</w:t>
      </w:r>
      <w:r w:rsidRPr="00742B66">
        <w:rPr>
          <w:sz w:val="20"/>
          <w:szCs w:val="20"/>
        </w:rPr>
        <w:t xml:space="preserve">h the teacher for that school, who was on the payroll for at least six months of the year, were financed at the community’s own expense. </w:t>
      </w:r>
      <w:r w:rsidRPr="00742B66">
        <w:rPr>
          <w:i/>
          <w:sz w:val="20"/>
          <w:szCs w:val="20"/>
        </w:rPr>
        <w:t>Id.</w:t>
      </w:r>
    </w:p>
  </w:footnote>
  <w:footnote w:id="63">
    <w:p w14:paraId="17635CE8" w14:textId="77777777" w:rsidR="00E667D7" w:rsidRPr="00742B66" w:rsidRDefault="00E667D7" w:rsidP="00742B66">
      <w:pPr>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smallCaps/>
          <w:sz w:val="20"/>
          <w:szCs w:val="20"/>
        </w:rPr>
        <w:t>Octavia V. Rogers Albert, The House of Bondage</w:t>
      </w:r>
      <w:r w:rsidRPr="00742B66">
        <w:rPr>
          <w:sz w:val="20"/>
          <w:szCs w:val="20"/>
        </w:rPr>
        <w:t xml:space="preserve"> xiv, 123 (New York, Hunt &amp; Eaton 1891).</w:t>
      </w:r>
      <w:proofErr w:type="gramEnd"/>
      <w:r w:rsidRPr="00742B66">
        <w:rPr>
          <w:sz w:val="20"/>
          <w:szCs w:val="20"/>
        </w:rPr>
        <w:t xml:space="preserve"> Literacy, or being denied it, was a leitmotif in the narratives of free persons who escaped slavery. </w:t>
      </w:r>
      <w:r w:rsidRPr="00742B66">
        <w:rPr>
          <w:i/>
          <w:sz w:val="20"/>
          <w:szCs w:val="20"/>
        </w:rPr>
        <w:t>See, e.g.</w:t>
      </w:r>
      <w:r w:rsidRPr="00742B66">
        <w:rPr>
          <w:sz w:val="20"/>
          <w:szCs w:val="20"/>
        </w:rPr>
        <w:t>,</w:t>
      </w:r>
      <w:r>
        <w:rPr>
          <w:smallCaps/>
          <w:sz w:val="20"/>
          <w:szCs w:val="20"/>
        </w:rPr>
        <w:t xml:space="preserve"> </w:t>
      </w:r>
      <w:r w:rsidRPr="000F0D0F">
        <w:rPr>
          <w:i/>
          <w:iCs/>
          <w:sz w:val="20"/>
          <w:szCs w:val="20"/>
        </w:rPr>
        <w:t>id</w:t>
      </w:r>
      <w:proofErr w:type="gramStart"/>
      <w:r w:rsidRPr="000F0D0F">
        <w:rPr>
          <w:i/>
          <w:iCs/>
          <w:sz w:val="20"/>
          <w:szCs w:val="20"/>
        </w:rPr>
        <w:t>.</w:t>
      </w:r>
      <w:r w:rsidRPr="00742B66">
        <w:rPr>
          <w:sz w:val="20"/>
          <w:szCs w:val="20"/>
        </w:rPr>
        <w:t>;</w:t>
      </w:r>
      <w:proofErr w:type="gramEnd"/>
      <w:r w:rsidRPr="00742B66">
        <w:rPr>
          <w:sz w:val="20"/>
          <w:szCs w:val="20"/>
        </w:rPr>
        <w:t xml:space="preserve"> </w:t>
      </w:r>
      <w:proofErr w:type="spellStart"/>
      <w:r w:rsidRPr="00742B66">
        <w:rPr>
          <w:smallCaps/>
          <w:sz w:val="20"/>
          <w:szCs w:val="20"/>
        </w:rPr>
        <w:t>Gustavus</w:t>
      </w:r>
      <w:proofErr w:type="spellEnd"/>
      <w:r w:rsidRPr="00742B66">
        <w:rPr>
          <w:smallCaps/>
          <w:sz w:val="20"/>
          <w:szCs w:val="20"/>
        </w:rPr>
        <w:t xml:space="preserve"> D. Pike, The Singing Campaign for Ten Thousand Pounds</w:t>
      </w:r>
      <w:r w:rsidRPr="00742B66">
        <w:rPr>
          <w:sz w:val="20"/>
          <w:szCs w:val="20"/>
        </w:rPr>
        <w:t xml:space="preserve"> (London, </w:t>
      </w:r>
      <w:proofErr w:type="spellStart"/>
      <w:r w:rsidRPr="00742B66">
        <w:rPr>
          <w:sz w:val="20"/>
          <w:szCs w:val="20"/>
        </w:rPr>
        <w:t>Hodder</w:t>
      </w:r>
      <w:proofErr w:type="spellEnd"/>
      <w:r w:rsidRPr="00742B66">
        <w:rPr>
          <w:sz w:val="20"/>
          <w:szCs w:val="20"/>
        </w:rPr>
        <w:t xml:space="preserve"> and </w:t>
      </w:r>
      <w:proofErr w:type="spellStart"/>
      <w:r w:rsidRPr="00742B66">
        <w:rPr>
          <w:sz w:val="20"/>
          <w:szCs w:val="20"/>
        </w:rPr>
        <w:t>Soughton</w:t>
      </w:r>
      <w:proofErr w:type="spellEnd"/>
      <w:r w:rsidRPr="00742B66">
        <w:rPr>
          <w:sz w:val="20"/>
          <w:szCs w:val="20"/>
        </w:rPr>
        <w:t xml:space="preserve"> 1874); </w:t>
      </w:r>
      <w:r w:rsidRPr="00742B66">
        <w:rPr>
          <w:smallCaps/>
          <w:sz w:val="20"/>
          <w:szCs w:val="20"/>
        </w:rPr>
        <w:t>William Still, The Underground Railroad</w:t>
      </w:r>
      <w:r w:rsidRPr="00742B66">
        <w:rPr>
          <w:sz w:val="20"/>
          <w:szCs w:val="20"/>
        </w:rPr>
        <w:t xml:space="preserve"> (</w:t>
      </w:r>
      <w:proofErr w:type="spellStart"/>
      <w:r w:rsidRPr="00742B66">
        <w:rPr>
          <w:sz w:val="20"/>
          <w:szCs w:val="20"/>
        </w:rPr>
        <w:t>Phila</w:t>
      </w:r>
      <w:proofErr w:type="spellEnd"/>
      <w:r w:rsidRPr="00742B66">
        <w:rPr>
          <w:sz w:val="20"/>
          <w:szCs w:val="20"/>
        </w:rPr>
        <w:t xml:space="preserve">., Porter &amp; Coates 1872). See </w:t>
      </w:r>
      <w:r w:rsidRPr="00742B66">
        <w:rPr>
          <w:smallCaps/>
          <w:sz w:val="20"/>
          <w:szCs w:val="20"/>
        </w:rPr>
        <w:t xml:space="preserve">Janet </w:t>
      </w:r>
      <w:proofErr w:type="spellStart"/>
      <w:r w:rsidRPr="00742B66">
        <w:rPr>
          <w:smallCaps/>
          <w:sz w:val="20"/>
          <w:szCs w:val="20"/>
        </w:rPr>
        <w:t>Duitsman</w:t>
      </w:r>
      <w:proofErr w:type="spellEnd"/>
      <w:r w:rsidRPr="00742B66">
        <w:rPr>
          <w:smallCaps/>
          <w:sz w:val="20"/>
          <w:szCs w:val="20"/>
        </w:rPr>
        <w:t xml:space="preserve"> Cornelius, When I Can Read My Title Clear: Literacy, Slavery, and Religion in the Antebellum South</w:t>
      </w:r>
      <w:r w:rsidRPr="00742B66">
        <w:rPr>
          <w:sz w:val="20"/>
          <w:szCs w:val="20"/>
        </w:rPr>
        <w:t>163 n.7 (1991), for a listing of individual biographies which include accounts by former slaves of how they learned to read during the time of slavery.</w:t>
      </w:r>
    </w:p>
  </w:footnote>
  <w:footnote w:id="64">
    <w:p w14:paraId="59EFFFEE" w14:textId="77777777" w:rsidR="00E667D7" w:rsidRPr="00742B66" w:rsidRDefault="00E667D7" w:rsidP="00742B66">
      <w:pPr>
        <w:spacing w:after="240"/>
        <w:ind w:right="720"/>
        <w:rPr>
          <w:sz w:val="20"/>
          <w:szCs w:val="20"/>
        </w:rPr>
      </w:pPr>
      <w:r w:rsidRPr="00742B66">
        <w:rPr>
          <w:rStyle w:val="FootnoteReference"/>
          <w:sz w:val="20"/>
          <w:szCs w:val="20"/>
        </w:rPr>
        <w:footnoteRef/>
      </w:r>
      <w:r w:rsidRPr="00742B66">
        <w:rPr>
          <w:sz w:val="20"/>
          <w:szCs w:val="20"/>
        </w:rPr>
        <w:t xml:space="preserve"> See </w:t>
      </w:r>
      <w:r w:rsidRPr="00742B66">
        <w:rPr>
          <w:smallCaps/>
          <w:sz w:val="20"/>
          <w:szCs w:val="20"/>
        </w:rPr>
        <w:t>Heather Andrea Williams, Self-Taught: African American Education in Slavery and Freedom</w:t>
      </w:r>
      <w:r w:rsidRPr="00742B66">
        <w:rPr>
          <w:sz w:val="20"/>
          <w:szCs w:val="20"/>
        </w:rPr>
        <w:t xml:space="preserve"> app. at 203–13 (2005)</w:t>
      </w:r>
      <w:r>
        <w:rPr>
          <w:sz w:val="20"/>
          <w:szCs w:val="20"/>
        </w:rPr>
        <w:t xml:space="preserve"> [hereinafter </w:t>
      </w:r>
      <w:r w:rsidRPr="009258A8">
        <w:rPr>
          <w:smallCaps/>
          <w:sz w:val="20"/>
          <w:szCs w:val="20"/>
        </w:rPr>
        <w:t>Self-Taught</w:t>
      </w:r>
      <w:r>
        <w:rPr>
          <w:sz w:val="20"/>
          <w:szCs w:val="20"/>
        </w:rPr>
        <w:t>]</w:t>
      </w:r>
      <w:r w:rsidRPr="00742B66">
        <w:rPr>
          <w:sz w:val="20"/>
          <w:szCs w:val="20"/>
        </w:rPr>
        <w:t xml:space="preserve">, for a comprehensive list of laws regulating the teaching of slaves and free blacks to read and write. William Still, a freedman born into slavery, interviewed hundreds of slaves who sought his help in Philadelphia via the Underground Railroad. </w:t>
      </w:r>
      <w:proofErr w:type="gramStart"/>
      <w:r w:rsidRPr="00742B66">
        <w:rPr>
          <w:i/>
          <w:sz w:val="20"/>
          <w:szCs w:val="20"/>
        </w:rPr>
        <w:t xml:space="preserve">See generally </w:t>
      </w:r>
      <w:r w:rsidRPr="00742B66">
        <w:rPr>
          <w:smallCaps/>
          <w:sz w:val="20"/>
          <w:szCs w:val="20"/>
        </w:rPr>
        <w:t>Still</w:t>
      </w:r>
      <w:proofErr w:type="gramEnd"/>
      <w:r w:rsidRPr="00742B66">
        <w:rPr>
          <w:smallCaps/>
          <w:sz w:val="20"/>
          <w:szCs w:val="20"/>
        </w:rPr>
        <w:t xml:space="preserve">, </w:t>
      </w:r>
      <w:proofErr w:type="gramStart"/>
      <w:r w:rsidRPr="00742B66">
        <w:rPr>
          <w:i/>
          <w:sz w:val="20"/>
          <w:szCs w:val="20"/>
        </w:rPr>
        <w:t xml:space="preserve">supra </w:t>
      </w:r>
      <w:r w:rsidRPr="00742B66">
        <w:rPr>
          <w:sz w:val="20"/>
          <w:szCs w:val="20"/>
        </w:rPr>
        <w:t>note</w:t>
      </w:r>
      <w:r w:rsidRPr="00742B66">
        <w:rPr>
          <w:smallCaps/>
          <w:sz w:val="20"/>
          <w:szCs w:val="20"/>
        </w:rPr>
        <w:t xml:space="preserve"> </w:t>
      </w:r>
      <w:r w:rsidRPr="00742B66">
        <w:rPr>
          <w:smallCaps/>
          <w:sz w:val="20"/>
          <w:szCs w:val="20"/>
        </w:rPr>
        <w:fldChar w:fldCharType="begin"/>
      </w:r>
      <w:r w:rsidRPr="00742B66">
        <w:rPr>
          <w:smallCaps/>
          <w:sz w:val="20"/>
          <w:szCs w:val="20"/>
        </w:rPr>
        <w:instrText xml:space="preserve"> NOTEREF _Ref291616864 \h </w:instrText>
      </w:r>
      <w:r w:rsidRPr="00742B66">
        <w:rPr>
          <w:smallCaps/>
          <w:sz w:val="20"/>
          <w:szCs w:val="20"/>
        </w:rPr>
      </w:r>
      <w:r w:rsidRPr="00742B66">
        <w:rPr>
          <w:smallCaps/>
          <w:sz w:val="20"/>
          <w:szCs w:val="20"/>
        </w:rPr>
        <w:fldChar w:fldCharType="separate"/>
      </w:r>
      <w:r>
        <w:rPr>
          <w:smallCaps/>
          <w:sz w:val="20"/>
          <w:szCs w:val="20"/>
        </w:rPr>
        <w:t>63</w:t>
      </w:r>
      <w:proofErr w:type="gramEnd"/>
      <w:r w:rsidRPr="00742B66">
        <w:rPr>
          <w:smallCaps/>
          <w:sz w:val="20"/>
          <w:szCs w:val="20"/>
        </w:rPr>
        <w:fldChar w:fldCharType="end"/>
      </w:r>
      <w:r w:rsidRPr="00742B66">
        <w:rPr>
          <w:sz w:val="20"/>
          <w:szCs w:val="20"/>
        </w:rPr>
        <w:t>. Still recounts the story of Charles Congo and his wife Margaret, who had escaped slavery in Maryland: “No education for the freeman of color, much less for the slave. The order of the day was literally, as far as colored men were concerned: ‘No rights which white men were bound to respect.’”</w:t>
      </w:r>
      <w:r w:rsidRPr="00742B66">
        <w:rPr>
          <w:smallCaps/>
          <w:sz w:val="20"/>
          <w:szCs w:val="20"/>
        </w:rPr>
        <w:t xml:space="preserve"> </w:t>
      </w:r>
      <w:proofErr w:type="gramStart"/>
      <w:r w:rsidRPr="00742B66">
        <w:rPr>
          <w:i/>
          <w:sz w:val="20"/>
          <w:szCs w:val="20"/>
        </w:rPr>
        <w:t xml:space="preserve">Id. </w:t>
      </w:r>
      <w:r w:rsidRPr="00742B66">
        <w:rPr>
          <w:sz w:val="20"/>
          <w:szCs w:val="20"/>
        </w:rPr>
        <w:t>at</w:t>
      </w:r>
      <w:r w:rsidRPr="00742B66">
        <w:rPr>
          <w:smallCaps/>
          <w:sz w:val="20"/>
          <w:szCs w:val="20"/>
        </w:rPr>
        <w:t xml:space="preserve"> 138.</w:t>
      </w:r>
      <w:proofErr w:type="gramEnd"/>
    </w:p>
  </w:footnote>
  <w:footnote w:id="65">
    <w:p w14:paraId="673A2A85"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See, e.g.</w:t>
      </w:r>
      <w:r w:rsidRPr="00742B66">
        <w:rPr>
          <w:sz w:val="20"/>
          <w:szCs w:val="20"/>
        </w:rPr>
        <w:t xml:space="preserve">, </w:t>
      </w:r>
      <w:r w:rsidRPr="00742B66">
        <w:rPr>
          <w:smallCaps/>
          <w:sz w:val="20"/>
          <w:szCs w:val="20"/>
        </w:rPr>
        <w:t>Williams,</w:t>
      </w:r>
      <w:r w:rsidRPr="009258A8">
        <w:rPr>
          <w:smallCaps/>
          <w:sz w:val="20"/>
          <w:szCs w:val="20"/>
        </w:rPr>
        <w:t xml:space="preserve"> Self-Taught</w:t>
      </w:r>
      <w:r>
        <w:rPr>
          <w:smallCaps/>
          <w:sz w:val="20"/>
          <w:szCs w:val="20"/>
        </w:rPr>
        <w:t>,</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_Ref291537796 \h </w:instrText>
      </w:r>
      <w:r w:rsidRPr="00742B66">
        <w:rPr>
          <w:sz w:val="20"/>
          <w:szCs w:val="20"/>
        </w:rPr>
      </w:r>
      <w:r w:rsidRPr="00742B66">
        <w:rPr>
          <w:sz w:val="20"/>
          <w:szCs w:val="20"/>
        </w:rPr>
        <w:fldChar w:fldCharType="separate"/>
      </w:r>
      <w:r>
        <w:rPr>
          <w:sz w:val="20"/>
          <w:szCs w:val="20"/>
        </w:rPr>
        <w:t>64</w:t>
      </w:r>
      <w:r w:rsidRPr="00742B66">
        <w:rPr>
          <w:sz w:val="20"/>
          <w:szCs w:val="20"/>
        </w:rPr>
        <w:fldChar w:fldCharType="end"/>
      </w:r>
      <w:r w:rsidRPr="00742B66">
        <w:rPr>
          <w:sz w:val="20"/>
          <w:szCs w:val="20"/>
        </w:rPr>
        <w:t xml:space="preserve">, at 15 (describing how North Carolina’s </w:t>
      </w:r>
      <w:proofErr w:type="spellStart"/>
      <w:r w:rsidRPr="00742B66">
        <w:rPr>
          <w:sz w:val="20"/>
          <w:szCs w:val="20"/>
        </w:rPr>
        <w:t>antiliteracy</w:t>
      </w:r>
      <w:proofErr w:type="spellEnd"/>
      <w:r w:rsidRPr="00742B66">
        <w:rPr>
          <w:sz w:val="20"/>
          <w:szCs w:val="20"/>
        </w:rPr>
        <w:t xml:space="preserve"> law permitted the teaching of arithmetic, likely because numbers were key to certain trades such as carpentry and would thus inure to the benefit of slave owners); Janet Cornelius, </w:t>
      </w:r>
      <w:r w:rsidRPr="00742B66">
        <w:rPr>
          <w:i/>
          <w:sz w:val="20"/>
          <w:szCs w:val="20"/>
        </w:rPr>
        <w:t>“We Slipped and Learned to Read:” Slave Accounts of the Literacy Process, 1830–1865</w:t>
      </w:r>
      <w:r w:rsidRPr="00742B66">
        <w:rPr>
          <w:sz w:val="20"/>
          <w:szCs w:val="20"/>
        </w:rPr>
        <w:t xml:space="preserve">, 44 </w:t>
      </w:r>
      <w:proofErr w:type="spellStart"/>
      <w:r w:rsidRPr="00742B66">
        <w:rPr>
          <w:smallCaps/>
          <w:sz w:val="20"/>
          <w:szCs w:val="20"/>
        </w:rPr>
        <w:t>Phylon</w:t>
      </w:r>
      <w:proofErr w:type="spellEnd"/>
      <w:r w:rsidRPr="00742B66">
        <w:rPr>
          <w:sz w:val="20"/>
          <w:szCs w:val="20"/>
        </w:rPr>
        <w:t xml:space="preserve"> 171, 171</w:t>
      </w:r>
      <w:r w:rsidRPr="00742B66">
        <w:rPr>
          <w:i/>
          <w:sz w:val="20"/>
          <w:szCs w:val="20"/>
        </w:rPr>
        <w:t xml:space="preserve"> </w:t>
      </w:r>
      <w:r w:rsidRPr="00742B66">
        <w:rPr>
          <w:sz w:val="20"/>
          <w:szCs w:val="20"/>
        </w:rPr>
        <w:t>(1983) (noting that some slave owners offered literacy “to increase their control”).</w:t>
      </w:r>
    </w:p>
  </w:footnote>
  <w:footnote w:id="66">
    <w:p w14:paraId="3D7E2115"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Williams,</w:t>
      </w:r>
      <w:r w:rsidRPr="009258A8">
        <w:rPr>
          <w:smallCaps/>
          <w:sz w:val="20"/>
          <w:szCs w:val="20"/>
        </w:rPr>
        <w:t xml:space="preserve"> Self-Taught</w:t>
      </w:r>
      <w:r>
        <w:rPr>
          <w:smallCaps/>
          <w:sz w:val="20"/>
          <w:szCs w:val="20"/>
        </w:rPr>
        <w:t>,</w:t>
      </w:r>
      <w:r w:rsidRPr="00742B66">
        <w:rPr>
          <w:sz w:val="20"/>
          <w:szCs w:val="20"/>
        </w:rPr>
        <w:t xml:space="preserve"> </w:t>
      </w:r>
      <w:r w:rsidRPr="00742B66">
        <w:rPr>
          <w:i/>
          <w:sz w:val="20"/>
          <w:szCs w:val="20"/>
        </w:rPr>
        <w:t xml:space="preserve">supra </w:t>
      </w:r>
      <w:proofErr w:type="gramStart"/>
      <w:r w:rsidRPr="00742B66">
        <w:rPr>
          <w:sz w:val="20"/>
          <w:szCs w:val="20"/>
        </w:rPr>
        <w:t>note</w:t>
      </w:r>
      <w:proofErr w:type="gramEnd"/>
      <w:r w:rsidRPr="00742B66">
        <w:rPr>
          <w:sz w:val="20"/>
          <w:szCs w:val="20"/>
        </w:rPr>
        <w:t xml:space="preserve"> </w:t>
      </w:r>
      <w:r w:rsidRPr="00742B66">
        <w:rPr>
          <w:sz w:val="20"/>
          <w:szCs w:val="20"/>
        </w:rPr>
        <w:fldChar w:fldCharType="begin"/>
      </w:r>
      <w:r w:rsidRPr="00742B66">
        <w:rPr>
          <w:sz w:val="20"/>
          <w:szCs w:val="20"/>
        </w:rPr>
        <w:instrText xml:space="preserve"> NOTEREF _Ref291537796 \h </w:instrText>
      </w:r>
      <w:r w:rsidRPr="00742B66">
        <w:rPr>
          <w:sz w:val="20"/>
          <w:szCs w:val="20"/>
        </w:rPr>
      </w:r>
      <w:r w:rsidRPr="00742B66">
        <w:rPr>
          <w:sz w:val="20"/>
          <w:szCs w:val="20"/>
        </w:rPr>
        <w:fldChar w:fldCharType="separate"/>
      </w:r>
      <w:r>
        <w:rPr>
          <w:sz w:val="20"/>
          <w:szCs w:val="20"/>
        </w:rPr>
        <w:t>64</w:t>
      </w:r>
      <w:r w:rsidRPr="00742B66">
        <w:rPr>
          <w:sz w:val="20"/>
          <w:szCs w:val="20"/>
        </w:rPr>
        <w:fldChar w:fldCharType="end"/>
      </w:r>
      <w:r w:rsidRPr="00742B66">
        <w:rPr>
          <w:sz w:val="20"/>
          <w:szCs w:val="20"/>
        </w:rPr>
        <w:t>, at 6.</w:t>
      </w:r>
    </w:p>
  </w:footnote>
  <w:footnote w:id="67">
    <w:p w14:paraId="2AC80AA2"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Id.</w:t>
      </w:r>
      <w:r w:rsidRPr="00742B66">
        <w:rPr>
          <w:sz w:val="20"/>
          <w:szCs w:val="20"/>
        </w:rPr>
        <w:t xml:space="preserve">; </w:t>
      </w:r>
      <w:r w:rsidRPr="00742B66">
        <w:rPr>
          <w:i/>
          <w:sz w:val="20"/>
          <w:szCs w:val="20"/>
        </w:rPr>
        <w:t>see also id.</w:t>
      </w:r>
      <w:proofErr w:type="gramEnd"/>
      <w:r w:rsidRPr="00742B66">
        <w:rPr>
          <w:sz w:val="20"/>
          <w:szCs w:val="20"/>
        </w:rPr>
        <w:t xml:space="preserve"> (“I have seen the Negroes up in the country going away under the large oaks, and in secret places, sitting in the woods with spelling books.”).</w:t>
      </w:r>
    </w:p>
  </w:footnote>
  <w:footnote w:id="68">
    <w:p w14:paraId="574CA0D2" w14:textId="77777777" w:rsidR="00E667D7" w:rsidRPr="00742B66" w:rsidRDefault="00E667D7" w:rsidP="00742B66">
      <w:pPr>
        <w:pStyle w:val="FootnoteText"/>
        <w:spacing w:after="240"/>
        <w:rPr>
          <w:i/>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p>
  </w:footnote>
  <w:footnote w:id="69">
    <w:p w14:paraId="31C28C6E"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Education in the Southern States</w:t>
      </w:r>
      <w:r w:rsidRPr="00742B66">
        <w:rPr>
          <w:sz w:val="20"/>
          <w:szCs w:val="20"/>
        </w:rPr>
        <w:t xml:space="preserve">, 11 </w:t>
      </w:r>
      <w:r w:rsidRPr="00742B66">
        <w:rPr>
          <w:smallCaps/>
          <w:sz w:val="20"/>
          <w:szCs w:val="20"/>
        </w:rPr>
        <w:t>Harper’s Weekly 705, 706–07</w:t>
      </w:r>
      <w:r w:rsidRPr="00742B66">
        <w:rPr>
          <w:sz w:val="20"/>
          <w:szCs w:val="20"/>
        </w:rPr>
        <w:t xml:space="preserve"> (1867).</w:t>
      </w:r>
    </w:p>
  </w:footnote>
  <w:footnote w:id="70">
    <w:p w14:paraId="0F922045" w14:textId="77777777" w:rsidR="00E667D7" w:rsidRPr="00742B66" w:rsidRDefault="00E667D7" w:rsidP="00742B66">
      <w:pPr>
        <w:pStyle w:val="ListParagraph"/>
        <w:spacing w:after="240"/>
        <w:ind w:left="0" w:right="72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See, e.g.</w:t>
      </w:r>
      <w:r w:rsidRPr="00742B66">
        <w:rPr>
          <w:sz w:val="20"/>
          <w:szCs w:val="20"/>
        </w:rPr>
        <w:t xml:space="preserve">, </w:t>
      </w:r>
      <w:r w:rsidRPr="00742B66">
        <w:rPr>
          <w:smallCaps/>
          <w:sz w:val="20"/>
          <w:szCs w:val="20"/>
        </w:rPr>
        <w:t>James D. Anderson, The Education of Blacks in the South,</w:t>
      </w:r>
      <w:r w:rsidRPr="00742B66">
        <w:rPr>
          <w:sz w:val="20"/>
          <w:szCs w:val="20"/>
        </w:rPr>
        <w:t xml:space="preserve"> 1860</w:t>
      </w:r>
      <w:r w:rsidRPr="00742B66">
        <w:rPr>
          <w:smallCaps/>
          <w:sz w:val="20"/>
          <w:szCs w:val="20"/>
        </w:rPr>
        <w:t xml:space="preserve">–1935, </w:t>
      </w:r>
      <w:r w:rsidRPr="00742B66">
        <w:rPr>
          <w:sz w:val="20"/>
          <w:szCs w:val="20"/>
        </w:rPr>
        <w:t>at</w:t>
      </w:r>
      <w:r w:rsidRPr="00742B66">
        <w:rPr>
          <w:smallCaps/>
          <w:sz w:val="20"/>
          <w:szCs w:val="20"/>
        </w:rPr>
        <w:t xml:space="preserve"> 17 (1988) (</w:t>
      </w:r>
      <w:r w:rsidRPr="00742B66">
        <w:rPr>
          <w:sz w:val="20"/>
          <w:szCs w:val="20"/>
        </w:rPr>
        <w:t>describing secret meetings, known among slaves as “</w:t>
      </w:r>
      <w:proofErr w:type="spellStart"/>
      <w:r w:rsidRPr="00742B66">
        <w:rPr>
          <w:sz w:val="20"/>
          <w:szCs w:val="20"/>
        </w:rPr>
        <w:t>stealin</w:t>
      </w:r>
      <w:proofErr w:type="spellEnd"/>
      <w:r w:rsidRPr="00742B66">
        <w:rPr>
          <w:sz w:val="20"/>
          <w:szCs w:val="20"/>
        </w:rPr>
        <w:t xml:space="preserve">’ a </w:t>
      </w:r>
      <w:proofErr w:type="spellStart"/>
      <w:r w:rsidRPr="00742B66">
        <w:rPr>
          <w:sz w:val="20"/>
          <w:szCs w:val="20"/>
        </w:rPr>
        <w:t>meetin</w:t>
      </w:r>
      <w:proofErr w:type="spellEnd"/>
      <w:r w:rsidRPr="00742B66">
        <w:rPr>
          <w:sz w:val="20"/>
          <w:szCs w:val="20"/>
        </w:rPr>
        <w:t xml:space="preserve">’,” where free blacks taught slaves to read); </w:t>
      </w:r>
      <w:r w:rsidRPr="00742B66">
        <w:rPr>
          <w:i/>
          <w:sz w:val="20"/>
          <w:szCs w:val="20"/>
        </w:rPr>
        <w:t>id.</w:t>
      </w:r>
      <w:r w:rsidRPr="00742B66">
        <w:rPr>
          <w:sz w:val="20"/>
          <w:szCs w:val="20"/>
        </w:rPr>
        <w:t xml:space="preserve"> </w:t>
      </w:r>
      <w:proofErr w:type="gramStart"/>
      <w:r w:rsidRPr="00742B66">
        <w:rPr>
          <w:sz w:val="20"/>
          <w:szCs w:val="20"/>
        </w:rPr>
        <w:t>at</w:t>
      </w:r>
      <w:proofErr w:type="gramEnd"/>
      <w:r w:rsidRPr="00742B66">
        <w:rPr>
          <w:sz w:val="20"/>
          <w:szCs w:val="20"/>
        </w:rPr>
        <w:t xml:space="preserve"> 16 (describing how Thomas H. Jones, a slave from North Carolina, learned to read while in the back of his master’s store); </w:t>
      </w:r>
      <w:r w:rsidRPr="00742B66">
        <w:rPr>
          <w:smallCaps/>
          <w:sz w:val="20"/>
          <w:szCs w:val="20"/>
        </w:rPr>
        <w:t>Frederick Douglass, Life and Times of Frederick Douglass</w:t>
      </w:r>
      <w:r w:rsidRPr="00742B66">
        <w:rPr>
          <w:sz w:val="20"/>
          <w:szCs w:val="20"/>
        </w:rPr>
        <w:t xml:space="preserve"> 171 (Hartford, Conn. 1881) (“All were impressed with the necessity of keeping the matter as private as possible . . . .”); Bondage Was a Great Burden: John McGuire, </w:t>
      </w:r>
      <w:r w:rsidRPr="00742B66">
        <w:rPr>
          <w:i/>
          <w:sz w:val="20"/>
          <w:szCs w:val="20"/>
        </w:rPr>
        <w:t xml:space="preserve">in </w:t>
      </w:r>
      <w:r w:rsidRPr="00742B66">
        <w:rPr>
          <w:smallCaps/>
          <w:sz w:val="20"/>
          <w:szCs w:val="20"/>
        </w:rPr>
        <w:t>Works Progress Administration</w:t>
      </w:r>
      <w:r w:rsidRPr="00742B66">
        <w:rPr>
          <w:sz w:val="20"/>
          <w:szCs w:val="20"/>
        </w:rPr>
        <w:t xml:space="preserve">, 4 </w:t>
      </w:r>
      <w:r w:rsidRPr="00742B66">
        <w:rPr>
          <w:smallCaps/>
          <w:sz w:val="20"/>
          <w:szCs w:val="20"/>
        </w:rPr>
        <w:t>Born in Slavery: Slave Narratives from the Federal Writer’s Project, 1936–1938</w:t>
      </w:r>
      <w:r w:rsidRPr="00742B66">
        <w:rPr>
          <w:sz w:val="20"/>
          <w:szCs w:val="20"/>
        </w:rPr>
        <w:t xml:space="preserve"> pt. 2, 238, 239</w:t>
      </w:r>
      <w:r w:rsidRPr="00742B66">
        <w:rPr>
          <w:smallCaps/>
          <w:sz w:val="20"/>
          <w:szCs w:val="20"/>
        </w:rPr>
        <w:t>–40</w:t>
      </w:r>
      <w:r w:rsidRPr="00742B66">
        <w:rPr>
          <w:sz w:val="20"/>
          <w:szCs w:val="20"/>
        </w:rPr>
        <w:t xml:space="preserve"> (1941) [hereinafter </w:t>
      </w:r>
      <w:r w:rsidRPr="00742B66">
        <w:rPr>
          <w:smallCaps/>
          <w:sz w:val="20"/>
          <w:szCs w:val="20"/>
        </w:rPr>
        <w:t>Born in Slavery</w:t>
      </w:r>
      <w:r w:rsidRPr="00742B66">
        <w:rPr>
          <w:sz w:val="20"/>
          <w:szCs w:val="20"/>
        </w:rPr>
        <w:t xml:space="preserve">] (describing learning to read in the mines); Levi D. Shelby, Jr., Jeff David Used to Camouflage His Horse, </w:t>
      </w:r>
      <w:r w:rsidRPr="00742B66">
        <w:rPr>
          <w:i/>
          <w:sz w:val="20"/>
          <w:szCs w:val="20"/>
        </w:rPr>
        <w:t xml:space="preserve">in </w:t>
      </w:r>
      <w:r w:rsidRPr="00742B66">
        <w:rPr>
          <w:sz w:val="20"/>
          <w:szCs w:val="20"/>
        </w:rPr>
        <w:t xml:space="preserve">1 </w:t>
      </w:r>
      <w:r w:rsidRPr="00742B66">
        <w:rPr>
          <w:smallCaps/>
          <w:sz w:val="20"/>
          <w:szCs w:val="20"/>
        </w:rPr>
        <w:t xml:space="preserve">Born in Slavery, </w:t>
      </w:r>
      <w:r w:rsidRPr="00742B66">
        <w:rPr>
          <w:i/>
          <w:sz w:val="20"/>
          <w:szCs w:val="20"/>
        </w:rPr>
        <w:t>supra</w:t>
      </w:r>
      <w:r w:rsidRPr="00742B66">
        <w:rPr>
          <w:sz w:val="20"/>
          <w:szCs w:val="20"/>
        </w:rPr>
        <w:t xml:space="preserve">, at 238, 417 (1941) (“His young </w:t>
      </w:r>
      <w:proofErr w:type="spellStart"/>
      <w:r w:rsidRPr="00742B66">
        <w:rPr>
          <w:sz w:val="20"/>
          <w:szCs w:val="20"/>
        </w:rPr>
        <w:t>marsa</w:t>
      </w:r>
      <w:proofErr w:type="spellEnd"/>
      <w:r w:rsidRPr="00742B66">
        <w:rPr>
          <w:sz w:val="20"/>
          <w:szCs w:val="20"/>
        </w:rPr>
        <w:t xml:space="preserve"> taught him to read an’ write </w:t>
      </w:r>
      <w:proofErr w:type="spellStart"/>
      <w:r w:rsidRPr="00742B66">
        <w:rPr>
          <w:sz w:val="20"/>
          <w:szCs w:val="20"/>
        </w:rPr>
        <w:t>unbeknowance</w:t>
      </w:r>
      <w:proofErr w:type="spellEnd"/>
      <w:r w:rsidRPr="00742B66">
        <w:rPr>
          <w:sz w:val="20"/>
          <w:szCs w:val="20"/>
        </w:rPr>
        <w:t xml:space="preserve"> to his father an’ de res’ of de slaves.”); </w:t>
      </w:r>
      <w:r w:rsidRPr="00742B66">
        <w:rPr>
          <w:i/>
          <w:sz w:val="20"/>
          <w:szCs w:val="20"/>
        </w:rPr>
        <w:t xml:space="preserve">supra </w:t>
      </w:r>
      <w:r w:rsidRPr="00742B66">
        <w:rPr>
          <w:sz w:val="20"/>
          <w:szCs w:val="20"/>
        </w:rPr>
        <w:t xml:space="preserve">notes </w:t>
      </w:r>
      <w:r w:rsidRPr="00742B66">
        <w:rPr>
          <w:sz w:val="20"/>
          <w:szCs w:val="20"/>
        </w:rPr>
        <w:fldChar w:fldCharType="begin"/>
      </w:r>
      <w:r w:rsidRPr="00742B66">
        <w:rPr>
          <w:sz w:val="20"/>
          <w:szCs w:val="20"/>
        </w:rPr>
        <w:instrText xml:space="preserve"> NOTEREF _Ref291600379 \h </w:instrText>
      </w:r>
      <w:r w:rsidRPr="00742B66">
        <w:rPr>
          <w:sz w:val="20"/>
          <w:szCs w:val="20"/>
        </w:rPr>
      </w:r>
      <w:r w:rsidRPr="00742B66">
        <w:rPr>
          <w:sz w:val="20"/>
          <w:szCs w:val="20"/>
        </w:rPr>
        <w:fldChar w:fldCharType="separate"/>
      </w:r>
      <w:r>
        <w:rPr>
          <w:sz w:val="20"/>
          <w:szCs w:val="20"/>
        </w:rPr>
        <w:t>66</w:t>
      </w:r>
      <w:r w:rsidRPr="00742B66">
        <w:rPr>
          <w:sz w:val="20"/>
          <w:szCs w:val="20"/>
        </w:rPr>
        <w:fldChar w:fldCharType="end"/>
      </w:r>
      <w:r w:rsidRPr="00742B66">
        <w:rPr>
          <w:sz w:val="20"/>
          <w:szCs w:val="20"/>
        </w:rPr>
        <w:t>–</w:t>
      </w:r>
      <w:r w:rsidRPr="00742B66">
        <w:rPr>
          <w:sz w:val="20"/>
          <w:szCs w:val="20"/>
        </w:rPr>
        <w:fldChar w:fldCharType="begin"/>
      </w:r>
      <w:r w:rsidRPr="00742B66">
        <w:rPr>
          <w:sz w:val="20"/>
          <w:szCs w:val="20"/>
        </w:rPr>
        <w:instrText xml:space="preserve"> NOTEREF _Ref291600383 \h </w:instrText>
      </w:r>
      <w:r w:rsidRPr="00742B66">
        <w:rPr>
          <w:sz w:val="20"/>
          <w:szCs w:val="20"/>
        </w:rPr>
      </w:r>
      <w:r w:rsidRPr="00742B66">
        <w:rPr>
          <w:sz w:val="20"/>
          <w:szCs w:val="20"/>
        </w:rPr>
        <w:fldChar w:fldCharType="separate"/>
      </w:r>
      <w:r>
        <w:rPr>
          <w:sz w:val="20"/>
          <w:szCs w:val="20"/>
        </w:rPr>
        <w:t>67</w:t>
      </w:r>
      <w:r w:rsidRPr="00742B66">
        <w:rPr>
          <w:sz w:val="20"/>
          <w:szCs w:val="20"/>
        </w:rPr>
        <w:fldChar w:fldCharType="end"/>
      </w:r>
      <w:r w:rsidRPr="00742B66">
        <w:rPr>
          <w:sz w:val="20"/>
          <w:szCs w:val="20"/>
        </w:rPr>
        <w:t xml:space="preserve"> and accompanying text</w:t>
      </w:r>
      <w:r w:rsidRPr="00742B66">
        <w:rPr>
          <w:smallCaps/>
          <w:sz w:val="20"/>
          <w:szCs w:val="20"/>
        </w:rPr>
        <w:t xml:space="preserve">. </w:t>
      </w:r>
      <w:r w:rsidRPr="00742B66">
        <w:rPr>
          <w:sz w:val="20"/>
          <w:szCs w:val="20"/>
        </w:rPr>
        <w:t xml:space="preserve">Eavesdropping and acuity of memory played a key role in literacy but also the maintenance of intelligence networks in and across slave communities. </w:t>
      </w:r>
      <w:r w:rsidRPr="00742B66">
        <w:rPr>
          <w:smallCaps/>
          <w:sz w:val="20"/>
          <w:szCs w:val="20"/>
        </w:rPr>
        <w:t>Williams,</w:t>
      </w:r>
      <w:r w:rsidRPr="009258A8">
        <w:rPr>
          <w:smallCaps/>
          <w:sz w:val="20"/>
          <w:szCs w:val="20"/>
        </w:rPr>
        <w:t xml:space="preserve"> Self-Taught</w:t>
      </w:r>
      <w:r>
        <w:rPr>
          <w:smallCaps/>
          <w:sz w:val="20"/>
          <w:szCs w:val="20"/>
        </w:rPr>
        <w:t>,</w:t>
      </w:r>
      <w:r w:rsidRPr="00742B66">
        <w:rPr>
          <w:sz w:val="20"/>
          <w:szCs w:val="20"/>
        </w:rPr>
        <w:t xml:space="preserve"> </w:t>
      </w:r>
      <w:r w:rsidRPr="00742B66">
        <w:rPr>
          <w:i/>
          <w:sz w:val="20"/>
          <w:szCs w:val="20"/>
        </w:rPr>
        <w:t xml:space="preserve">supra </w:t>
      </w:r>
      <w:proofErr w:type="gramStart"/>
      <w:r w:rsidRPr="00742B66">
        <w:rPr>
          <w:sz w:val="20"/>
          <w:szCs w:val="20"/>
        </w:rPr>
        <w:t>note</w:t>
      </w:r>
      <w:proofErr w:type="gramEnd"/>
      <w:r w:rsidRPr="00742B66">
        <w:rPr>
          <w:sz w:val="20"/>
          <w:szCs w:val="20"/>
        </w:rPr>
        <w:t xml:space="preserve"> </w:t>
      </w:r>
      <w:r w:rsidRPr="00742B66">
        <w:rPr>
          <w:sz w:val="20"/>
          <w:szCs w:val="20"/>
        </w:rPr>
        <w:fldChar w:fldCharType="begin"/>
      </w:r>
      <w:r w:rsidRPr="00742B66">
        <w:rPr>
          <w:sz w:val="20"/>
          <w:szCs w:val="20"/>
        </w:rPr>
        <w:instrText xml:space="preserve"> NOTEREF _Ref291537796 \h </w:instrText>
      </w:r>
      <w:r w:rsidRPr="00742B66">
        <w:rPr>
          <w:sz w:val="20"/>
          <w:szCs w:val="20"/>
        </w:rPr>
      </w:r>
      <w:r w:rsidRPr="00742B66">
        <w:rPr>
          <w:sz w:val="20"/>
          <w:szCs w:val="20"/>
        </w:rPr>
        <w:fldChar w:fldCharType="separate"/>
      </w:r>
      <w:r>
        <w:rPr>
          <w:sz w:val="20"/>
          <w:szCs w:val="20"/>
        </w:rPr>
        <w:t>64</w:t>
      </w:r>
      <w:r w:rsidRPr="00742B66">
        <w:rPr>
          <w:sz w:val="20"/>
          <w:szCs w:val="20"/>
        </w:rPr>
        <w:fldChar w:fldCharType="end"/>
      </w:r>
      <w:r w:rsidRPr="00742B66">
        <w:rPr>
          <w:sz w:val="20"/>
          <w:szCs w:val="20"/>
        </w:rPr>
        <w:t xml:space="preserve">, at 9. Those who had access to white people’s conversations were able to keep their community informed of news beyond the plantation, and once rebellion broke out, the “grape-vine telegraph” kept slaves abreast of the Union army’s incursions into the South. </w:t>
      </w:r>
      <w:proofErr w:type="gramStart"/>
      <w:r w:rsidRPr="00742B66">
        <w:rPr>
          <w:i/>
          <w:sz w:val="20"/>
          <w:szCs w:val="20"/>
        </w:rPr>
        <w:t>Id.</w:t>
      </w:r>
      <w:r w:rsidRPr="00742B66">
        <w:rPr>
          <w:sz w:val="20"/>
          <w:szCs w:val="20"/>
        </w:rPr>
        <w:t xml:space="preserve"> at 9</w:t>
      </w:r>
      <w:r w:rsidRPr="00742B66">
        <w:rPr>
          <w:smallCaps/>
          <w:sz w:val="20"/>
          <w:szCs w:val="20"/>
        </w:rPr>
        <w:t>–10 (</w:t>
      </w:r>
      <w:r w:rsidRPr="00742B66">
        <w:rPr>
          <w:sz w:val="20"/>
          <w:szCs w:val="20"/>
        </w:rPr>
        <w:t>describing newly arrived Union soldiers tossing newspapers over the property’s fence that were largely propaganda for white people, but slaves would appropriate them as both tools of learning and information about the developing war).</w:t>
      </w:r>
      <w:proofErr w:type="gramEnd"/>
    </w:p>
  </w:footnote>
  <w:footnote w:id="71">
    <w:p w14:paraId="73ECB567"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Sadie B. Hornsby, Plantation Life, </w:t>
      </w:r>
      <w:proofErr w:type="gramStart"/>
      <w:r w:rsidRPr="00742B66">
        <w:rPr>
          <w:sz w:val="20"/>
          <w:szCs w:val="20"/>
        </w:rPr>
        <w:t>Interview</w:t>
      </w:r>
      <w:proofErr w:type="gramEnd"/>
      <w:r w:rsidRPr="00742B66">
        <w:rPr>
          <w:sz w:val="20"/>
          <w:szCs w:val="20"/>
        </w:rPr>
        <w:t xml:space="preserve"> with: Alice Green, </w:t>
      </w:r>
      <w:r w:rsidRPr="00742B66">
        <w:rPr>
          <w:i/>
          <w:sz w:val="20"/>
          <w:szCs w:val="20"/>
        </w:rPr>
        <w:t xml:space="preserve">in </w:t>
      </w:r>
      <w:r w:rsidRPr="00742B66">
        <w:rPr>
          <w:sz w:val="20"/>
          <w:szCs w:val="20"/>
        </w:rPr>
        <w:t xml:space="preserve">4 </w:t>
      </w:r>
      <w:r w:rsidRPr="00742B66">
        <w:rPr>
          <w:smallCaps/>
          <w:sz w:val="20"/>
          <w:szCs w:val="20"/>
        </w:rPr>
        <w:t>Born in Slavery</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z w:val="20"/>
          <w:szCs w:val="20"/>
        </w:rPr>
        <w:t>, at pt. 2, 28, 42 (1941).</w:t>
      </w:r>
    </w:p>
  </w:footnote>
  <w:footnote w:id="72">
    <w:p w14:paraId="5AF8356A" w14:textId="77777777" w:rsidR="00E667D7" w:rsidRPr="00742B66" w:rsidRDefault="00E667D7" w:rsidP="00742B66">
      <w:pPr>
        <w:spacing w:after="240"/>
        <w:ind w:right="720"/>
        <w:rPr>
          <w:sz w:val="20"/>
          <w:szCs w:val="20"/>
        </w:rPr>
      </w:pPr>
      <w:r w:rsidRPr="00742B66">
        <w:rPr>
          <w:rStyle w:val="FootnoteReference"/>
          <w:sz w:val="20"/>
          <w:szCs w:val="20"/>
        </w:rPr>
        <w:footnoteRef/>
      </w:r>
      <w:r w:rsidRPr="00742B66">
        <w:rPr>
          <w:sz w:val="20"/>
          <w:szCs w:val="20"/>
        </w:rPr>
        <w:t xml:space="preserve"> Sadie B. Hornsby, Plantation Life as Viewed by Ex-Slave, Tom Hawkins, </w:t>
      </w:r>
      <w:r w:rsidRPr="00742B66">
        <w:rPr>
          <w:i/>
          <w:sz w:val="20"/>
          <w:szCs w:val="20"/>
        </w:rPr>
        <w:t xml:space="preserve">in id. </w:t>
      </w:r>
      <w:proofErr w:type="gramStart"/>
      <w:r w:rsidRPr="00742B66">
        <w:rPr>
          <w:sz w:val="20"/>
          <w:szCs w:val="20"/>
        </w:rPr>
        <w:t>at</w:t>
      </w:r>
      <w:proofErr w:type="gramEnd"/>
      <w:r w:rsidRPr="00742B66">
        <w:rPr>
          <w:sz w:val="20"/>
          <w:szCs w:val="20"/>
        </w:rPr>
        <w:t xml:space="preserve"> pt. 2, 126, 130–31.</w:t>
      </w:r>
    </w:p>
  </w:footnote>
  <w:footnote w:id="73">
    <w:p w14:paraId="7F260D3A"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Anderson,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z w:val="20"/>
          <w:szCs w:val="20"/>
        </w:rPr>
        <w:t>, at</w:t>
      </w:r>
      <w:r w:rsidRPr="00742B66">
        <w:rPr>
          <w:smallCaps/>
          <w:sz w:val="20"/>
          <w:szCs w:val="20"/>
        </w:rPr>
        <w:t xml:space="preserve"> 17. </w:t>
      </w:r>
    </w:p>
  </w:footnote>
  <w:footnote w:id="74">
    <w:p w14:paraId="71D67596"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p>
  </w:footnote>
  <w:footnote w:id="75">
    <w:p w14:paraId="4B69DDB9" w14:textId="77777777" w:rsidR="00E667D7" w:rsidRPr="00722603"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r>
        <w:rPr>
          <w:sz w:val="20"/>
          <w:szCs w:val="20"/>
        </w:rPr>
        <w:t xml:space="preserve">; </w:t>
      </w:r>
      <w:r>
        <w:rPr>
          <w:i/>
          <w:sz w:val="20"/>
          <w:szCs w:val="20"/>
        </w:rPr>
        <w:t xml:space="preserve">see also </w:t>
      </w:r>
      <w:proofErr w:type="spellStart"/>
      <w:r w:rsidRPr="003C6FB6">
        <w:rPr>
          <w:smallCaps/>
          <w:sz w:val="20"/>
          <w:szCs w:val="20"/>
        </w:rPr>
        <w:t>Yetman</w:t>
      </w:r>
      <w:proofErr w:type="spellEnd"/>
      <w:r>
        <w:rPr>
          <w:sz w:val="20"/>
          <w:szCs w:val="20"/>
        </w:rPr>
        <w:t xml:space="preserve">, </w:t>
      </w:r>
      <w:r w:rsidRPr="00DC17A0">
        <w:rPr>
          <w:i/>
          <w:sz w:val="20"/>
          <w:szCs w:val="20"/>
        </w:rPr>
        <w:t>supra</w:t>
      </w:r>
      <w:r>
        <w:rPr>
          <w:sz w:val="20"/>
          <w:szCs w:val="20"/>
        </w:rPr>
        <w:t xml:space="preserve"> note </w:t>
      </w:r>
      <w:r>
        <w:rPr>
          <w:sz w:val="20"/>
          <w:szCs w:val="20"/>
        </w:rPr>
        <w:fldChar w:fldCharType="begin"/>
      </w:r>
      <w:r>
        <w:rPr>
          <w:sz w:val="20"/>
          <w:szCs w:val="20"/>
        </w:rPr>
        <w:instrText xml:space="preserve"> NOTEREF _Ref291714769 \h </w:instrText>
      </w:r>
      <w:r>
        <w:rPr>
          <w:sz w:val="20"/>
          <w:szCs w:val="20"/>
        </w:rPr>
      </w:r>
      <w:r>
        <w:rPr>
          <w:sz w:val="20"/>
          <w:szCs w:val="20"/>
        </w:rPr>
        <w:fldChar w:fldCharType="separate"/>
      </w:r>
      <w:r>
        <w:rPr>
          <w:sz w:val="20"/>
          <w:szCs w:val="20"/>
        </w:rPr>
        <w:t>60</w:t>
      </w:r>
      <w:r>
        <w:rPr>
          <w:sz w:val="20"/>
          <w:szCs w:val="20"/>
        </w:rPr>
        <w:fldChar w:fldCharType="end"/>
      </w:r>
      <w:r>
        <w:rPr>
          <w:sz w:val="20"/>
          <w:szCs w:val="20"/>
        </w:rPr>
        <w:t xml:space="preserve">, at </w:t>
      </w:r>
      <w:r w:rsidRPr="00DC17A0">
        <w:rPr>
          <w:sz w:val="20"/>
          <w:szCs w:val="20"/>
        </w:rPr>
        <w:t>145</w:t>
      </w:r>
      <w:r>
        <w:rPr>
          <w:sz w:val="20"/>
          <w:szCs w:val="20"/>
        </w:rPr>
        <w:t xml:space="preserve"> (“De white folks didn’t allow us to even look at a book. </w:t>
      </w:r>
      <w:proofErr w:type="spellStart"/>
      <w:r>
        <w:rPr>
          <w:sz w:val="20"/>
          <w:szCs w:val="20"/>
        </w:rPr>
        <w:t>Dey</w:t>
      </w:r>
      <w:proofErr w:type="spellEnd"/>
      <w:r>
        <w:rPr>
          <w:sz w:val="20"/>
          <w:szCs w:val="20"/>
        </w:rPr>
        <w:t xml:space="preserve"> would scold and sometimes whip us </w:t>
      </w:r>
      <w:proofErr w:type="spellStart"/>
      <w:r>
        <w:rPr>
          <w:sz w:val="20"/>
          <w:szCs w:val="20"/>
        </w:rPr>
        <w:t>iffen</w:t>
      </w:r>
      <w:proofErr w:type="spellEnd"/>
      <w:r>
        <w:rPr>
          <w:sz w:val="20"/>
          <w:szCs w:val="20"/>
        </w:rPr>
        <w:t xml:space="preserve"> </w:t>
      </w:r>
      <w:proofErr w:type="spellStart"/>
      <w:r>
        <w:rPr>
          <w:sz w:val="20"/>
          <w:szCs w:val="20"/>
        </w:rPr>
        <w:t>dey</w:t>
      </w:r>
      <w:proofErr w:type="spellEnd"/>
      <w:r>
        <w:rPr>
          <w:sz w:val="20"/>
          <w:szCs w:val="20"/>
        </w:rPr>
        <w:t xml:space="preserve"> caught us with our head in a book.”).</w:t>
      </w:r>
    </w:p>
  </w:footnote>
  <w:footnote w:id="76">
    <w:p w14:paraId="376BE124" w14:textId="77777777" w:rsidR="00E667D7" w:rsidRPr="00742B66" w:rsidRDefault="00E667D7" w:rsidP="00742B66">
      <w:pPr>
        <w:pStyle w:val="FootnoteText"/>
        <w:spacing w:after="240"/>
        <w:rPr>
          <w:i/>
          <w:sz w:val="20"/>
          <w:szCs w:val="20"/>
        </w:rPr>
      </w:pPr>
      <w:r w:rsidRPr="00742B66">
        <w:rPr>
          <w:rStyle w:val="FootnoteReference"/>
          <w:sz w:val="20"/>
          <w:szCs w:val="20"/>
        </w:rPr>
        <w:footnoteRef/>
      </w:r>
      <w:r w:rsidRPr="00742B66">
        <w:rPr>
          <w:sz w:val="20"/>
          <w:szCs w:val="20"/>
        </w:rPr>
        <w:t xml:space="preserve"> The danger of literacy sometimes had the unintended effect of deepening the resolve of slaves to learn letters. Booker T. Washington wrote, “From the moment that it was made clear to me that I was not to go to school, that it was dangerous for me to learn to read, from that moment, I resolved that I should never be satisfied until I learned what this dangerous practice was like.” </w:t>
      </w:r>
      <w:proofErr w:type="gramStart"/>
      <w:r w:rsidRPr="00742B66">
        <w:rPr>
          <w:smallCaps/>
          <w:sz w:val="20"/>
          <w:szCs w:val="20"/>
        </w:rPr>
        <w:t>Booker T. Washington, Up From Slavery</w:t>
      </w:r>
      <w:r w:rsidRPr="00742B66">
        <w:rPr>
          <w:sz w:val="20"/>
          <w:szCs w:val="20"/>
        </w:rPr>
        <w:t xml:space="preserve"> 7 (New York, Viking Penguin Inc. 1986) (1901).</w:t>
      </w:r>
      <w:proofErr w:type="gramEnd"/>
      <w:r w:rsidRPr="00742B66">
        <w:rPr>
          <w:sz w:val="20"/>
          <w:szCs w:val="20"/>
        </w:rPr>
        <w:t xml:space="preserve"> Washington had a hunch that literacy “would be about the same as getting into paradise.” </w:t>
      </w:r>
      <w:r w:rsidRPr="00742B66">
        <w:rPr>
          <w:i/>
          <w:sz w:val="20"/>
          <w:szCs w:val="20"/>
        </w:rPr>
        <w:t>Id.</w:t>
      </w:r>
    </w:p>
  </w:footnote>
  <w:footnote w:id="77">
    <w:p w14:paraId="40A9013D"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Williams,</w:t>
      </w:r>
      <w:r w:rsidRPr="009258A8">
        <w:rPr>
          <w:smallCaps/>
          <w:sz w:val="20"/>
          <w:szCs w:val="20"/>
        </w:rPr>
        <w:t xml:space="preserve"> Self-Taught</w:t>
      </w:r>
      <w:r>
        <w:rPr>
          <w:smallCaps/>
          <w:sz w:val="20"/>
          <w:szCs w:val="20"/>
        </w:rPr>
        <w:t>,</w:t>
      </w:r>
      <w:r w:rsidRPr="00742B66">
        <w:rPr>
          <w:sz w:val="20"/>
          <w:szCs w:val="20"/>
        </w:rPr>
        <w:t xml:space="preserve"> </w:t>
      </w:r>
      <w:r w:rsidRPr="00742B66">
        <w:rPr>
          <w:i/>
          <w:sz w:val="20"/>
          <w:szCs w:val="20"/>
        </w:rPr>
        <w:t xml:space="preserve">supra </w:t>
      </w:r>
      <w:proofErr w:type="gramStart"/>
      <w:r w:rsidRPr="00742B66">
        <w:rPr>
          <w:sz w:val="20"/>
          <w:szCs w:val="20"/>
        </w:rPr>
        <w:t>note</w:t>
      </w:r>
      <w:proofErr w:type="gramEnd"/>
      <w:r w:rsidRPr="00742B66">
        <w:rPr>
          <w:sz w:val="20"/>
          <w:szCs w:val="20"/>
        </w:rPr>
        <w:t xml:space="preserve"> </w:t>
      </w:r>
      <w:r w:rsidRPr="00742B66">
        <w:rPr>
          <w:sz w:val="20"/>
          <w:szCs w:val="20"/>
        </w:rPr>
        <w:fldChar w:fldCharType="begin"/>
      </w:r>
      <w:r w:rsidRPr="00742B66">
        <w:rPr>
          <w:sz w:val="20"/>
          <w:szCs w:val="20"/>
        </w:rPr>
        <w:instrText xml:space="preserve"> NOTEREF _Ref291537796 \h </w:instrText>
      </w:r>
      <w:r w:rsidRPr="00742B66">
        <w:rPr>
          <w:sz w:val="20"/>
          <w:szCs w:val="20"/>
        </w:rPr>
      </w:r>
      <w:r w:rsidRPr="00742B66">
        <w:rPr>
          <w:sz w:val="20"/>
          <w:szCs w:val="20"/>
        </w:rPr>
        <w:fldChar w:fldCharType="separate"/>
      </w:r>
      <w:r>
        <w:rPr>
          <w:sz w:val="20"/>
          <w:szCs w:val="20"/>
        </w:rPr>
        <w:t>64</w:t>
      </w:r>
      <w:r w:rsidRPr="00742B66">
        <w:rPr>
          <w:sz w:val="20"/>
          <w:szCs w:val="20"/>
        </w:rPr>
        <w:fldChar w:fldCharType="end"/>
      </w:r>
      <w:r w:rsidRPr="00742B66">
        <w:rPr>
          <w:sz w:val="20"/>
          <w:szCs w:val="20"/>
        </w:rPr>
        <w:t>, at 25.</w:t>
      </w:r>
    </w:p>
  </w:footnote>
  <w:footnote w:id="78">
    <w:p w14:paraId="2EA14EDD"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Chase</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_Ref291597951 \h </w:instrText>
      </w:r>
      <w:r w:rsidRPr="00742B66">
        <w:rPr>
          <w:sz w:val="20"/>
          <w:szCs w:val="20"/>
        </w:rPr>
      </w:r>
      <w:r w:rsidRPr="00742B66">
        <w:rPr>
          <w:sz w:val="20"/>
          <w:szCs w:val="20"/>
        </w:rPr>
        <w:fldChar w:fldCharType="separate"/>
      </w:r>
      <w:r>
        <w:rPr>
          <w:sz w:val="20"/>
          <w:szCs w:val="20"/>
        </w:rPr>
        <w:t>50</w:t>
      </w:r>
      <w:r w:rsidRPr="00742B66">
        <w:rPr>
          <w:sz w:val="20"/>
          <w:szCs w:val="20"/>
        </w:rPr>
        <w:fldChar w:fldCharType="end"/>
      </w:r>
      <w:r w:rsidRPr="00742B66">
        <w:rPr>
          <w:sz w:val="20"/>
          <w:szCs w:val="20"/>
        </w:rPr>
        <w:t>, at 12.</w:t>
      </w:r>
    </w:p>
  </w:footnote>
  <w:footnote w:id="79">
    <w:p w14:paraId="7D5B359F"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Williams,</w:t>
      </w:r>
      <w:r w:rsidRPr="009258A8">
        <w:rPr>
          <w:smallCaps/>
          <w:sz w:val="20"/>
          <w:szCs w:val="20"/>
        </w:rPr>
        <w:t xml:space="preserve"> Self-Taught</w:t>
      </w:r>
      <w:r>
        <w:rPr>
          <w:smallCaps/>
          <w:sz w:val="20"/>
          <w:szCs w:val="20"/>
        </w:rPr>
        <w:t>,</w:t>
      </w:r>
      <w:r w:rsidRPr="00742B66">
        <w:rPr>
          <w:sz w:val="20"/>
          <w:szCs w:val="20"/>
        </w:rPr>
        <w:t xml:space="preserve"> </w:t>
      </w:r>
      <w:r w:rsidRPr="00742B66">
        <w:rPr>
          <w:i/>
          <w:sz w:val="20"/>
          <w:szCs w:val="20"/>
        </w:rPr>
        <w:t xml:space="preserve">supra </w:t>
      </w:r>
      <w:proofErr w:type="gramStart"/>
      <w:r w:rsidRPr="00742B66">
        <w:rPr>
          <w:sz w:val="20"/>
          <w:szCs w:val="20"/>
        </w:rPr>
        <w:t>note</w:t>
      </w:r>
      <w:proofErr w:type="gramEnd"/>
      <w:r w:rsidRPr="00742B66">
        <w:rPr>
          <w:sz w:val="20"/>
          <w:szCs w:val="20"/>
        </w:rPr>
        <w:t xml:space="preserve"> </w:t>
      </w:r>
      <w:r w:rsidRPr="00742B66">
        <w:rPr>
          <w:sz w:val="20"/>
          <w:szCs w:val="20"/>
        </w:rPr>
        <w:fldChar w:fldCharType="begin"/>
      </w:r>
      <w:r w:rsidRPr="00742B66">
        <w:rPr>
          <w:sz w:val="20"/>
          <w:szCs w:val="20"/>
        </w:rPr>
        <w:instrText xml:space="preserve"> NOTEREF _Ref291537796 \h </w:instrText>
      </w:r>
      <w:r w:rsidRPr="00742B66">
        <w:rPr>
          <w:sz w:val="20"/>
          <w:szCs w:val="20"/>
        </w:rPr>
      </w:r>
      <w:r w:rsidRPr="00742B66">
        <w:rPr>
          <w:sz w:val="20"/>
          <w:szCs w:val="20"/>
        </w:rPr>
        <w:fldChar w:fldCharType="separate"/>
      </w:r>
      <w:r>
        <w:rPr>
          <w:sz w:val="20"/>
          <w:szCs w:val="20"/>
        </w:rPr>
        <w:t>64</w:t>
      </w:r>
      <w:r w:rsidRPr="00742B66">
        <w:rPr>
          <w:sz w:val="20"/>
          <w:szCs w:val="20"/>
        </w:rPr>
        <w:fldChar w:fldCharType="end"/>
      </w:r>
      <w:r w:rsidRPr="00742B66">
        <w:rPr>
          <w:sz w:val="20"/>
          <w:szCs w:val="20"/>
        </w:rPr>
        <w:t>, at 7 (“Access to the written word, whether scriptural or political, revealed a world beyond bondage in which African Americans could imagine themselves free to think and behave as they chose.”).</w:t>
      </w:r>
    </w:p>
  </w:footnote>
  <w:footnote w:id="80">
    <w:p w14:paraId="2F24FD96"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Mattie K. Jackson, The Story of Mattie K. Jackson</w:t>
      </w:r>
      <w:r w:rsidRPr="00742B66">
        <w:rPr>
          <w:sz w:val="20"/>
          <w:szCs w:val="20"/>
        </w:rPr>
        <w:t xml:space="preserve">, </w:t>
      </w:r>
      <w:r w:rsidRPr="00742B66">
        <w:rPr>
          <w:i/>
          <w:sz w:val="20"/>
          <w:szCs w:val="20"/>
        </w:rPr>
        <w:t xml:space="preserve">reprinted in </w:t>
      </w:r>
      <w:r w:rsidRPr="00742B66">
        <w:rPr>
          <w:smallCaps/>
          <w:sz w:val="20"/>
          <w:szCs w:val="20"/>
        </w:rPr>
        <w:t>Speaking Lives, Authoring Texts: Three African American Women’s Oral Slave Narratives</w:t>
      </w:r>
      <w:r w:rsidRPr="00742B66">
        <w:rPr>
          <w:sz w:val="20"/>
          <w:szCs w:val="20"/>
        </w:rPr>
        <w:t xml:space="preserve"> 108</w:t>
      </w:r>
      <w:r w:rsidRPr="00742B66">
        <w:rPr>
          <w:smallCaps/>
          <w:sz w:val="20"/>
          <w:szCs w:val="20"/>
        </w:rPr>
        <w:t>–109 (</w:t>
      </w:r>
      <w:proofErr w:type="spellStart"/>
      <w:r w:rsidRPr="00742B66">
        <w:rPr>
          <w:sz w:val="20"/>
          <w:szCs w:val="20"/>
        </w:rPr>
        <w:t>DoVeanna</w:t>
      </w:r>
      <w:proofErr w:type="spellEnd"/>
      <w:r w:rsidRPr="00742B66">
        <w:rPr>
          <w:sz w:val="20"/>
          <w:szCs w:val="20"/>
        </w:rPr>
        <w:t xml:space="preserve"> S. Fulton &amp; Reginald H. Pitts eds</w:t>
      </w:r>
      <w:proofErr w:type="gramStart"/>
      <w:r w:rsidRPr="00742B66">
        <w:rPr>
          <w:sz w:val="20"/>
          <w:szCs w:val="20"/>
        </w:rPr>
        <w:t>.,</w:t>
      </w:r>
      <w:proofErr w:type="gramEnd"/>
      <w:r w:rsidRPr="00742B66">
        <w:rPr>
          <w:sz w:val="20"/>
          <w:szCs w:val="20"/>
        </w:rPr>
        <w:t xml:space="preserve"> 2010) </w:t>
      </w:r>
      <w:r w:rsidRPr="00742B66">
        <w:rPr>
          <w:smallCaps/>
          <w:sz w:val="20"/>
          <w:szCs w:val="20"/>
        </w:rPr>
        <w:t>(1866).</w:t>
      </w:r>
    </w:p>
  </w:footnote>
  <w:footnote w:id="81">
    <w:p w14:paraId="392141D4"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Id.</w:t>
      </w:r>
      <w:r w:rsidRPr="00742B66">
        <w:rPr>
          <w:sz w:val="20"/>
          <w:szCs w:val="20"/>
        </w:rPr>
        <w:t xml:space="preserve"> at 109.</w:t>
      </w:r>
      <w:proofErr w:type="gramEnd"/>
    </w:p>
  </w:footnote>
  <w:footnote w:id="82">
    <w:p w14:paraId="4BE72FCA"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 xml:space="preserve">Id. </w:t>
      </w:r>
      <w:r w:rsidRPr="00742B66">
        <w:rPr>
          <w:sz w:val="20"/>
          <w:szCs w:val="20"/>
        </w:rPr>
        <w:t>at 23 (noting how Literacy imbued enslaved persons with the ability to articulate intellectual and moral objections to the degradation of slavery).</w:t>
      </w:r>
      <w:proofErr w:type="gramEnd"/>
    </w:p>
  </w:footnote>
  <w:footnote w:id="83">
    <w:p w14:paraId="7F21470C"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Id.</w:t>
      </w:r>
      <w:r w:rsidRPr="00742B66">
        <w:rPr>
          <w:sz w:val="20"/>
          <w:szCs w:val="20"/>
        </w:rPr>
        <w:t xml:space="preserve"> at 12.</w:t>
      </w:r>
      <w:proofErr w:type="gramEnd"/>
    </w:p>
  </w:footnote>
  <w:footnote w:id="84">
    <w:p w14:paraId="3AAFA26D"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Dred Scott</w:t>
      </w:r>
      <w:r w:rsidRPr="00742B66">
        <w:rPr>
          <w:sz w:val="20"/>
          <w:szCs w:val="20"/>
        </w:rPr>
        <w:t>, 60 U.S. (19 How.) 393, 403 (1856). Writing for the Court, Chief Justice Taney, spelled out in a manner not required by the issue at bar—essentially whether the Circuit Court has jurisdiction to adjudicate Dred Scott’s challenge to his status as a slave—that because persons of African decent—</w:t>
      </w:r>
      <w:r w:rsidRPr="00742B66">
        <w:rPr>
          <w:i/>
          <w:sz w:val="20"/>
          <w:szCs w:val="20"/>
        </w:rPr>
        <w:t>whether enslaved or free</w:t>
      </w:r>
      <w:r w:rsidRPr="00742B66">
        <w:rPr>
          <w:sz w:val="20"/>
          <w:szCs w:val="20"/>
        </w:rPr>
        <w:t xml:space="preserve">—“were a subordinate and inferior class of beings . . . and had no rights or privileges but such as those that held the power and the Government might choose to grant them,” and therefore were not part of the sovereign “people of the United States.” </w:t>
      </w:r>
      <w:proofErr w:type="gramStart"/>
      <w:r w:rsidRPr="00742B66">
        <w:rPr>
          <w:i/>
          <w:sz w:val="20"/>
          <w:szCs w:val="20"/>
        </w:rPr>
        <w:t>Id.</w:t>
      </w:r>
      <w:r w:rsidRPr="00742B66">
        <w:rPr>
          <w:sz w:val="20"/>
          <w:szCs w:val="20"/>
        </w:rPr>
        <w:t xml:space="preserve"> at 404–05.</w:t>
      </w:r>
      <w:proofErr w:type="gramEnd"/>
      <w:r w:rsidRPr="00742B66">
        <w:rPr>
          <w:sz w:val="20"/>
          <w:szCs w:val="20"/>
        </w:rPr>
        <w:t xml:space="preserve"> Moreover, the Chief Justice understood the decedents of Africa as lacking legal personality as </w:t>
      </w:r>
      <w:r w:rsidRPr="00742B66">
        <w:rPr>
          <w:i/>
          <w:sz w:val="20"/>
          <w:szCs w:val="20"/>
        </w:rPr>
        <w:t>fait accompli</w:t>
      </w:r>
      <w:r w:rsidRPr="00742B66">
        <w:rPr>
          <w:sz w:val="20"/>
          <w:szCs w:val="20"/>
        </w:rPr>
        <w:t xml:space="preserve">: “It is not the province of the court to decide upon the justice or injustice, the policy or </w:t>
      </w:r>
      <w:proofErr w:type="spellStart"/>
      <w:r w:rsidRPr="00742B66">
        <w:rPr>
          <w:sz w:val="20"/>
          <w:szCs w:val="20"/>
        </w:rPr>
        <w:t>impolicy</w:t>
      </w:r>
      <w:proofErr w:type="spellEnd"/>
      <w:r w:rsidRPr="00742B66">
        <w:rPr>
          <w:sz w:val="20"/>
          <w:szCs w:val="20"/>
        </w:rPr>
        <w:t>, of these laws. The decision of that question belong</w:t>
      </w:r>
      <w:r>
        <w:rPr>
          <w:sz w:val="20"/>
          <w:szCs w:val="20"/>
        </w:rPr>
        <w:t>s</w:t>
      </w:r>
      <w:r w:rsidRPr="00742B66">
        <w:rPr>
          <w:sz w:val="20"/>
          <w:szCs w:val="20"/>
        </w:rPr>
        <w:t xml:space="preserve"> to the political or law-making power; to those who formed the sovereignty and framed the Constitution.” </w:t>
      </w:r>
      <w:proofErr w:type="gramStart"/>
      <w:r w:rsidRPr="00742B66">
        <w:rPr>
          <w:i/>
          <w:sz w:val="20"/>
          <w:szCs w:val="20"/>
        </w:rPr>
        <w:t>Id.</w:t>
      </w:r>
      <w:r w:rsidRPr="00742B66">
        <w:rPr>
          <w:sz w:val="20"/>
          <w:szCs w:val="20"/>
        </w:rPr>
        <w:t xml:space="preserve"> at 405.</w:t>
      </w:r>
      <w:proofErr w:type="gramEnd"/>
      <w:r w:rsidRPr="00742B66">
        <w:rPr>
          <w:sz w:val="20"/>
          <w:szCs w:val="20"/>
        </w:rPr>
        <w:t xml:space="preserve"> Like a father protects his family and castle against intrusion, the Court sought to defend the “political family” envisioned by the framers from black’s claims of freedom that howled from the peripheries. </w:t>
      </w:r>
      <w:proofErr w:type="gramStart"/>
      <w:r w:rsidRPr="00742B66">
        <w:rPr>
          <w:i/>
          <w:sz w:val="20"/>
          <w:szCs w:val="20"/>
        </w:rPr>
        <w:t xml:space="preserve">Id. </w:t>
      </w:r>
      <w:r w:rsidRPr="00742B66">
        <w:rPr>
          <w:sz w:val="20"/>
          <w:szCs w:val="20"/>
        </w:rPr>
        <w:t>at 206.</w:t>
      </w:r>
      <w:proofErr w:type="gramEnd"/>
      <w:r w:rsidRPr="00742B66">
        <w:rPr>
          <w:sz w:val="20"/>
          <w:szCs w:val="20"/>
        </w:rPr>
        <w:t xml:space="preserve"> It is precisely this threat—black’s demand for constitutional personhood and its effects—that was cause for a circling of the wagons. </w:t>
      </w:r>
      <w:r w:rsidRPr="00742B66">
        <w:rPr>
          <w:i/>
          <w:sz w:val="20"/>
          <w:szCs w:val="20"/>
        </w:rPr>
        <w:t xml:space="preserve">Cf. </w:t>
      </w:r>
      <w:r w:rsidRPr="00742B66">
        <w:rPr>
          <w:smallCaps/>
          <w:sz w:val="20"/>
          <w:szCs w:val="20"/>
        </w:rPr>
        <w:t>Williams,</w:t>
      </w:r>
      <w:r w:rsidRPr="009258A8">
        <w:rPr>
          <w:smallCaps/>
          <w:sz w:val="20"/>
          <w:szCs w:val="20"/>
        </w:rPr>
        <w:t xml:space="preserve"> Self-Taught</w:t>
      </w:r>
      <w:r>
        <w:rPr>
          <w:smallCaps/>
          <w:sz w:val="20"/>
          <w:szCs w:val="20"/>
        </w:rPr>
        <w:t>,</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_Ref291537796 \h </w:instrText>
      </w:r>
      <w:r w:rsidRPr="00742B66">
        <w:rPr>
          <w:sz w:val="20"/>
          <w:szCs w:val="20"/>
        </w:rPr>
      </w:r>
      <w:r w:rsidRPr="00742B66">
        <w:rPr>
          <w:sz w:val="20"/>
          <w:szCs w:val="20"/>
        </w:rPr>
        <w:fldChar w:fldCharType="separate"/>
      </w:r>
      <w:r>
        <w:rPr>
          <w:sz w:val="20"/>
          <w:szCs w:val="20"/>
        </w:rPr>
        <w:t>64</w:t>
      </w:r>
      <w:r w:rsidRPr="00742B66">
        <w:rPr>
          <w:sz w:val="20"/>
          <w:szCs w:val="20"/>
        </w:rPr>
        <w:fldChar w:fldCharType="end"/>
      </w:r>
      <w:r w:rsidRPr="00742B66">
        <w:rPr>
          <w:sz w:val="20"/>
          <w:szCs w:val="20"/>
        </w:rPr>
        <w:t xml:space="preserve">, at 22 (“Whites feared that literacy would render slaves unmanageable. Blacks wanted access to reading and writing as a way to attain the very information and power that whites strove to withhold from them.”). At base, black literacy, 1) challenged notions of black intellectual inferiority by showing that blacks were educable; 2) rejected notions of black depravity in that it demonstrated a yearning for enlightenment; and 3) undermined the assumption of </w:t>
      </w:r>
      <w:proofErr w:type="spellStart"/>
      <w:r w:rsidRPr="00742B66">
        <w:rPr>
          <w:sz w:val="20"/>
          <w:szCs w:val="20"/>
        </w:rPr>
        <w:t>exceptionalism</w:t>
      </w:r>
      <w:proofErr w:type="spellEnd"/>
      <w:r w:rsidRPr="00742B66">
        <w:rPr>
          <w:sz w:val="20"/>
          <w:szCs w:val="20"/>
        </w:rPr>
        <w:t xml:space="preserve">. </w:t>
      </w:r>
      <w:r w:rsidRPr="00742B66">
        <w:rPr>
          <w:i/>
          <w:sz w:val="20"/>
          <w:szCs w:val="20"/>
        </w:rPr>
        <w:t>See id.</w:t>
      </w:r>
      <w:r w:rsidRPr="00742B66">
        <w:rPr>
          <w:sz w:val="20"/>
          <w:szCs w:val="20"/>
        </w:rPr>
        <w:t xml:space="preserve"> </w:t>
      </w:r>
      <w:proofErr w:type="gramStart"/>
      <w:r w:rsidRPr="00742B66">
        <w:rPr>
          <w:sz w:val="20"/>
          <w:szCs w:val="20"/>
        </w:rPr>
        <w:t>at</w:t>
      </w:r>
      <w:proofErr w:type="gramEnd"/>
      <w:r w:rsidRPr="00742B66">
        <w:rPr>
          <w:sz w:val="20"/>
          <w:szCs w:val="20"/>
        </w:rPr>
        <w:t xml:space="preserve"> 29. </w:t>
      </w:r>
    </w:p>
    <w:p w14:paraId="7EF70E3B" w14:textId="77777777" w:rsidR="00E667D7" w:rsidRPr="00742B66" w:rsidRDefault="00E667D7" w:rsidP="00742B66">
      <w:pPr>
        <w:pStyle w:val="FootnoteText"/>
        <w:spacing w:after="240"/>
        <w:ind w:firstLine="720"/>
        <w:rPr>
          <w:sz w:val="20"/>
          <w:szCs w:val="20"/>
        </w:rPr>
      </w:pPr>
      <w:r w:rsidRPr="00742B66">
        <w:rPr>
          <w:sz w:val="20"/>
          <w:szCs w:val="20"/>
        </w:rPr>
        <w:t xml:space="preserve">The psychic lives and political sensibilities of enslaved African Americans was also manifest in the African American struggle to maintain family and communal bonds notwithstanding failure of the law to recognize black social constellations, whether connubial or platonic. </w:t>
      </w:r>
      <w:r w:rsidRPr="00742B66">
        <w:rPr>
          <w:i/>
          <w:sz w:val="20"/>
          <w:szCs w:val="20"/>
        </w:rPr>
        <w:t>See generally</w:t>
      </w:r>
      <w:r w:rsidRPr="00742B66">
        <w:rPr>
          <w:sz w:val="20"/>
          <w:szCs w:val="20"/>
        </w:rPr>
        <w:t xml:space="preserve"> </w:t>
      </w:r>
      <w:r w:rsidRPr="00742B66">
        <w:rPr>
          <w:smallCaps/>
          <w:sz w:val="20"/>
          <w:szCs w:val="20"/>
        </w:rPr>
        <w:t xml:space="preserve">Heather Andrea Williams, Help Me to Find My People: The African American Search for Family Lost in Slavery </w:t>
      </w:r>
      <w:r w:rsidRPr="00742B66">
        <w:rPr>
          <w:sz w:val="20"/>
          <w:szCs w:val="20"/>
        </w:rPr>
        <w:t>(2003)</w:t>
      </w:r>
      <w:r>
        <w:rPr>
          <w:sz w:val="20"/>
          <w:szCs w:val="20"/>
        </w:rPr>
        <w:t xml:space="preserve"> [hereinafter </w:t>
      </w:r>
      <w:r w:rsidRPr="00AF0C21">
        <w:rPr>
          <w:smallCaps/>
          <w:sz w:val="20"/>
          <w:szCs w:val="20"/>
        </w:rPr>
        <w:t>Find My People</w:t>
      </w:r>
      <w:r>
        <w:rPr>
          <w:sz w:val="20"/>
          <w:szCs w:val="20"/>
        </w:rPr>
        <w:t>]</w:t>
      </w:r>
      <w:r w:rsidRPr="00742B66">
        <w:rPr>
          <w:sz w:val="20"/>
          <w:szCs w:val="20"/>
        </w:rPr>
        <w:t>.</w:t>
      </w:r>
    </w:p>
  </w:footnote>
  <w:footnote w:id="85">
    <w:p w14:paraId="66E9D715" w14:textId="77777777" w:rsidR="00E667D7" w:rsidRPr="00742B66" w:rsidRDefault="00E667D7" w:rsidP="00742B66">
      <w:pPr>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Still,</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_Ref291616864 \h </w:instrText>
      </w:r>
      <w:r w:rsidRPr="00742B66">
        <w:rPr>
          <w:sz w:val="20"/>
          <w:szCs w:val="20"/>
        </w:rPr>
      </w:r>
      <w:r w:rsidRPr="00742B66">
        <w:rPr>
          <w:sz w:val="20"/>
          <w:szCs w:val="20"/>
        </w:rPr>
        <w:fldChar w:fldCharType="separate"/>
      </w:r>
      <w:r>
        <w:rPr>
          <w:sz w:val="20"/>
          <w:szCs w:val="20"/>
        </w:rPr>
        <w:t>63</w:t>
      </w:r>
      <w:r w:rsidRPr="00742B66">
        <w:rPr>
          <w:sz w:val="20"/>
          <w:szCs w:val="20"/>
        </w:rPr>
        <w:fldChar w:fldCharType="end"/>
      </w:r>
      <w:r w:rsidRPr="00742B66">
        <w:rPr>
          <w:sz w:val="20"/>
          <w:szCs w:val="20"/>
        </w:rPr>
        <w:t>, at 454.</w:t>
      </w:r>
    </w:p>
  </w:footnote>
  <w:footnote w:id="86">
    <w:p w14:paraId="33ED1EF7" w14:textId="77777777" w:rsidR="00E667D7" w:rsidRPr="00742B66" w:rsidRDefault="00E667D7" w:rsidP="0040319B">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sz w:val="20"/>
          <w:szCs w:val="20"/>
        </w:rPr>
        <w:t xml:space="preserve">Peggy Cooper Davis, </w:t>
      </w:r>
      <w:r w:rsidRPr="00742B66">
        <w:rPr>
          <w:i/>
          <w:sz w:val="20"/>
          <w:szCs w:val="20"/>
        </w:rPr>
        <w:t>Contested Images of Family Values</w:t>
      </w:r>
      <w:r w:rsidRPr="00742B66">
        <w:rPr>
          <w:sz w:val="20"/>
          <w:szCs w:val="20"/>
        </w:rPr>
        <w:t xml:space="preserve">, 107 </w:t>
      </w:r>
      <w:proofErr w:type="spellStart"/>
      <w:r w:rsidRPr="00742B66">
        <w:rPr>
          <w:smallCaps/>
          <w:sz w:val="20"/>
          <w:szCs w:val="20"/>
        </w:rPr>
        <w:t>Harv</w:t>
      </w:r>
      <w:proofErr w:type="spellEnd"/>
      <w:r w:rsidRPr="00742B66">
        <w:rPr>
          <w:smallCaps/>
          <w:sz w:val="20"/>
          <w:szCs w:val="20"/>
        </w:rPr>
        <w:t>.</w:t>
      </w:r>
      <w:proofErr w:type="gramEnd"/>
      <w:r w:rsidRPr="00742B66">
        <w:rPr>
          <w:smallCaps/>
          <w:sz w:val="20"/>
          <w:szCs w:val="20"/>
        </w:rPr>
        <w:t xml:space="preserve"> L. Rev.</w:t>
      </w:r>
      <w:r w:rsidRPr="00742B66">
        <w:rPr>
          <w:sz w:val="20"/>
          <w:szCs w:val="20"/>
        </w:rPr>
        <w:t xml:space="preserve"> 1348, 1362 (1994).</w:t>
      </w:r>
    </w:p>
  </w:footnote>
  <w:footnote w:id="87">
    <w:p w14:paraId="2AC9B782" w14:textId="77777777" w:rsidR="00E667D7" w:rsidRPr="003C6FB6" w:rsidRDefault="00E667D7" w:rsidP="003C6FB6">
      <w:pPr>
        <w:pStyle w:val="FootnoteText"/>
        <w:spacing w:after="240"/>
        <w:rPr>
          <w:i/>
          <w:sz w:val="20"/>
          <w:szCs w:val="20"/>
        </w:rPr>
      </w:pPr>
      <w:r w:rsidRPr="003C6FB6">
        <w:rPr>
          <w:rStyle w:val="FootnoteReference"/>
          <w:sz w:val="20"/>
          <w:szCs w:val="20"/>
        </w:rPr>
        <w:footnoteRef/>
      </w:r>
      <w:r w:rsidRPr="003C6FB6">
        <w:rPr>
          <w:sz w:val="20"/>
          <w:szCs w:val="20"/>
        </w:rPr>
        <w:t xml:space="preserve"> </w:t>
      </w:r>
      <w:r w:rsidRPr="003C6FB6">
        <w:rPr>
          <w:i/>
          <w:sz w:val="20"/>
          <w:szCs w:val="20"/>
        </w:rPr>
        <w:t>Id.</w:t>
      </w:r>
    </w:p>
  </w:footnote>
  <w:footnote w:id="88">
    <w:p w14:paraId="1791BE89" w14:textId="77777777" w:rsidR="00E667D7" w:rsidRPr="00742B66" w:rsidRDefault="00E667D7" w:rsidP="003C6FB6">
      <w:pPr>
        <w:pStyle w:val="FootnoteText"/>
        <w:spacing w:after="240"/>
        <w:rPr>
          <w:sz w:val="20"/>
          <w:szCs w:val="20"/>
        </w:rPr>
      </w:pPr>
      <w:r w:rsidRPr="0040319B">
        <w:rPr>
          <w:rStyle w:val="FootnoteReference"/>
          <w:sz w:val="20"/>
          <w:szCs w:val="20"/>
        </w:rPr>
        <w:footnoteRef/>
      </w:r>
      <w:r w:rsidRPr="0040319B">
        <w:rPr>
          <w:sz w:val="20"/>
          <w:szCs w:val="20"/>
        </w:rPr>
        <w:t xml:space="preserve"> </w:t>
      </w:r>
      <w:r w:rsidRPr="0040319B">
        <w:rPr>
          <w:i/>
          <w:sz w:val="20"/>
          <w:szCs w:val="20"/>
        </w:rPr>
        <w:t xml:space="preserve">See </w:t>
      </w:r>
      <w:proofErr w:type="spellStart"/>
      <w:r w:rsidRPr="00E04CBD">
        <w:rPr>
          <w:smallCaps/>
          <w:sz w:val="20"/>
          <w:szCs w:val="20"/>
        </w:rPr>
        <w:t>Edwardo</w:t>
      </w:r>
      <w:proofErr w:type="spellEnd"/>
      <w:r w:rsidRPr="00742B66">
        <w:rPr>
          <w:smallCaps/>
          <w:sz w:val="20"/>
          <w:szCs w:val="20"/>
        </w:rPr>
        <w:t xml:space="preserve"> Coke, 1 The First Part of the Institutes of the Laws of England, or, a Commentary Upon Littleton § 200</w:t>
      </w:r>
      <w:r w:rsidRPr="00742B66">
        <w:rPr>
          <w:i/>
          <w:smallCaps/>
          <w:sz w:val="20"/>
          <w:szCs w:val="20"/>
        </w:rPr>
        <w:t xml:space="preserve"> </w:t>
      </w:r>
      <w:r w:rsidRPr="00742B66">
        <w:rPr>
          <w:sz w:val="20"/>
          <w:szCs w:val="20"/>
        </w:rPr>
        <w:t xml:space="preserve">(Philadelphia, Robert H. Small 1853) (1628) (“There is a death in </w:t>
      </w:r>
      <w:proofErr w:type="spellStart"/>
      <w:r w:rsidRPr="00742B66">
        <w:rPr>
          <w:sz w:val="20"/>
          <w:szCs w:val="20"/>
        </w:rPr>
        <w:t>deede</w:t>
      </w:r>
      <w:proofErr w:type="spellEnd"/>
      <w:r w:rsidRPr="00742B66">
        <w:rPr>
          <w:sz w:val="20"/>
          <w:szCs w:val="20"/>
        </w:rPr>
        <w:t xml:space="preserve">, and there is a </w:t>
      </w:r>
      <w:proofErr w:type="spellStart"/>
      <w:r w:rsidRPr="00742B66">
        <w:rPr>
          <w:sz w:val="20"/>
          <w:szCs w:val="20"/>
        </w:rPr>
        <w:t>civill</w:t>
      </w:r>
      <w:proofErr w:type="spellEnd"/>
      <w:r w:rsidRPr="00742B66">
        <w:rPr>
          <w:sz w:val="20"/>
          <w:szCs w:val="20"/>
        </w:rPr>
        <w:t xml:space="preserve"> death, or a death in law, </w:t>
      </w:r>
      <w:proofErr w:type="spellStart"/>
      <w:r w:rsidRPr="00742B66">
        <w:rPr>
          <w:sz w:val="20"/>
          <w:szCs w:val="20"/>
        </w:rPr>
        <w:t>mors</w:t>
      </w:r>
      <w:proofErr w:type="spellEnd"/>
      <w:r w:rsidRPr="00742B66">
        <w:rPr>
          <w:sz w:val="20"/>
          <w:szCs w:val="20"/>
        </w:rPr>
        <w:t xml:space="preserve"> </w:t>
      </w:r>
      <w:proofErr w:type="spellStart"/>
      <w:r w:rsidRPr="00742B66">
        <w:rPr>
          <w:sz w:val="20"/>
          <w:szCs w:val="20"/>
        </w:rPr>
        <w:t>civilis</w:t>
      </w:r>
      <w:proofErr w:type="spellEnd"/>
      <w:r w:rsidRPr="00742B66">
        <w:rPr>
          <w:sz w:val="20"/>
          <w:szCs w:val="20"/>
        </w:rPr>
        <w:t xml:space="preserve"> and </w:t>
      </w:r>
      <w:proofErr w:type="spellStart"/>
      <w:r w:rsidRPr="00742B66">
        <w:rPr>
          <w:sz w:val="20"/>
          <w:szCs w:val="20"/>
        </w:rPr>
        <w:t>mors</w:t>
      </w:r>
      <w:proofErr w:type="spellEnd"/>
      <w:r w:rsidRPr="00742B66">
        <w:rPr>
          <w:sz w:val="20"/>
          <w:szCs w:val="20"/>
        </w:rPr>
        <w:t xml:space="preserve"> </w:t>
      </w:r>
      <w:proofErr w:type="spellStart"/>
      <w:r w:rsidRPr="00742B66">
        <w:rPr>
          <w:sz w:val="20"/>
          <w:szCs w:val="20"/>
        </w:rPr>
        <w:t>naturalis</w:t>
      </w:r>
      <w:proofErr w:type="spellEnd"/>
      <w:r w:rsidRPr="00742B66">
        <w:rPr>
          <w:sz w:val="20"/>
          <w:szCs w:val="20"/>
        </w:rPr>
        <w:t xml:space="preserve"> . . </w:t>
      </w:r>
      <w:proofErr w:type="gramStart"/>
      <w:r w:rsidRPr="00742B66">
        <w:rPr>
          <w:sz w:val="20"/>
          <w:szCs w:val="20"/>
        </w:rPr>
        <w:t>. .</w:t>
      </w:r>
      <w:proofErr w:type="gramEnd"/>
      <w:r w:rsidRPr="00742B66">
        <w:rPr>
          <w:sz w:val="20"/>
          <w:szCs w:val="20"/>
        </w:rPr>
        <w:t>”).</w:t>
      </w:r>
    </w:p>
  </w:footnote>
  <w:footnote w:id="89">
    <w:p w14:paraId="4D474C1C"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 xml:space="preserve">Cf. </w:t>
      </w:r>
      <w:r w:rsidRPr="00742B66">
        <w:rPr>
          <w:sz w:val="20"/>
          <w:szCs w:val="20"/>
        </w:rPr>
        <w:t xml:space="preserve">Rebecca McLennan, </w:t>
      </w:r>
      <w:r w:rsidRPr="00742B66">
        <w:rPr>
          <w:i/>
          <w:sz w:val="20"/>
          <w:szCs w:val="20"/>
        </w:rPr>
        <w:t>The Convict’s Two Lives: Civil and Natural Death in the American Prison</w:t>
      </w:r>
      <w:r w:rsidRPr="00742B66">
        <w:rPr>
          <w:sz w:val="20"/>
          <w:szCs w:val="20"/>
        </w:rPr>
        <w:t xml:space="preserve">, </w:t>
      </w:r>
      <w:r w:rsidRPr="00742B66">
        <w:rPr>
          <w:i/>
          <w:sz w:val="20"/>
          <w:szCs w:val="20"/>
        </w:rPr>
        <w:t xml:space="preserve">in </w:t>
      </w:r>
      <w:r w:rsidRPr="00742B66">
        <w:rPr>
          <w:smallCaps/>
          <w:sz w:val="20"/>
          <w:szCs w:val="20"/>
        </w:rPr>
        <w:t>America’s Death Penalty</w:t>
      </w:r>
      <w:r w:rsidRPr="00742B66">
        <w:rPr>
          <w:sz w:val="20"/>
          <w:szCs w:val="20"/>
        </w:rPr>
        <w:t xml:space="preserve"> 193 (David Garland et al., eds</w:t>
      </w:r>
      <w:proofErr w:type="gramStart"/>
      <w:r w:rsidRPr="00742B66">
        <w:rPr>
          <w:sz w:val="20"/>
          <w:szCs w:val="20"/>
        </w:rPr>
        <w:t>.,</w:t>
      </w:r>
      <w:proofErr w:type="gramEnd"/>
      <w:r w:rsidRPr="00742B66">
        <w:rPr>
          <w:sz w:val="20"/>
          <w:szCs w:val="20"/>
        </w:rPr>
        <w:t xml:space="preserve"> 2011) (describing civil death as marking the status of prisoners and convicts). Although, McLennan is writing on the technology of penal involuntary servitude as criminal punishment, her observations bear an uncanny resemblance to that of the experiences of enslaved blacks. </w:t>
      </w:r>
      <w:r w:rsidRPr="00742B66">
        <w:rPr>
          <w:i/>
          <w:sz w:val="20"/>
          <w:szCs w:val="20"/>
        </w:rPr>
        <w:t xml:space="preserve">Compare id. </w:t>
      </w:r>
      <w:r w:rsidRPr="00742B66">
        <w:rPr>
          <w:sz w:val="20"/>
          <w:szCs w:val="20"/>
        </w:rPr>
        <w:t xml:space="preserve">(“In the course of the nineteenth century convicts’ separate status was constituted and elaborated in voting, administrative, employment, constitutional, and educational laws that, together, ensnared the convict in a dense thicket of civil penalties . . </w:t>
      </w:r>
      <w:proofErr w:type="gramStart"/>
      <w:r w:rsidRPr="00742B66">
        <w:rPr>
          <w:sz w:val="20"/>
          <w:szCs w:val="20"/>
        </w:rPr>
        <w:t>. .</w:t>
      </w:r>
      <w:proofErr w:type="gramEnd"/>
      <w:r w:rsidRPr="00742B66">
        <w:rPr>
          <w:sz w:val="20"/>
          <w:szCs w:val="20"/>
        </w:rPr>
        <w:t xml:space="preserve">”), </w:t>
      </w:r>
      <w:r w:rsidRPr="00742B66">
        <w:rPr>
          <w:i/>
          <w:sz w:val="20"/>
          <w:szCs w:val="20"/>
        </w:rPr>
        <w:t>with</w:t>
      </w:r>
      <w:r w:rsidRPr="00742B66">
        <w:rPr>
          <w:sz w:val="20"/>
          <w:szCs w:val="20"/>
        </w:rPr>
        <w:t xml:space="preserve"> </w:t>
      </w:r>
      <w:r w:rsidRPr="00742B66">
        <w:rPr>
          <w:i/>
          <w:sz w:val="20"/>
          <w:szCs w:val="20"/>
        </w:rPr>
        <w:t xml:space="preserve">supra </w:t>
      </w:r>
      <w:r w:rsidRPr="00742B66">
        <w:rPr>
          <w:sz w:val="20"/>
          <w:szCs w:val="20"/>
        </w:rPr>
        <w:t xml:space="preserve">notes </w:t>
      </w:r>
      <w:r w:rsidRPr="00742B66">
        <w:rPr>
          <w:sz w:val="20"/>
          <w:szCs w:val="20"/>
        </w:rPr>
        <w:fldChar w:fldCharType="begin"/>
      </w:r>
      <w:r w:rsidRPr="00742B66">
        <w:rPr>
          <w:sz w:val="20"/>
          <w:szCs w:val="20"/>
        </w:rPr>
        <w:instrText xml:space="preserve"> NOTEREF _Ref291616284 \h </w:instrText>
      </w:r>
      <w:r w:rsidRPr="00742B66">
        <w:rPr>
          <w:sz w:val="20"/>
          <w:szCs w:val="20"/>
        </w:rPr>
      </w:r>
      <w:r w:rsidRPr="00742B66">
        <w:rPr>
          <w:sz w:val="20"/>
          <w:szCs w:val="20"/>
        </w:rPr>
        <w:fldChar w:fldCharType="separate"/>
      </w:r>
      <w:r>
        <w:rPr>
          <w:sz w:val="20"/>
          <w:szCs w:val="20"/>
        </w:rPr>
        <w:t>84</w:t>
      </w:r>
      <w:r w:rsidRPr="00742B66">
        <w:rPr>
          <w:sz w:val="20"/>
          <w:szCs w:val="20"/>
        </w:rPr>
        <w:fldChar w:fldCharType="end"/>
      </w:r>
      <w:r w:rsidRPr="00742B66">
        <w:rPr>
          <w:sz w:val="20"/>
          <w:szCs w:val="20"/>
        </w:rPr>
        <w:t>–</w:t>
      </w:r>
      <w:r w:rsidRPr="00742B66">
        <w:rPr>
          <w:sz w:val="20"/>
          <w:szCs w:val="20"/>
        </w:rPr>
        <w:fldChar w:fldCharType="begin"/>
      </w:r>
      <w:r w:rsidRPr="00742B66">
        <w:rPr>
          <w:sz w:val="20"/>
          <w:szCs w:val="20"/>
        </w:rPr>
        <w:instrText xml:space="preserve"> NOTEREF _Ref291616340 \h </w:instrText>
      </w:r>
      <w:r w:rsidRPr="00742B66">
        <w:rPr>
          <w:sz w:val="20"/>
          <w:szCs w:val="20"/>
        </w:rPr>
      </w:r>
      <w:r w:rsidRPr="00742B66">
        <w:rPr>
          <w:sz w:val="20"/>
          <w:szCs w:val="20"/>
        </w:rPr>
        <w:fldChar w:fldCharType="separate"/>
      </w:r>
      <w:r>
        <w:rPr>
          <w:sz w:val="20"/>
          <w:szCs w:val="20"/>
        </w:rPr>
        <w:t>88</w:t>
      </w:r>
      <w:r w:rsidRPr="00742B66">
        <w:rPr>
          <w:sz w:val="20"/>
          <w:szCs w:val="20"/>
        </w:rPr>
        <w:fldChar w:fldCharType="end"/>
      </w:r>
      <w:r w:rsidRPr="00742B66">
        <w:rPr>
          <w:sz w:val="20"/>
          <w:szCs w:val="20"/>
        </w:rPr>
        <w:t xml:space="preserve"> and accompanying text (discussing enslaved African American’s demand for civic personhood). </w:t>
      </w:r>
    </w:p>
  </w:footnote>
  <w:footnote w:id="90">
    <w:p w14:paraId="433FACCE" w14:textId="77777777" w:rsidR="00E667D7" w:rsidRPr="00742B66" w:rsidRDefault="00E667D7" w:rsidP="00742B66">
      <w:pPr>
        <w:spacing w:after="240"/>
        <w:ind w:right="720"/>
        <w:rPr>
          <w:sz w:val="20"/>
          <w:szCs w:val="20"/>
        </w:rPr>
      </w:pPr>
      <w:r w:rsidRPr="00742B66">
        <w:rPr>
          <w:rStyle w:val="FootnoteReference"/>
          <w:sz w:val="20"/>
          <w:szCs w:val="20"/>
        </w:rPr>
        <w:footnoteRef/>
      </w:r>
      <w:r w:rsidRPr="00742B66">
        <w:rPr>
          <w:sz w:val="20"/>
          <w:szCs w:val="20"/>
        </w:rPr>
        <w:t xml:space="preserve"> </w:t>
      </w:r>
      <w:r w:rsidRPr="00742B66">
        <w:rPr>
          <w:iCs/>
          <w:sz w:val="20"/>
          <w:szCs w:val="20"/>
        </w:rPr>
        <w:t>Bryan v. Walton</w:t>
      </w:r>
      <w:r w:rsidRPr="00742B66">
        <w:rPr>
          <w:sz w:val="20"/>
          <w:szCs w:val="20"/>
        </w:rPr>
        <w:t xml:space="preserve">, 14 Ga. 185, 204 (1853) (referencing </w:t>
      </w:r>
      <w:r w:rsidRPr="00742B66">
        <w:rPr>
          <w:smallCaps/>
          <w:sz w:val="20"/>
          <w:szCs w:val="20"/>
        </w:rPr>
        <w:t>John Taylor, Elements of Civil Law</w:t>
      </w:r>
      <w:r w:rsidRPr="00742B66">
        <w:rPr>
          <w:sz w:val="20"/>
          <w:szCs w:val="20"/>
        </w:rPr>
        <w:t xml:space="preserve"> 249 (London, 3d ed. 1769) (“They were held </w:t>
      </w:r>
      <w:r w:rsidRPr="00742B66">
        <w:rPr>
          <w:i/>
          <w:sz w:val="20"/>
          <w:szCs w:val="20"/>
        </w:rPr>
        <w:t xml:space="preserve">pro </w:t>
      </w:r>
      <w:proofErr w:type="spellStart"/>
      <w:r w:rsidRPr="00742B66">
        <w:rPr>
          <w:i/>
          <w:sz w:val="20"/>
          <w:szCs w:val="20"/>
        </w:rPr>
        <w:t>nullis</w:t>
      </w:r>
      <w:proofErr w:type="spellEnd"/>
      <w:r w:rsidRPr="00742B66">
        <w:rPr>
          <w:sz w:val="20"/>
          <w:szCs w:val="20"/>
        </w:rPr>
        <w:t>,</w:t>
      </w:r>
      <w:r w:rsidRPr="00742B66">
        <w:rPr>
          <w:i/>
          <w:sz w:val="20"/>
          <w:szCs w:val="20"/>
        </w:rPr>
        <w:t xml:space="preserve"> pro </w:t>
      </w:r>
      <w:proofErr w:type="spellStart"/>
      <w:r w:rsidRPr="00742B66">
        <w:rPr>
          <w:i/>
          <w:sz w:val="20"/>
          <w:szCs w:val="20"/>
        </w:rPr>
        <w:t>mortuis</w:t>
      </w:r>
      <w:proofErr w:type="spellEnd"/>
      <w:r w:rsidRPr="00742B66">
        <w:rPr>
          <w:sz w:val="20"/>
          <w:szCs w:val="20"/>
        </w:rPr>
        <w:t>,</w:t>
      </w:r>
      <w:r w:rsidRPr="00742B66">
        <w:rPr>
          <w:i/>
          <w:sz w:val="20"/>
          <w:szCs w:val="20"/>
        </w:rPr>
        <w:t xml:space="preserve"> pro </w:t>
      </w:r>
      <w:proofErr w:type="spellStart"/>
      <w:r w:rsidRPr="00742B66">
        <w:rPr>
          <w:i/>
          <w:sz w:val="20"/>
          <w:szCs w:val="20"/>
        </w:rPr>
        <w:t>quadrupedibus</w:t>
      </w:r>
      <w:proofErr w:type="spellEnd"/>
      <w:r w:rsidRPr="00742B66">
        <w:rPr>
          <w:sz w:val="20"/>
          <w:szCs w:val="20"/>
        </w:rPr>
        <w:t xml:space="preserve">; nay, were in a much worse state, than any </w:t>
      </w:r>
      <w:r w:rsidRPr="00742B66">
        <w:rPr>
          <w:i/>
          <w:sz w:val="20"/>
          <w:szCs w:val="20"/>
        </w:rPr>
        <w:t>cattle</w:t>
      </w:r>
      <w:r w:rsidRPr="00742B66">
        <w:rPr>
          <w:sz w:val="20"/>
          <w:szCs w:val="20"/>
        </w:rPr>
        <w:t xml:space="preserve"> whatsoever . . </w:t>
      </w:r>
      <w:proofErr w:type="gramStart"/>
      <w:r w:rsidRPr="00742B66">
        <w:rPr>
          <w:sz w:val="20"/>
          <w:szCs w:val="20"/>
        </w:rPr>
        <w:t>. .</w:t>
      </w:r>
      <w:proofErr w:type="gramEnd"/>
      <w:r w:rsidRPr="00742B66">
        <w:rPr>
          <w:sz w:val="20"/>
          <w:szCs w:val="20"/>
        </w:rPr>
        <w:t xml:space="preserve"> They had no State, no Name, Tribe or Register: They were not capable of being injured . . </w:t>
      </w:r>
      <w:proofErr w:type="gramStart"/>
      <w:r w:rsidRPr="00742B66">
        <w:rPr>
          <w:sz w:val="20"/>
          <w:szCs w:val="20"/>
        </w:rPr>
        <w:t>. .</w:t>
      </w:r>
      <w:proofErr w:type="gramEnd"/>
      <w:r w:rsidRPr="00742B66">
        <w:rPr>
          <w:sz w:val="20"/>
          <w:szCs w:val="20"/>
        </w:rPr>
        <w:t>”)).</w:t>
      </w:r>
    </w:p>
  </w:footnote>
  <w:footnote w:id="91">
    <w:p w14:paraId="7CD5447B"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Professor Jeremy Waldron defines </w:t>
      </w:r>
      <w:proofErr w:type="spellStart"/>
      <w:r w:rsidRPr="00742B66">
        <w:rPr>
          <w:sz w:val="20"/>
          <w:szCs w:val="20"/>
        </w:rPr>
        <w:t>sortal</w:t>
      </w:r>
      <w:proofErr w:type="spellEnd"/>
      <w:r w:rsidRPr="00742B66">
        <w:rPr>
          <w:sz w:val="20"/>
          <w:szCs w:val="20"/>
        </w:rPr>
        <w:t xml:space="preserve"> status as categorizing, as a matter of law, subjects on the basis of </w:t>
      </w:r>
      <w:r w:rsidRPr="00742B66">
        <w:rPr>
          <w:i/>
          <w:sz w:val="20"/>
          <w:szCs w:val="20"/>
        </w:rPr>
        <w:t>the</w:t>
      </w:r>
      <w:r w:rsidRPr="00742B66">
        <w:rPr>
          <w:sz w:val="20"/>
          <w:szCs w:val="20"/>
        </w:rPr>
        <w:t xml:space="preserve"> </w:t>
      </w:r>
      <w:r w:rsidRPr="00742B66">
        <w:rPr>
          <w:i/>
          <w:sz w:val="20"/>
          <w:szCs w:val="20"/>
        </w:rPr>
        <w:t xml:space="preserve">sort of </w:t>
      </w:r>
      <w:r w:rsidRPr="00742B66">
        <w:rPr>
          <w:sz w:val="20"/>
          <w:szCs w:val="20"/>
        </w:rPr>
        <w:t xml:space="preserve">person they are or are perceived as being. </w:t>
      </w:r>
      <w:r w:rsidRPr="00742B66">
        <w:rPr>
          <w:smallCaps/>
          <w:sz w:val="20"/>
          <w:szCs w:val="20"/>
        </w:rPr>
        <w:t xml:space="preserve">Jeremy Waldron, Dignity, Ranks, and Rights </w:t>
      </w:r>
      <w:r w:rsidRPr="00742B66">
        <w:rPr>
          <w:sz w:val="20"/>
          <w:szCs w:val="20"/>
        </w:rPr>
        <w:t>58–59 (Meir Dan-Cohen ed., 2012). “</w:t>
      </w:r>
      <w:proofErr w:type="spellStart"/>
      <w:r w:rsidRPr="00742B66">
        <w:rPr>
          <w:sz w:val="20"/>
          <w:szCs w:val="20"/>
        </w:rPr>
        <w:t>Sortal</w:t>
      </w:r>
      <w:proofErr w:type="spellEnd"/>
      <w:r w:rsidRPr="00742B66">
        <w:rPr>
          <w:sz w:val="20"/>
          <w:szCs w:val="20"/>
        </w:rPr>
        <w:t xml:space="preserve"> status represents a person’s permanent situation and destiny so far as the law is concerned. It is not acquired or lost depending on actions, growth, circumstances, or vicissitudes.” </w:t>
      </w:r>
      <w:proofErr w:type="gramStart"/>
      <w:r w:rsidRPr="00742B66">
        <w:rPr>
          <w:i/>
          <w:sz w:val="20"/>
          <w:szCs w:val="20"/>
        </w:rPr>
        <w:t>Id.</w:t>
      </w:r>
      <w:r w:rsidRPr="00742B66">
        <w:rPr>
          <w:sz w:val="20"/>
          <w:szCs w:val="20"/>
        </w:rPr>
        <w:t xml:space="preserve"> at 59.</w:t>
      </w:r>
      <w:proofErr w:type="gramEnd"/>
      <w:r w:rsidRPr="00742B66">
        <w:rPr>
          <w:sz w:val="20"/>
          <w:szCs w:val="20"/>
        </w:rPr>
        <w:t xml:space="preserve"> </w:t>
      </w:r>
      <w:proofErr w:type="spellStart"/>
      <w:r w:rsidRPr="00742B66">
        <w:rPr>
          <w:sz w:val="20"/>
          <w:szCs w:val="20"/>
        </w:rPr>
        <w:t>Sortal</w:t>
      </w:r>
      <w:proofErr w:type="spellEnd"/>
      <w:r w:rsidRPr="00742B66">
        <w:rPr>
          <w:sz w:val="20"/>
          <w:szCs w:val="20"/>
        </w:rPr>
        <w:t xml:space="preserve"> status is a baseline relative to the conditional status, which are legal statuses that apply to subjects “in virtue of certain conditions they are in, that they may not be in forever, or that they may have fallen into by choice or happenstance,”—they embody legal consequences that attend stages of human life, choices people make, or poor management of relation with others e.g., infancy, felony, or bankruptcy. </w:t>
      </w:r>
      <w:proofErr w:type="gramStart"/>
      <w:r w:rsidRPr="00742B66">
        <w:rPr>
          <w:i/>
          <w:sz w:val="20"/>
          <w:szCs w:val="20"/>
        </w:rPr>
        <w:t>Id.</w:t>
      </w:r>
      <w:r w:rsidRPr="00742B66">
        <w:rPr>
          <w:sz w:val="20"/>
          <w:szCs w:val="20"/>
        </w:rPr>
        <w:t xml:space="preserve"> at 58.</w:t>
      </w:r>
      <w:proofErr w:type="gramEnd"/>
      <w:r w:rsidRPr="00742B66">
        <w:rPr>
          <w:sz w:val="20"/>
          <w:szCs w:val="20"/>
        </w:rPr>
        <w:t xml:space="preserve"> Their significance, as a conceptual matter, is that they tell us nothing about the underlying personhood of the person described by them. </w:t>
      </w:r>
      <w:r w:rsidRPr="00742B66">
        <w:rPr>
          <w:i/>
          <w:sz w:val="20"/>
          <w:szCs w:val="20"/>
        </w:rPr>
        <w:t>Id.</w:t>
      </w:r>
    </w:p>
  </w:footnote>
  <w:footnote w:id="92">
    <w:p w14:paraId="1CB1273C"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p>
  </w:footnote>
  <w:footnote w:id="93">
    <w:p w14:paraId="533AE8B6" w14:textId="77777777" w:rsidR="00E667D7" w:rsidRPr="00742B66" w:rsidRDefault="00E667D7" w:rsidP="00742B66">
      <w:pPr>
        <w:spacing w:after="240"/>
        <w:rPr>
          <w:rFonts w:eastAsia="Times New Roman"/>
          <w:sz w:val="20"/>
          <w:szCs w:val="20"/>
        </w:rPr>
      </w:pPr>
      <w:r w:rsidRPr="00742B66">
        <w:rPr>
          <w:rStyle w:val="FootnoteReference"/>
          <w:sz w:val="20"/>
          <w:szCs w:val="20"/>
        </w:rPr>
        <w:footnoteRef/>
      </w:r>
      <w:r w:rsidRPr="00742B66">
        <w:rPr>
          <w:sz w:val="20"/>
          <w:szCs w:val="20"/>
        </w:rPr>
        <w:t xml:space="preserve"> </w:t>
      </w:r>
      <w:r w:rsidRPr="00742B66">
        <w:rPr>
          <w:rFonts w:eastAsia="Times New Roman"/>
          <w:i/>
          <w:iCs/>
          <w:sz w:val="20"/>
          <w:szCs w:val="20"/>
        </w:rPr>
        <w:t>Dred Scott</w:t>
      </w:r>
      <w:r w:rsidRPr="00742B66">
        <w:rPr>
          <w:rFonts w:eastAsia="Times New Roman"/>
          <w:sz w:val="20"/>
          <w:szCs w:val="20"/>
        </w:rPr>
        <w:t>, 60 U.S. (19 How.) 393, 406, (1856).</w:t>
      </w:r>
    </w:p>
  </w:footnote>
  <w:footnote w:id="94">
    <w:p w14:paraId="15FE65A3"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Williams,</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_Ref291537796 \h </w:instrText>
      </w:r>
      <w:r w:rsidRPr="00742B66">
        <w:rPr>
          <w:sz w:val="20"/>
          <w:szCs w:val="20"/>
        </w:rPr>
      </w:r>
      <w:r w:rsidRPr="00742B66">
        <w:rPr>
          <w:sz w:val="20"/>
          <w:szCs w:val="20"/>
        </w:rPr>
        <w:fldChar w:fldCharType="separate"/>
      </w:r>
      <w:r>
        <w:rPr>
          <w:sz w:val="20"/>
          <w:szCs w:val="20"/>
        </w:rPr>
        <w:t>64</w:t>
      </w:r>
      <w:r w:rsidRPr="00742B66">
        <w:rPr>
          <w:sz w:val="20"/>
          <w:szCs w:val="20"/>
        </w:rPr>
        <w:fldChar w:fldCharType="end"/>
      </w:r>
      <w:r>
        <w:rPr>
          <w:sz w:val="20"/>
          <w:szCs w:val="20"/>
        </w:rPr>
        <w:t xml:space="preserve">, </w:t>
      </w:r>
      <w:r w:rsidRPr="00742B66">
        <w:rPr>
          <w:sz w:val="20"/>
          <w:szCs w:val="20"/>
        </w:rPr>
        <w:t>at 69. Williams continues:</w:t>
      </w:r>
    </w:p>
    <w:p w14:paraId="5B8DD7AF" w14:textId="77777777" w:rsidR="00E667D7" w:rsidRPr="00742B66" w:rsidRDefault="00E667D7" w:rsidP="00742B66">
      <w:pPr>
        <w:pStyle w:val="FootnoteText"/>
        <w:spacing w:after="240"/>
        <w:ind w:left="720" w:right="720"/>
        <w:rPr>
          <w:sz w:val="20"/>
          <w:szCs w:val="20"/>
        </w:rPr>
      </w:pPr>
      <w:proofErr w:type="spellStart"/>
      <w:r w:rsidRPr="00742B66">
        <w:rPr>
          <w:sz w:val="20"/>
          <w:szCs w:val="20"/>
        </w:rPr>
        <w:t>Freedpeople</w:t>
      </w:r>
      <w:proofErr w:type="spellEnd"/>
      <w:r w:rsidRPr="00742B66">
        <w:rPr>
          <w:sz w:val="20"/>
          <w:szCs w:val="20"/>
        </w:rPr>
        <w:t xml:space="preserve"> wanted to ensure that they counted as voters and as legislators who could govern their own futures. Illiteracy, they knew, would impede their ambition for full participation in this public, political sphere. Therefore, alongside traditionally defined civil rights of suffrage and jury service, </w:t>
      </w:r>
      <w:proofErr w:type="spellStart"/>
      <w:r w:rsidRPr="00742B66">
        <w:rPr>
          <w:sz w:val="20"/>
          <w:szCs w:val="20"/>
        </w:rPr>
        <w:t>freedpeople</w:t>
      </w:r>
      <w:proofErr w:type="spellEnd"/>
      <w:r w:rsidRPr="00742B66">
        <w:rPr>
          <w:sz w:val="20"/>
          <w:szCs w:val="20"/>
        </w:rPr>
        <w:t xml:space="preserve"> propounded a new right: the right to attend school.</w:t>
      </w:r>
    </w:p>
    <w:p w14:paraId="6B983AA0" w14:textId="77777777" w:rsidR="00E667D7" w:rsidRPr="00742B66" w:rsidRDefault="00E667D7" w:rsidP="00742B66">
      <w:pPr>
        <w:pStyle w:val="FootnoteText"/>
        <w:spacing w:after="240"/>
        <w:ind w:right="720"/>
        <w:rPr>
          <w:b/>
          <w:sz w:val="20"/>
          <w:szCs w:val="20"/>
        </w:rPr>
      </w:pPr>
      <w:r w:rsidRPr="00742B66">
        <w:rPr>
          <w:sz w:val="20"/>
          <w:szCs w:val="20"/>
        </w:rPr>
        <w:t xml:space="preserve">Theorist </w:t>
      </w:r>
      <w:proofErr w:type="spellStart"/>
      <w:r w:rsidRPr="00742B66">
        <w:rPr>
          <w:sz w:val="20"/>
          <w:szCs w:val="20"/>
        </w:rPr>
        <w:t>Loïc</w:t>
      </w:r>
      <w:proofErr w:type="spellEnd"/>
      <w:r w:rsidRPr="00742B66">
        <w:rPr>
          <w:sz w:val="20"/>
          <w:szCs w:val="20"/>
        </w:rPr>
        <w:t xml:space="preserve"> </w:t>
      </w:r>
      <w:proofErr w:type="spellStart"/>
      <w:r w:rsidRPr="00742B66">
        <w:rPr>
          <w:sz w:val="20"/>
          <w:szCs w:val="20"/>
        </w:rPr>
        <w:t>Wacquant</w:t>
      </w:r>
      <w:proofErr w:type="spellEnd"/>
      <w:r w:rsidRPr="00742B66">
        <w:rPr>
          <w:sz w:val="20"/>
          <w:szCs w:val="20"/>
        </w:rPr>
        <w:t xml:space="preserve"> has argued that “[</w:t>
      </w:r>
      <w:proofErr w:type="gramStart"/>
      <w:r w:rsidRPr="00742B66">
        <w:rPr>
          <w:sz w:val="20"/>
          <w:szCs w:val="20"/>
        </w:rPr>
        <w:t>r]</w:t>
      </w:r>
      <w:proofErr w:type="spellStart"/>
      <w:r w:rsidRPr="00742B66">
        <w:rPr>
          <w:sz w:val="20"/>
          <w:szCs w:val="20"/>
        </w:rPr>
        <w:t>acial</w:t>
      </w:r>
      <w:proofErr w:type="spellEnd"/>
      <w:proofErr w:type="gramEnd"/>
      <w:r w:rsidRPr="00742B66">
        <w:rPr>
          <w:sz w:val="20"/>
          <w:szCs w:val="20"/>
        </w:rPr>
        <w:t xml:space="preserve"> difference was a consequence, not a precondition, of US slavery.” </w:t>
      </w:r>
      <w:proofErr w:type="spellStart"/>
      <w:r w:rsidRPr="00742B66">
        <w:rPr>
          <w:sz w:val="20"/>
          <w:szCs w:val="20"/>
        </w:rPr>
        <w:t>Loïc</w:t>
      </w:r>
      <w:proofErr w:type="spellEnd"/>
      <w:r w:rsidRPr="00742B66">
        <w:rPr>
          <w:sz w:val="20"/>
          <w:szCs w:val="20"/>
        </w:rPr>
        <w:t xml:space="preserve"> </w:t>
      </w:r>
      <w:proofErr w:type="spellStart"/>
      <w:r w:rsidRPr="00742B66">
        <w:rPr>
          <w:sz w:val="20"/>
          <w:szCs w:val="20"/>
        </w:rPr>
        <w:t>Wacquant</w:t>
      </w:r>
      <w:proofErr w:type="spellEnd"/>
      <w:r w:rsidRPr="00742B66">
        <w:rPr>
          <w:sz w:val="20"/>
          <w:szCs w:val="20"/>
        </w:rPr>
        <w:t xml:space="preserve">, </w:t>
      </w:r>
      <w:r w:rsidRPr="00742B66">
        <w:rPr>
          <w:i/>
          <w:sz w:val="20"/>
          <w:szCs w:val="20"/>
        </w:rPr>
        <w:t>From Slavery to Mass Incarceration: Rethinking the “Race Question” in the US</w:t>
      </w:r>
      <w:r w:rsidRPr="00742B66">
        <w:rPr>
          <w:sz w:val="20"/>
          <w:szCs w:val="20"/>
        </w:rPr>
        <w:t xml:space="preserve">, 13 </w:t>
      </w:r>
      <w:r w:rsidRPr="00742B66">
        <w:rPr>
          <w:smallCaps/>
          <w:sz w:val="20"/>
          <w:szCs w:val="20"/>
        </w:rPr>
        <w:t>New Left Rev.</w:t>
      </w:r>
      <w:r w:rsidRPr="00742B66">
        <w:rPr>
          <w:sz w:val="20"/>
          <w:szCs w:val="20"/>
        </w:rPr>
        <w:t xml:space="preserve"> 41, 45 (2002); </w:t>
      </w:r>
      <w:r w:rsidRPr="00742B66">
        <w:rPr>
          <w:i/>
          <w:sz w:val="20"/>
          <w:szCs w:val="20"/>
        </w:rPr>
        <w:t>see, e.g.</w:t>
      </w:r>
      <w:r w:rsidRPr="00742B66">
        <w:rPr>
          <w:sz w:val="20"/>
          <w:szCs w:val="20"/>
        </w:rPr>
        <w:t xml:space="preserve">, </w:t>
      </w:r>
      <w:r w:rsidRPr="00742B66">
        <w:rPr>
          <w:smallCaps/>
          <w:sz w:val="20"/>
          <w:szCs w:val="20"/>
        </w:rPr>
        <w:t>Jefferson</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_Ref291683103 \h </w:instrText>
      </w:r>
      <w:r w:rsidRPr="00742B66">
        <w:rPr>
          <w:sz w:val="20"/>
          <w:szCs w:val="20"/>
        </w:rPr>
      </w:r>
      <w:r w:rsidRPr="00742B66">
        <w:rPr>
          <w:sz w:val="20"/>
          <w:szCs w:val="20"/>
        </w:rPr>
        <w:fldChar w:fldCharType="separate"/>
      </w:r>
      <w:r>
        <w:rPr>
          <w:sz w:val="20"/>
          <w:szCs w:val="20"/>
        </w:rPr>
        <w:t>44</w:t>
      </w:r>
      <w:r w:rsidRPr="00742B66">
        <w:rPr>
          <w:sz w:val="20"/>
          <w:szCs w:val="20"/>
        </w:rPr>
        <w:fldChar w:fldCharType="end"/>
      </w:r>
      <w:r w:rsidRPr="00742B66">
        <w:rPr>
          <w:sz w:val="20"/>
          <w:szCs w:val="20"/>
        </w:rPr>
        <w:t>, at 150 (“[</w:t>
      </w:r>
      <w:proofErr w:type="gramStart"/>
      <w:r w:rsidRPr="00742B66">
        <w:rPr>
          <w:sz w:val="20"/>
          <w:szCs w:val="20"/>
        </w:rPr>
        <w:t>W]</w:t>
      </w:r>
      <w:proofErr w:type="spellStart"/>
      <w:r w:rsidRPr="00742B66">
        <w:rPr>
          <w:sz w:val="20"/>
          <w:szCs w:val="20"/>
        </w:rPr>
        <w:t>hether</w:t>
      </w:r>
      <w:proofErr w:type="spellEnd"/>
      <w:proofErr w:type="gramEnd"/>
      <w:r w:rsidRPr="00742B66">
        <w:rPr>
          <w:sz w:val="20"/>
          <w:szCs w:val="20"/>
        </w:rPr>
        <w:t xml:space="preserve"> originally a distinct race, or made distinct by time and circumstances, are inferior to the whites in the endowments both of body and mind.”). The African American unitary vision of rights embodies a broader vision of freedom as sui </w:t>
      </w:r>
      <w:proofErr w:type="spellStart"/>
      <w:r w:rsidRPr="00742B66">
        <w:rPr>
          <w:sz w:val="20"/>
          <w:szCs w:val="20"/>
        </w:rPr>
        <w:t>juris</w:t>
      </w:r>
      <w:proofErr w:type="spellEnd"/>
      <w:r w:rsidRPr="00742B66">
        <w:rPr>
          <w:sz w:val="20"/>
          <w:szCs w:val="20"/>
        </w:rPr>
        <w:t xml:space="preserve">, of a people who no longer need someone to speak for them, of bearing “an imposing array of rights.” </w:t>
      </w:r>
      <w:r w:rsidRPr="00742B66">
        <w:rPr>
          <w:smallCaps/>
          <w:sz w:val="20"/>
          <w:szCs w:val="20"/>
        </w:rPr>
        <w:t>Waldron</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_Ref291618474 \h </w:instrText>
      </w:r>
      <w:r w:rsidRPr="00742B66">
        <w:rPr>
          <w:sz w:val="20"/>
          <w:szCs w:val="20"/>
        </w:rPr>
      </w:r>
      <w:r w:rsidRPr="00742B66">
        <w:rPr>
          <w:sz w:val="20"/>
          <w:szCs w:val="20"/>
        </w:rPr>
        <w:fldChar w:fldCharType="separate"/>
      </w:r>
      <w:r>
        <w:rPr>
          <w:sz w:val="20"/>
          <w:szCs w:val="20"/>
        </w:rPr>
        <w:t>91</w:t>
      </w:r>
      <w:r w:rsidRPr="00742B66">
        <w:rPr>
          <w:sz w:val="20"/>
          <w:szCs w:val="20"/>
        </w:rPr>
        <w:fldChar w:fldCharType="end"/>
      </w:r>
      <w:r w:rsidRPr="00742B66">
        <w:rPr>
          <w:sz w:val="20"/>
          <w:szCs w:val="20"/>
        </w:rPr>
        <w:t xml:space="preserve">, at 59. It is a vision of the undoing of race as a </w:t>
      </w:r>
      <w:proofErr w:type="spellStart"/>
      <w:r w:rsidRPr="00742B66">
        <w:rPr>
          <w:sz w:val="20"/>
          <w:szCs w:val="20"/>
        </w:rPr>
        <w:t>sortal</w:t>
      </w:r>
      <w:proofErr w:type="spellEnd"/>
      <w:r w:rsidRPr="00742B66">
        <w:rPr>
          <w:sz w:val="20"/>
          <w:szCs w:val="20"/>
        </w:rPr>
        <w:t xml:space="preserve"> status, a unilateral leveling up. </w:t>
      </w:r>
      <w:proofErr w:type="gramStart"/>
      <w:r w:rsidRPr="00742B66">
        <w:rPr>
          <w:sz w:val="20"/>
          <w:szCs w:val="20"/>
        </w:rPr>
        <w:t xml:space="preserve">This high status—wherein each individual is a “self-originating source of legal and moral claims,” </w:t>
      </w:r>
      <w:r w:rsidRPr="00742B66">
        <w:rPr>
          <w:i/>
          <w:sz w:val="20"/>
          <w:szCs w:val="20"/>
        </w:rPr>
        <w:t>id.</w:t>
      </w:r>
      <w:proofErr w:type="gramEnd"/>
      <w:r w:rsidRPr="00742B66">
        <w:rPr>
          <w:sz w:val="20"/>
          <w:szCs w:val="20"/>
        </w:rPr>
        <w:t xml:space="preserve"> </w:t>
      </w:r>
      <w:proofErr w:type="gramStart"/>
      <w:r w:rsidRPr="00742B66">
        <w:rPr>
          <w:sz w:val="20"/>
          <w:szCs w:val="20"/>
        </w:rPr>
        <w:t>at</w:t>
      </w:r>
      <w:proofErr w:type="gramEnd"/>
      <w:r w:rsidRPr="00742B66">
        <w:rPr>
          <w:sz w:val="20"/>
          <w:szCs w:val="20"/>
        </w:rPr>
        <w:t xml:space="preserve"> 60—however, sought to cut across the grain of a deeply-seated American tradition of the redistribution of status that has pushed in a downward direction. </w:t>
      </w:r>
      <w:r w:rsidRPr="00D00C72">
        <w:rPr>
          <w:sz w:val="20"/>
          <w:szCs w:val="20"/>
          <w:highlight w:val="magenta"/>
        </w:rPr>
        <w:t xml:space="preserve">Professor James Whitman, who has studied the comparative legal and intellectual histories of continental Europe and the United States, argues that the United States, France, and Germany have all had status revolutions. </w:t>
      </w:r>
      <w:r w:rsidRPr="00D00C72">
        <w:rPr>
          <w:smallCaps/>
          <w:sz w:val="20"/>
          <w:szCs w:val="20"/>
          <w:highlight w:val="magenta"/>
        </w:rPr>
        <w:t>James Q. Whitman, Harsh Justice: Criminal Punishment and the Widening Divide Between America and Europe</w:t>
      </w:r>
      <w:r w:rsidRPr="00D00C72">
        <w:rPr>
          <w:sz w:val="20"/>
          <w:szCs w:val="20"/>
          <w:highlight w:val="magenta"/>
        </w:rPr>
        <w:t xml:space="preserve"> 195–96 (2003). Alluding to our war of independence, Whitman writes: “But the revolution in the United States has been very much one against social honor, against high status; whereas in continental Europe it has been a revolution in favor of social honor, in favor of generalizing high status.” </w:t>
      </w:r>
      <w:r w:rsidRPr="00D00C72">
        <w:rPr>
          <w:i/>
          <w:sz w:val="20"/>
          <w:szCs w:val="20"/>
          <w:highlight w:val="magenta"/>
        </w:rPr>
        <w:t>Id.</w:t>
      </w:r>
      <w:r w:rsidRPr="00742B66">
        <w:rPr>
          <w:sz w:val="20"/>
          <w:szCs w:val="20"/>
        </w:rPr>
        <w:t xml:space="preserve"> </w:t>
      </w:r>
      <w:proofErr w:type="gramStart"/>
      <w:r>
        <w:rPr>
          <w:sz w:val="20"/>
          <w:szCs w:val="20"/>
        </w:rPr>
        <w:t>Another key to understanding the civic/social dichotomy?</w:t>
      </w:r>
      <w:proofErr w:type="gramEnd"/>
      <w:r>
        <w:rPr>
          <w:sz w:val="20"/>
          <w:szCs w:val="20"/>
        </w:rPr>
        <w:t xml:space="preserve">  </w:t>
      </w:r>
      <w:r w:rsidRPr="00742B66">
        <w:rPr>
          <w:sz w:val="20"/>
          <w:szCs w:val="20"/>
        </w:rPr>
        <w:t xml:space="preserve">It is no surprise then that the Third Congress would pass a naturalization act, under which the only white male unable to claim American citizenship was he unwilling to renounce hereditary titles of nobility. An Act to Establish </w:t>
      </w:r>
      <w:proofErr w:type="gramStart"/>
      <w:r w:rsidRPr="00742B66">
        <w:rPr>
          <w:sz w:val="20"/>
          <w:szCs w:val="20"/>
        </w:rPr>
        <w:t>an</w:t>
      </w:r>
      <w:proofErr w:type="gramEnd"/>
      <w:r w:rsidRPr="00742B66">
        <w:rPr>
          <w:sz w:val="20"/>
          <w:szCs w:val="20"/>
        </w:rPr>
        <w:t xml:space="preserve"> Uniform Rule of Naturalization, </w:t>
      </w:r>
      <w:proofErr w:type="spellStart"/>
      <w:r w:rsidRPr="00742B66">
        <w:rPr>
          <w:sz w:val="20"/>
          <w:szCs w:val="20"/>
        </w:rPr>
        <w:t>ch.</w:t>
      </w:r>
      <w:proofErr w:type="spellEnd"/>
      <w:r w:rsidRPr="00742B66">
        <w:rPr>
          <w:sz w:val="20"/>
          <w:szCs w:val="20"/>
        </w:rPr>
        <w:t xml:space="preserve"> 20, 1 stat. 414 (1795) (providing that the alien must establish his bona fides to become a U.S. citizen by “renounce[</w:t>
      </w:r>
      <w:proofErr w:type="spellStart"/>
      <w:r w:rsidRPr="00742B66">
        <w:rPr>
          <w:sz w:val="20"/>
          <w:szCs w:val="20"/>
        </w:rPr>
        <w:t>ing</w:t>
      </w:r>
      <w:proofErr w:type="spellEnd"/>
      <w:r w:rsidRPr="00742B66">
        <w:rPr>
          <w:sz w:val="20"/>
          <w:szCs w:val="20"/>
        </w:rPr>
        <w:t>] forever all allegiance and fidelity to any foreign prince, potentate, state or sovereignty”). Yet, high status—the universal entitlement of Jeffersonian freedom—has anchored the aspiration</w:t>
      </w:r>
      <w:r>
        <w:rPr>
          <w:sz w:val="20"/>
          <w:szCs w:val="20"/>
        </w:rPr>
        <w:t>s</w:t>
      </w:r>
      <w:r w:rsidRPr="00742B66">
        <w:rPr>
          <w:sz w:val="20"/>
          <w:szCs w:val="20"/>
        </w:rPr>
        <w:t xml:space="preserve"> of blacks since at least the time of the Founding. </w:t>
      </w:r>
      <w:r w:rsidRPr="00742B66">
        <w:rPr>
          <w:i/>
          <w:sz w:val="20"/>
          <w:szCs w:val="20"/>
        </w:rPr>
        <w:t xml:space="preserve">See </w:t>
      </w:r>
      <w:r w:rsidRPr="00742B66">
        <w:rPr>
          <w:smallCaps/>
          <w:sz w:val="20"/>
          <w:szCs w:val="20"/>
        </w:rPr>
        <w:t xml:space="preserve">Eric </w:t>
      </w:r>
      <w:proofErr w:type="spellStart"/>
      <w:r w:rsidRPr="00742B66">
        <w:rPr>
          <w:smallCaps/>
          <w:sz w:val="20"/>
          <w:szCs w:val="20"/>
        </w:rPr>
        <w:t>Foner</w:t>
      </w:r>
      <w:proofErr w:type="spellEnd"/>
      <w:r w:rsidRPr="00742B66">
        <w:rPr>
          <w:smallCaps/>
          <w:sz w:val="20"/>
          <w:szCs w:val="20"/>
        </w:rPr>
        <w:t>, The Story of American Freedom</w:t>
      </w:r>
      <w:r w:rsidRPr="00742B66">
        <w:rPr>
          <w:sz w:val="20"/>
          <w:szCs w:val="20"/>
        </w:rPr>
        <w:t xml:space="preserve"> 35 (1998) (describing how black</w:t>
      </w:r>
      <w:r>
        <w:rPr>
          <w:sz w:val="20"/>
          <w:szCs w:val="20"/>
        </w:rPr>
        <w:t>s</w:t>
      </w:r>
      <w:r w:rsidRPr="00742B66">
        <w:rPr>
          <w:sz w:val="20"/>
          <w:szCs w:val="20"/>
        </w:rPr>
        <w:t xml:space="preserve"> invoked t</w:t>
      </w:r>
      <w:r>
        <w:rPr>
          <w:sz w:val="20"/>
          <w:szCs w:val="20"/>
        </w:rPr>
        <w:t>he</w:t>
      </w:r>
      <w:r w:rsidRPr="00742B66">
        <w:rPr>
          <w:sz w:val="20"/>
          <w:szCs w:val="20"/>
        </w:rPr>
        <w:t xml:space="preserve"> Revolution’s ideology of liberty in demanding their own rights). </w:t>
      </w:r>
    </w:p>
  </w:footnote>
  <w:footnote w:id="95">
    <w:p w14:paraId="4A0DF519"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Still, </w:t>
      </w:r>
      <w:r w:rsidRPr="00742B66">
        <w:rPr>
          <w:i/>
          <w:sz w:val="20"/>
          <w:szCs w:val="20"/>
        </w:rPr>
        <w:t xml:space="preserve">supra </w:t>
      </w:r>
      <w:proofErr w:type="gramStart"/>
      <w:r w:rsidRPr="00742B66">
        <w:rPr>
          <w:sz w:val="20"/>
          <w:szCs w:val="20"/>
        </w:rPr>
        <w:t>note ,</w:t>
      </w:r>
      <w:proofErr w:type="gramEnd"/>
      <w:r w:rsidRPr="00742B66">
        <w:rPr>
          <w:sz w:val="20"/>
          <w:szCs w:val="20"/>
        </w:rPr>
        <w:t xml:space="preserve"> at 193–94</w:t>
      </w:r>
      <w:r w:rsidRPr="00742B66">
        <w:rPr>
          <w:b/>
          <w:sz w:val="20"/>
          <w:szCs w:val="20"/>
        </w:rPr>
        <w:t xml:space="preserve"> </w:t>
      </w:r>
      <w:r w:rsidRPr="00742B66">
        <w:rPr>
          <w:sz w:val="20"/>
          <w:szCs w:val="20"/>
        </w:rPr>
        <w:t>(</w:t>
      </w:r>
      <w:proofErr w:type="spellStart"/>
      <w:r w:rsidRPr="00742B66">
        <w:rPr>
          <w:sz w:val="20"/>
          <w:szCs w:val="20"/>
        </w:rPr>
        <w:t>Phila</w:t>
      </w:r>
      <w:proofErr w:type="spellEnd"/>
      <w:r w:rsidRPr="00742B66">
        <w:rPr>
          <w:sz w:val="20"/>
          <w:szCs w:val="20"/>
        </w:rPr>
        <w:t>., Porter &amp; Coates 1872).</w:t>
      </w:r>
    </w:p>
  </w:footnote>
  <w:footnote w:id="96">
    <w:p w14:paraId="1480AC5B" w14:textId="54071E17" w:rsidR="00E667D7" w:rsidRPr="00742B66" w:rsidRDefault="00E667D7" w:rsidP="00742B66">
      <w:pPr>
        <w:spacing w:after="240"/>
        <w:ind w:right="72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See</w:t>
      </w:r>
      <w:r w:rsidRPr="00742B66">
        <w:rPr>
          <w:sz w:val="20"/>
          <w:szCs w:val="20"/>
        </w:rPr>
        <w:t xml:space="preserve"> </w:t>
      </w:r>
      <w:proofErr w:type="spellStart"/>
      <w:r w:rsidRPr="00742B66">
        <w:rPr>
          <w:smallCaps/>
          <w:sz w:val="20"/>
          <w:szCs w:val="20"/>
        </w:rPr>
        <w:t>Bu</w:t>
      </w:r>
      <w:r>
        <w:rPr>
          <w:smallCaps/>
          <w:sz w:val="20"/>
          <w:szCs w:val="20"/>
        </w:rPr>
        <w:t>r</w:t>
      </w:r>
      <w:r w:rsidRPr="00742B66">
        <w:rPr>
          <w:smallCaps/>
          <w:sz w:val="20"/>
          <w:szCs w:val="20"/>
        </w:rPr>
        <w:t>chart</w:t>
      </w:r>
      <w:proofErr w:type="spellEnd"/>
      <w:r w:rsidRPr="00742B66">
        <w:rPr>
          <w:smallCaps/>
          <w:sz w:val="20"/>
          <w:szCs w:val="20"/>
        </w:rPr>
        <w:t>,</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_Ref291515864 \h </w:instrText>
      </w:r>
      <w:r w:rsidRPr="00742B66">
        <w:rPr>
          <w:sz w:val="20"/>
          <w:szCs w:val="20"/>
        </w:rPr>
      </w:r>
      <w:r w:rsidRPr="00742B66">
        <w:rPr>
          <w:sz w:val="20"/>
          <w:szCs w:val="20"/>
        </w:rPr>
        <w:fldChar w:fldCharType="separate"/>
      </w:r>
      <w:r>
        <w:rPr>
          <w:sz w:val="20"/>
          <w:szCs w:val="20"/>
        </w:rPr>
        <w:t>48</w:t>
      </w:r>
      <w:r w:rsidRPr="00742B66">
        <w:rPr>
          <w:sz w:val="20"/>
          <w:szCs w:val="20"/>
        </w:rPr>
        <w:fldChar w:fldCharType="end"/>
      </w:r>
      <w:r w:rsidRPr="00742B66">
        <w:rPr>
          <w:sz w:val="20"/>
          <w:szCs w:val="20"/>
        </w:rPr>
        <w:t xml:space="preserve">, </w:t>
      </w:r>
      <w:r>
        <w:rPr>
          <w:sz w:val="20"/>
          <w:szCs w:val="20"/>
        </w:rPr>
        <w:t>at 15</w:t>
      </w:r>
      <w:r w:rsidRPr="00742B66">
        <w:rPr>
          <w:sz w:val="20"/>
          <w:szCs w:val="20"/>
        </w:rPr>
        <w:t xml:space="preserve"> </w:t>
      </w:r>
      <w:r>
        <w:rPr>
          <w:sz w:val="20"/>
          <w:szCs w:val="20"/>
        </w:rPr>
        <w:t>(</w:t>
      </w:r>
      <w:r w:rsidRPr="00742B66">
        <w:rPr>
          <w:sz w:val="20"/>
          <w:szCs w:val="20"/>
        </w:rPr>
        <w:t xml:space="preserve">“Education . . . was intended to </w:t>
      </w:r>
      <w:proofErr w:type="gramStart"/>
      <w:r w:rsidRPr="00742B66">
        <w:rPr>
          <w:sz w:val="20"/>
          <w:szCs w:val="20"/>
        </w:rPr>
        <w:t>liberate.</w:t>
      </w:r>
      <w:proofErr w:type="gramEnd"/>
      <w:r w:rsidRPr="00742B66">
        <w:rPr>
          <w:sz w:val="20"/>
          <w:szCs w:val="20"/>
        </w:rPr>
        <w:t xml:space="preserve"> . . . Schooling would ‘do something to destroy the effects of their long and bitters years of oppression and bondage fastened upon them by unholy legislation.”</w:t>
      </w:r>
      <w:r>
        <w:rPr>
          <w:sz w:val="20"/>
          <w:szCs w:val="20"/>
        </w:rPr>
        <w:t>).</w:t>
      </w:r>
      <w:r w:rsidRPr="00742B66">
        <w:rPr>
          <w:sz w:val="20"/>
          <w:szCs w:val="20"/>
        </w:rPr>
        <w:t xml:space="preserve"> </w:t>
      </w:r>
    </w:p>
  </w:footnote>
  <w:footnote w:id="97">
    <w:p w14:paraId="2760E498"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Waldron</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_Ref291618474 \h </w:instrText>
      </w:r>
      <w:r w:rsidRPr="00742B66">
        <w:rPr>
          <w:sz w:val="20"/>
          <w:szCs w:val="20"/>
        </w:rPr>
      </w:r>
      <w:r w:rsidRPr="00742B66">
        <w:rPr>
          <w:sz w:val="20"/>
          <w:szCs w:val="20"/>
        </w:rPr>
        <w:fldChar w:fldCharType="separate"/>
      </w:r>
      <w:r>
        <w:rPr>
          <w:sz w:val="20"/>
          <w:szCs w:val="20"/>
        </w:rPr>
        <w:t>91</w:t>
      </w:r>
      <w:r w:rsidRPr="00742B66">
        <w:rPr>
          <w:sz w:val="20"/>
          <w:szCs w:val="20"/>
        </w:rPr>
        <w:fldChar w:fldCharType="end"/>
      </w:r>
      <w:r w:rsidRPr="00742B66">
        <w:rPr>
          <w:sz w:val="20"/>
          <w:szCs w:val="20"/>
        </w:rPr>
        <w:t>, at 60.</w:t>
      </w:r>
    </w:p>
  </w:footnote>
  <w:footnote w:id="98">
    <w:p w14:paraId="4B2E6446"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Timothy H. O’Sullivan, </w:t>
      </w:r>
      <w:r w:rsidRPr="00742B66">
        <w:rPr>
          <w:i/>
          <w:sz w:val="20"/>
          <w:szCs w:val="20"/>
        </w:rPr>
        <w:t xml:space="preserve">Large Group of </w:t>
      </w:r>
      <w:proofErr w:type="gramStart"/>
      <w:r w:rsidRPr="00742B66">
        <w:rPr>
          <w:i/>
          <w:sz w:val="20"/>
          <w:szCs w:val="20"/>
        </w:rPr>
        <w:t>Slaves(</w:t>
      </w:r>
      <w:proofErr w:type="gramEnd"/>
      <w:r w:rsidRPr="00742B66">
        <w:rPr>
          <w:i/>
          <w:sz w:val="20"/>
          <w:szCs w:val="20"/>
        </w:rPr>
        <w:t xml:space="preserve">?) Standing in Front of Buildings on Smith’s Plantation, Beaufort, South Carolina </w:t>
      </w:r>
      <w:r w:rsidRPr="00742B66">
        <w:rPr>
          <w:sz w:val="20"/>
          <w:szCs w:val="20"/>
        </w:rPr>
        <w:t>(1862),</w:t>
      </w:r>
      <w:r w:rsidRPr="00742B66">
        <w:rPr>
          <w:i/>
          <w:sz w:val="20"/>
          <w:szCs w:val="20"/>
        </w:rPr>
        <w:t xml:space="preserve"> available at </w:t>
      </w:r>
      <w:r w:rsidRPr="00742B66">
        <w:rPr>
          <w:sz w:val="20"/>
          <w:szCs w:val="20"/>
        </w:rPr>
        <w:t>http://www.loc.gov/pictures/item/98504440.</w:t>
      </w:r>
    </w:p>
  </w:footnote>
  <w:footnote w:id="99">
    <w:p w14:paraId="4DC9AF17" w14:textId="7C730083"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spellStart"/>
      <w:r w:rsidRPr="00742B66">
        <w:rPr>
          <w:smallCaps/>
          <w:sz w:val="20"/>
          <w:szCs w:val="20"/>
        </w:rPr>
        <w:t>Litwack</w:t>
      </w:r>
      <w:proofErr w:type="spellEnd"/>
      <w:r w:rsidRPr="00742B66">
        <w:rPr>
          <w:smallCaps/>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_Ref291624652 \h </w:instrText>
      </w:r>
      <w:r w:rsidRPr="00742B66">
        <w:rPr>
          <w:sz w:val="20"/>
          <w:szCs w:val="20"/>
        </w:rPr>
      </w:r>
      <w:r w:rsidRPr="00742B66">
        <w:rPr>
          <w:sz w:val="20"/>
          <w:szCs w:val="20"/>
        </w:rPr>
        <w:fldChar w:fldCharType="separate"/>
      </w:r>
      <w:r>
        <w:rPr>
          <w:sz w:val="20"/>
          <w:szCs w:val="20"/>
        </w:rPr>
        <w:t>47</w:t>
      </w:r>
      <w:r w:rsidRPr="00742B66">
        <w:rPr>
          <w:sz w:val="20"/>
          <w:szCs w:val="20"/>
        </w:rPr>
        <w:fldChar w:fldCharType="end"/>
      </w:r>
      <w:r w:rsidRPr="00742B66">
        <w:rPr>
          <w:sz w:val="20"/>
          <w:szCs w:val="20"/>
        </w:rPr>
        <w:t xml:space="preserve">, at 500. This recognition illuminates the political imagination of the </w:t>
      </w:r>
      <w:proofErr w:type="spellStart"/>
      <w:r w:rsidRPr="00742B66">
        <w:rPr>
          <w:sz w:val="20"/>
          <w:szCs w:val="20"/>
        </w:rPr>
        <w:t>Freepeople</w:t>
      </w:r>
      <w:proofErr w:type="spellEnd"/>
      <w:r w:rsidRPr="00742B66">
        <w:rPr>
          <w:sz w:val="20"/>
          <w:szCs w:val="20"/>
        </w:rPr>
        <w:t xml:space="preserve"> as rich but overlooked source material that should inform constitutional theory. Importantly, African American novelist </w:t>
      </w:r>
      <w:r w:rsidRPr="00D00C72">
        <w:rPr>
          <w:sz w:val="20"/>
          <w:szCs w:val="20"/>
          <w:highlight w:val="magenta"/>
        </w:rPr>
        <w:t xml:space="preserve">Ralph Ellison once queried whether African Americans could “live and develop for over three hundred years simply by </w:t>
      </w:r>
      <w:r w:rsidRPr="00D00C72">
        <w:rPr>
          <w:i/>
          <w:sz w:val="20"/>
          <w:szCs w:val="20"/>
          <w:highlight w:val="magenta"/>
        </w:rPr>
        <w:t>reacting</w:t>
      </w:r>
      <w:r w:rsidRPr="00D00C72">
        <w:rPr>
          <w:sz w:val="20"/>
          <w:szCs w:val="20"/>
          <w:highlight w:val="magenta"/>
        </w:rPr>
        <w:t xml:space="preserve">?” </w:t>
      </w:r>
      <w:r w:rsidRPr="00D00C72">
        <w:rPr>
          <w:smallCaps/>
          <w:sz w:val="20"/>
          <w:szCs w:val="20"/>
          <w:highlight w:val="magenta"/>
        </w:rPr>
        <w:t>Ralph Ellison, Shadow and Act</w:t>
      </w:r>
      <w:r w:rsidRPr="00D00C72">
        <w:rPr>
          <w:sz w:val="20"/>
          <w:szCs w:val="20"/>
          <w:highlight w:val="magenta"/>
        </w:rPr>
        <w:t xml:space="preserve"> 315 (N.Y.C. Quality Paperback Club 1994) (1953). Ellison continued, “[</w:t>
      </w:r>
      <w:proofErr w:type="gramStart"/>
      <w:r w:rsidRPr="00D00C72">
        <w:rPr>
          <w:sz w:val="20"/>
          <w:szCs w:val="20"/>
          <w:highlight w:val="magenta"/>
        </w:rPr>
        <w:t>a]re</w:t>
      </w:r>
      <w:proofErr w:type="gramEnd"/>
      <w:r w:rsidRPr="00D00C72">
        <w:rPr>
          <w:sz w:val="20"/>
          <w:szCs w:val="20"/>
          <w:highlight w:val="magenta"/>
        </w:rPr>
        <w:t xml:space="preserve"> American Negroes simply the creation of white men, or have they at least helped to create themselves out of what they found around them?” </w:t>
      </w:r>
      <w:r w:rsidRPr="00D00C72">
        <w:rPr>
          <w:i/>
          <w:sz w:val="20"/>
          <w:szCs w:val="20"/>
          <w:highlight w:val="magenta"/>
        </w:rPr>
        <w:t>Id.</w:t>
      </w:r>
      <w:r w:rsidRPr="00D00C72">
        <w:rPr>
          <w:sz w:val="20"/>
          <w:szCs w:val="20"/>
          <w:highlight w:val="magenta"/>
        </w:rPr>
        <w:t xml:space="preserve">; </w:t>
      </w:r>
      <w:r w:rsidRPr="00D00C72">
        <w:rPr>
          <w:i/>
          <w:sz w:val="20"/>
          <w:szCs w:val="20"/>
          <w:highlight w:val="magenta"/>
        </w:rPr>
        <w:t xml:space="preserve">cf. </w:t>
      </w:r>
      <w:proofErr w:type="spellStart"/>
      <w:r w:rsidRPr="00D00C72">
        <w:rPr>
          <w:smallCaps/>
          <w:sz w:val="20"/>
          <w:szCs w:val="20"/>
          <w:highlight w:val="magenta"/>
        </w:rPr>
        <w:t>Butchart</w:t>
      </w:r>
      <w:proofErr w:type="spellEnd"/>
      <w:r w:rsidRPr="00D00C72">
        <w:rPr>
          <w:smallCaps/>
          <w:sz w:val="20"/>
          <w:szCs w:val="20"/>
          <w:highlight w:val="magenta"/>
        </w:rPr>
        <w:t>,</w:t>
      </w:r>
      <w:r w:rsidRPr="00D00C72">
        <w:rPr>
          <w:sz w:val="20"/>
          <w:szCs w:val="20"/>
          <w:highlight w:val="magenta"/>
        </w:rPr>
        <w:t xml:space="preserve"> </w:t>
      </w:r>
      <w:r w:rsidRPr="00D00C72">
        <w:rPr>
          <w:i/>
          <w:sz w:val="20"/>
          <w:szCs w:val="20"/>
          <w:highlight w:val="magenta"/>
        </w:rPr>
        <w:t xml:space="preserve">supra </w:t>
      </w:r>
      <w:r w:rsidRPr="00D00C72">
        <w:rPr>
          <w:sz w:val="20"/>
          <w:szCs w:val="20"/>
          <w:highlight w:val="magenta"/>
        </w:rPr>
        <w:t xml:space="preserve">note </w:t>
      </w:r>
      <w:r w:rsidRPr="00D00C72">
        <w:rPr>
          <w:sz w:val="20"/>
          <w:szCs w:val="20"/>
          <w:highlight w:val="magenta"/>
        </w:rPr>
        <w:fldChar w:fldCharType="begin"/>
      </w:r>
      <w:r w:rsidRPr="00D00C72">
        <w:rPr>
          <w:sz w:val="20"/>
          <w:szCs w:val="20"/>
          <w:highlight w:val="magenta"/>
        </w:rPr>
        <w:instrText xml:space="preserve"> NOTEREF _Ref291515864 \h </w:instrText>
      </w:r>
      <w:r w:rsidRPr="00D00C72">
        <w:rPr>
          <w:sz w:val="20"/>
          <w:szCs w:val="20"/>
          <w:highlight w:val="magenta"/>
        </w:rPr>
      </w:r>
      <w:r w:rsidRPr="00D00C72">
        <w:rPr>
          <w:sz w:val="20"/>
          <w:szCs w:val="20"/>
          <w:highlight w:val="magenta"/>
        </w:rPr>
        <w:fldChar w:fldCharType="separate"/>
      </w:r>
      <w:r w:rsidRPr="00D00C72">
        <w:rPr>
          <w:sz w:val="20"/>
          <w:szCs w:val="20"/>
          <w:highlight w:val="magenta"/>
        </w:rPr>
        <w:t>48</w:t>
      </w:r>
      <w:r w:rsidRPr="00D00C72">
        <w:rPr>
          <w:sz w:val="20"/>
          <w:szCs w:val="20"/>
          <w:highlight w:val="magenta"/>
        </w:rPr>
        <w:fldChar w:fldCharType="end"/>
      </w:r>
      <w:r w:rsidRPr="00D00C72">
        <w:rPr>
          <w:sz w:val="20"/>
          <w:szCs w:val="20"/>
          <w:highlight w:val="magenta"/>
        </w:rPr>
        <w:t>, at 18 (“The language that scholars employ to describe southern black schooling in the 1860s and 1870s—freedmen’s education—often implies a passive process, something done to and for the freed people.”).</w:t>
      </w:r>
      <w:r w:rsidRPr="00D00C72">
        <w:rPr>
          <w:i/>
          <w:sz w:val="20"/>
          <w:szCs w:val="20"/>
          <w:highlight w:val="magenta"/>
        </w:rPr>
        <w:t xml:space="preserve"> </w:t>
      </w:r>
      <w:r w:rsidRPr="00D00C72">
        <w:rPr>
          <w:sz w:val="20"/>
          <w:szCs w:val="20"/>
          <w:highlight w:val="magenta"/>
        </w:rPr>
        <w:t xml:space="preserve">The epistemological thrust of Ellison’s question is important for purposes of this essay in at least two ways. First, canonical understandings of the Reconstruction Amendments have overlooked the political ambitions of the </w:t>
      </w:r>
      <w:proofErr w:type="spellStart"/>
      <w:r w:rsidRPr="00D00C72">
        <w:rPr>
          <w:sz w:val="20"/>
          <w:szCs w:val="20"/>
          <w:highlight w:val="magenta"/>
        </w:rPr>
        <w:t>Freepeople</w:t>
      </w:r>
      <w:proofErr w:type="spellEnd"/>
      <w:r w:rsidRPr="00D00C72">
        <w:rPr>
          <w:sz w:val="20"/>
          <w:szCs w:val="20"/>
          <w:highlight w:val="magenta"/>
        </w:rPr>
        <w:t xml:space="preserve"> and their descendants as rich source materials that open new interpretive possibilities.</w:t>
      </w:r>
      <w:r w:rsidRPr="00742B66">
        <w:rPr>
          <w:sz w:val="20"/>
          <w:szCs w:val="20"/>
        </w:rPr>
        <w:t xml:space="preserve"> </w:t>
      </w:r>
      <w:r>
        <w:rPr>
          <w:sz w:val="20"/>
          <w:szCs w:val="20"/>
        </w:rPr>
        <w:t xml:space="preserve">Would like to see this discussed in text.  </w:t>
      </w:r>
      <w:proofErr w:type="gramStart"/>
      <w:r>
        <w:rPr>
          <w:sz w:val="20"/>
          <w:szCs w:val="20"/>
        </w:rPr>
        <w:t>And earlier.</w:t>
      </w:r>
      <w:proofErr w:type="gramEnd"/>
      <w:r>
        <w:rPr>
          <w:sz w:val="20"/>
          <w:szCs w:val="20"/>
        </w:rPr>
        <w:t xml:space="preserve"> Key to explaining why black political imagination and black assertions of freedom are relevant to constitutional interpretation. </w:t>
      </w:r>
      <w:r w:rsidRPr="00742B66">
        <w:rPr>
          <w:i/>
          <w:sz w:val="20"/>
          <w:szCs w:val="20"/>
          <w:highlight w:val="yellow"/>
        </w:rPr>
        <w:t xml:space="preserve">See </w:t>
      </w:r>
      <w:r w:rsidRPr="00742B66">
        <w:rPr>
          <w:sz w:val="20"/>
          <w:szCs w:val="20"/>
          <w:highlight w:val="yellow"/>
        </w:rPr>
        <w:t>__</w:t>
      </w:r>
      <w:r w:rsidRPr="00742B66">
        <w:rPr>
          <w:sz w:val="20"/>
          <w:szCs w:val="20"/>
        </w:rPr>
        <w:t xml:space="preserve">. Second, challenging these canonical understandings necessarily require a more nuanced understanding of slavery and those who lived under its regime, for whom civil and social rights often merged. </w:t>
      </w:r>
      <w:r w:rsidRPr="00742B66">
        <w:rPr>
          <w:i/>
          <w:sz w:val="20"/>
          <w:szCs w:val="20"/>
          <w:highlight w:val="yellow"/>
        </w:rPr>
        <w:t>See</w:t>
      </w:r>
      <w:r w:rsidRPr="00742B66">
        <w:rPr>
          <w:sz w:val="20"/>
          <w:szCs w:val="20"/>
          <w:highlight w:val="yellow"/>
        </w:rPr>
        <w:t xml:space="preserve"> __</w:t>
      </w:r>
      <w:r w:rsidRPr="00742B66">
        <w:rPr>
          <w:sz w:val="20"/>
          <w:szCs w:val="20"/>
        </w:rPr>
        <w:t>.</w:t>
      </w:r>
    </w:p>
  </w:footnote>
  <w:footnote w:id="100">
    <w:p w14:paraId="4D4EE124"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The collective consciousness of enslaved blacks was rooted in antislavery traditions of finding strength in bonds of reciprocity. </w:t>
      </w:r>
      <w:r w:rsidRPr="00742B66">
        <w:rPr>
          <w:i/>
          <w:sz w:val="20"/>
          <w:szCs w:val="20"/>
        </w:rPr>
        <w:t xml:space="preserve">See </w:t>
      </w:r>
      <w:r w:rsidRPr="00742B66">
        <w:rPr>
          <w:sz w:val="20"/>
          <w:szCs w:val="20"/>
        </w:rPr>
        <w:t xml:space="preserve">Herbert G. </w:t>
      </w:r>
      <w:proofErr w:type="spellStart"/>
      <w:r w:rsidRPr="00742B66">
        <w:rPr>
          <w:sz w:val="20"/>
          <w:szCs w:val="20"/>
        </w:rPr>
        <w:t>Gutman</w:t>
      </w:r>
      <w:proofErr w:type="spellEnd"/>
      <w:r w:rsidRPr="00742B66">
        <w:rPr>
          <w:sz w:val="20"/>
          <w:szCs w:val="20"/>
        </w:rPr>
        <w:t>,</w:t>
      </w:r>
      <w:r w:rsidRPr="00742B66">
        <w:rPr>
          <w:i/>
          <w:sz w:val="20"/>
          <w:szCs w:val="20"/>
        </w:rPr>
        <w:t xml:space="preserve"> Afro-American Kinship Before and After Emancipation in North America</w:t>
      </w:r>
      <w:r w:rsidRPr="00742B66">
        <w:rPr>
          <w:sz w:val="20"/>
          <w:szCs w:val="20"/>
        </w:rPr>
        <w:t xml:space="preserve">, </w:t>
      </w:r>
      <w:r w:rsidRPr="00742B66">
        <w:rPr>
          <w:i/>
          <w:sz w:val="20"/>
          <w:szCs w:val="20"/>
        </w:rPr>
        <w:t>in</w:t>
      </w:r>
      <w:r w:rsidRPr="00742B66">
        <w:rPr>
          <w:sz w:val="20"/>
          <w:szCs w:val="20"/>
        </w:rPr>
        <w:t xml:space="preserve"> </w:t>
      </w:r>
      <w:r w:rsidRPr="00742B66">
        <w:rPr>
          <w:smallCaps/>
          <w:sz w:val="20"/>
          <w:szCs w:val="20"/>
        </w:rPr>
        <w:t>Interest and Emotion: Essays on the Study of Family and Kinship</w:t>
      </w:r>
      <w:r w:rsidRPr="00742B66">
        <w:rPr>
          <w:sz w:val="20"/>
          <w:szCs w:val="20"/>
        </w:rPr>
        <w:t xml:space="preserve"> 247 (Hans </w:t>
      </w:r>
      <w:proofErr w:type="spellStart"/>
      <w:r w:rsidRPr="00742B66">
        <w:rPr>
          <w:sz w:val="20"/>
          <w:szCs w:val="20"/>
        </w:rPr>
        <w:t>Medick</w:t>
      </w:r>
      <w:proofErr w:type="spellEnd"/>
      <w:r w:rsidRPr="00742B66">
        <w:rPr>
          <w:sz w:val="20"/>
          <w:szCs w:val="20"/>
        </w:rPr>
        <w:t xml:space="preserve"> &amp; David Warren </w:t>
      </w:r>
      <w:proofErr w:type="spellStart"/>
      <w:r w:rsidRPr="00742B66">
        <w:rPr>
          <w:sz w:val="20"/>
          <w:szCs w:val="20"/>
        </w:rPr>
        <w:t>Sabean</w:t>
      </w:r>
      <w:proofErr w:type="spellEnd"/>
      <w:r w:rsidRPr="00742B66">
        <w:rPr>
          <w:sz w:val="20"/>
          <w:szCs w:val="20"/>
        </w:rPr>
        <w:t xml:space="preserve"> eds</w:t>
      </w:r>
      <w:proofErr w:type="gramStart"/>
      <w:r w:rsidRPr="00742B66">
        <w:rPr>
          <w:sz w:val="20"/>
          <w:szCs w:val="20"/>
        </w:rPr>
        <w:t>.,</w:t>
      </w:r>
      <w:proofErr w:type="gramEnd"/>
      <w:r w:rsidRPr="00742B66">
        <w:rPr>
          <w:sz w:val="20"/>
          <w:szCs w:val="20"/>
        </w:rPr>
        <w:t xml:space="preserve"> 1984) (“Fictive, or quasi-, kin played yet other roles in developing slave communities, binding unrelated slave adults to one another and thereby infusing these groups with conceptions of reciprocity and obligation that had initially flowed from kin obligations.”); </w:t>
      </w:r>
      <w:r w:rsidRPr="00742B66">
        <w:rPr>
          <w:i/>
          <w:sz w:val="20"/>
          <w:szCs w:val="20"/>
        </w:rPr>
        <w:t>see also</w:t>
      </w:r>
      <w:r w:rsidRPr="00742B66">
        <w:rPr>
          <w:i/>
          <w:smallCaps/>
          <w:sz w:val="20"/>
          <w:szCs w:val="20"/>
        </w:rPr>
        <w:t xml:space="preserve"> </w:t>
      </w:r>
      <w:r w:rsidRPr="00742B66">
        <w:rPr>
          <w:smallCaps/>
          <w:sz w:val="20"/>
          <w:szCs w:val="20"/>
        </w:rPr>
        <w:t xml:space="preserve">Williams, </w:t>
      </w:r>
      <w:r w:rsidRPr="00AF0C21">
        <w:rPr>
          <w:smallCaps/>
          <w:sz w:val="20"/>
          <w:szCs w:val="20"/>
        </w:rPr>
        <w:t>Find My People</w:t>
      </w:r>
      <w:r>
        <w:rPr>
          <w:smallCaps/>
          <w:sz w:val="20"/>
          <w:szCs w:val="20"/>
        </w:rPr>
        <w:t xml:space="preserve">, </w:t>
      </w:r>
      <w:r w:rsidRPr="00AF0C21">
        <w:rPr>
          <w:i/>
          <w:sz w:val="20"/>
          <w:szCs w:val="20"/>
        </w:rPr>
        <w:t xml:space="preserve">supra </w:t>
      </w:r>
      <w:r w:rsidRPr="005C656A">
        <w:rPr>
          <w:sz w:val="20"/>
          <w:szCs w:val="20"/>
        </w:rPr>
        <w:t>note</w:t>
      </w:r>
      <w:r w:rsidRPr="00AF0C21">
        <w:rPr>
          <w:sz w:val="20"/>
          <w:szCs w:val="20"/>
        </w:rPr>
        <w:t xml:space="preserve"> </w:t>
      </w:r>
      <w:r w:rsidRPr="00AF0C21">
        <w:rPr>
          <w:sz w:val="20"/>
          <w:szCs w:val="20"/>
        </w:rPr>
        <w:fldChar w:fldCharType="begin"/>
      </w:r>
      <w:r w:rsidRPr="00AF0C21">
        <w:rPr>
          <w:sz w:val="20"/>
          <w:szCs w:val="20"/>
        </w:rPr>
        <w:instrText xml:space="preserve"> NOTEREF _Ref291616284 \h </w:instrText>
      </w:r>
      <w:r w:rsidRPr="00AF0C21">
        <w:rPr>
          <w:sz w:val="20"/>
          <w:szCs w:val="20"/>
        </w:rPr>
      </w:r>
      <w:r w:rsidRPr="00AF0C21">
        <w:rPr>
          <w:sz w:val="20"/>
          <w:szCs w:val="20"/>
        </w:rPr>
        <w:fldChar w:fldCharType="separate"/>
      </w:r>
      <w:r>
        <w:rPr>
          <w:sz w:val="20"/>
          <w:szCs w:val="20"/>
        </w:rPr>
        <w:t>84</w:t>
      </w:r>
      <w:r w:rsidRPr="00AF0C21">
        <w:rPr>
          <w:sz w:val="20"/>
          <w:szCs w:val="20"/>
        </w:rPr>
        <w:fldChar w:fldCharType="end"/>
      </w:r>
      <w:r w:rsidRPr="00AF0C21">
        <w:rPr>
          <w:sz w:val="20"/>
          <w:szCs w:val="20"/>
        </w:rPr>
        <w:t>, at</w:t>
      </w:r>
      <w:r>
        <w:rPr>
          <w:i/>
          <w:smallCaps/>
          <w:sz w:val="20"/>
          <w:szCs w:val="20"/>
        </w:rPr>
        <w:t xml:space="preserve"> </w:t>
      </w:r>
      <w:r w:rsidRPr="00742B66">
        <w:rPr>
          <w:sz w:val="20"/>
          <w:szCs w:val="20"/>
        </w:rPr>
        <w:t xml:space="preserve">40 (discussing the role of “surrogate caregivers” in slave communities given the disrespect the system of slavery accorded black families); </w:t>
      </w:r>
      <w:r w:rsidRPr="00742B66">
        <w:rPr>
          <w:i/>
          <w:sz w:val="20"/>
          <w:szCs w:val="20"/>
        </w:rPr>
        <w:t xml:space="preserve">cf. </w:t>
      </w:r>
      <w:r w:rsidRPr="00742B66">
        <w:rPr>
          <w:smallCaps/>
          <w:sz w:val="20"/>
          <w:szCs w:val="20"/>
        </w:rPr>
        <w:t>Carol Stack, All Our Kin</w:t>
      </w:r>
      <w:r w:rsidRPr="00742B66">
        <w:rPr>
          <w:sz w:val="20"/>
          <w:szCs w:val="20"/>
        </w:rPr>
        <w:t xml:space="preserve"> 30 (N.Y.C., Basic Books 1997) (1970) (“Children may be cared for by their parents or by other participants in their parents’ domestic network . . . . The residence patterns of children . . . raises questions about the distribution of rights </w:t>
      </w:r>
      <w:r>
        <w:rPr>
          <w:sz w:val="20"/>
          <w:szCs w:val="20"/>
        </w:rPr>
        <w:t>for</w:t>
      </w:r>
      <w:r w:rsidRPr="00742B66">
        <w:rPr>
          <w:sz w:val="20"/>
          <w:szCs w:val="20"/>
        </w:rPr>
        <w:t xml:space="preserve"> children, the criteria by which persons are entitled to assume parental roles, and how to define ‘family’ . . </w:t>
      </w:r>
      <w:proofErr w:type="gramStart"/>
      <w:r w:rsidRPr="00742B66">
        <w:rPr>
          <w:sz w:val="20"/>
          <w:szCs w:val="20"/>
        </w:rPr>
        <w:t>. .</w:t>
      </w:r>
      <w:proofErr w:type="gramEnd"/>
      <w:r w:rsidRPr="00742B66">
        <w:rPr>
          <w:sz w:val="20"/>
          <w:szCs w:val="20"/>
        </w:rPr>
        <w:t xml:space="preserve">”). For a classic history of the development of black cultural consciousness during slavery, see </w:t>
      </w:r>
      <w:r w:rsidRPr="00742B66">
        <w:rPr>
          <w:smallCaps/>
          <w:sz w:val="20"/>
          <w:szCs w:val="20"/>
        </w:rPr>
        <w:t>Lawrence W. Levine, Black Culture and Black Consciousness: Afro-American Folk Thought From Slavery to Freedom</w:t>
      </w:r>
      <w:r w:rsidRPr="00742B66">
        <w:rPr>
          <w:sz w:val="20"/>
          <w:szCs w:val="20"/>
        </w:rPr>
        <w:t xml:space="preserve"> (1977).</w:t>
      </w:r>
    </w:p>
  </w:footnote>
  <w:footnote w:id="101">
    <w:p w14:paraId="66200F79"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spellStart"/>
      <w:r w:rsidRPr="00742B66">
        <w:rPr>
          <w:smallCaps/>
          <w:sz w:val="20"/>
          <w:szCs w:val="20"/>
        </w:rPr>
        <w:t>Litwack</w:t>
      </w:r>
      <w:proofErr w:type="spellEnd"/>
      <w:r w:rsidRPr="00742B66">
        <w:rPr>
          <w:smallCaps/>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_Ref291624652 \h </w:instrText>
      </w:r>
      <w:r w:rsidRPr="00742B66">
        <w:rPr>
          <w:sz w:val="20"/>
          <w:szCs w:val="20"/>
        </w:rPr>
      </w:r>
      <w:r w:rsidRPr="00742B66">
        <w:rPr>
          <w:sz w:val="20"/>
          <w:szCs w:val="20"/>
        </w:rPr>
        <w:fldChar w:fldCharType="separate"/>
      </w:r>
      <w:r>
        <w:rPr>
          <w:sz w:val="20"/>
          <w:szCs w:val="20"/>
        </w:rPr>
        <w:t>47</w:t>
      </w:r>
      <w:r w:rsidRPr="00742B66">
        <w:rPr>
          <w:sz w:val="20"/>
          <w:szCs w:val="20"/>
        </w:rPr>
        <w:fldChar w:fldCharType="end"/>
      </w:r>
      <w:r w:rsidRPr="00742B66">
        <w:rPr>
          <w:sz w:val="20"/>
          <w:szCs w:val="20"/>
        </w:rPr>
        <w:t xml:space="preserve">, at 500–01 (“But </w:t>
      </w:r>
      <w:proofErr w:type="spellStart"/>
      <w:r w:rsidRPr="00742B66">
        <w:rPr>
          <w:sz w:val="20"/>
          <w:szCs w:val="20"/>
        </w:rPr>
        <w:t>we’se</w:t>
      </w:r>
      <w:proofErr w:type="spellEnd"/>
      <w:r w:rsidRPr="00742B66">
        <w:rPr>
          <w:sz w:val="20"/>
          <w:szCs w:val="20"/>
        </w:rPr>
        <w:t xml:space="preserve"> a down trodden </w:t>
      </w:r>
      <w:proofErr w:type="gramStart"/>
      <w:r w:rsidRPr="00742B66">
        <w:rPr>
          <w:sz w:val="20"/>
          <w:szCs w:val="20"/>
        </w:rPr>
        <w:t>people.</w:t>
      </w:r>
      <w:proofErr w:type="gramEnd"/>
      <w:r w:rsidRPr="00742B66">
        <w:rPr>
          <w:sz w:val="20"/>
          <w:szCs w:val="20"/>
        </w:rPr>
        <w:t xml:space="preserve"> . . . We </w:t>
      </w:r>
      <w:proofErr w:type="gramStart"/>
      <w:r w:rsidRPr="00742B66">
        <w:rPr>
          <w:sz w:val="20"/>
          <w:szCs w:val="20"/>
        </w:rPr>
        <w:t>has</w:t>
      </w:r>
      <w:proofErr w:type="gramEnd"/>
      <w:r w:rsidRPr="00742B66">
        <w:rPr>
          <w:sz w:val="20"/>
          <w:szCs w:val="20"/>
        </w:rPr>
        <w:t xml:space="preserve"> bin </w:t>
      </w:r>
      <w:proofErr w:type="spellStart"/>
      <w:r w:rsidRPr="00742B66">
        <w:rPr>
          <w:sz w:val="20"/>
          <w:szCs w:val="20"/>
        </w:rPr>
        <w:t>kep</w:t>
      </w:r>
      <w:proofErr w:type="spellEnd"/>
      <w:r w:rsidRPr="00742B66">
        <w:rPr>
          <w:sz w:val="20"/>
          <w:szCs w:val="20"/>
        </w:rPr>
        <w:t xml:space="preserve"> down a </w:t>
      </w:r>
      <w:r w:rsidRPr="00742B66">
        <w:rPr>
          <w:i/>
          <w:sz w:val="20"/>
          <w:szCs w:val="20"/>
        </w:rPr>
        <w:t xml:space="preserve">hundred years </w:t>
      </w:r>
      <w:r w:rsidRPr="00742B66">
        <w:rPr>
          <w:sz w:val="20"/>
          <w:szCs w:val="20"/>
        </w:rPr>
        <w:t xml:space="preserve">and </w:t>
      </w:r>
      <w:r w:rsidRPr="00742B66">
        <w:rPr>
          <w:i/>
          <w:sz w:val="20"/>
          <w:szCs w:val="20"/>
        </w:rPr>
        <w:t>I</w:t>
      </w:r>
      <w:r w:rsidRPr="00742B66">
        <w:rPr>
          <w:sz w:val="20"/>
          <w:szCs w:val="20"/>
        </w:rPr>
        <w:t xml:space="preserve"> think it will take a </w:t>
      </w:r>
      <w:r w:rsidRPr="00742B66">
        <w:rPr>
          <w:i/>
          <w:sz w:val="20"/>
          <w:szCs w:val="20"/>
        </w:rPr>
        <w:t xml:space="preserve">hundred years to get us back </w:t>
      </w:r>
      <w:proofErr w:type="spellStart"/>
      <w:r w:rsidRPr="00742B66">
        <w:rPr>
          <w:i/>
          <w:sz w:val="20"/>
          <w:szCs w:val="20"/>
        </w:rPr>
        <w:t>agin</w:t>
      </w:r>
      <w:proofErr w:type="spellEnd"/>
      <w:r w:rsidRPr="00742B66">
        <w:rPr>
          <w:sz w:val="20"/>
          <w:szCs w:val="20"/>
        </w:rPr>
        <w:t xml:space="preserve">. </w:t>
      </w:r>
      <w:proofErr w:type="spellStart"/>
      <w:r w:rsidRPr="00742B66">
        <w:rPr>
          <w:sz w:val="20"/>
          <w:szCs w:val="20"/>
        </w:rPr>
        <w:t>Derefo</w:t>
      </w:r>
      <w:proofErr w:type="spellEnd"/>
      <w:r w:rsidRPr="00742B66">
        <w:rPr>
          <w:sz w:val="20"/>
          <w:szCs w:val="20"/>
        </w:rPr>
        <w:t xml:space="preserve">’ . . . I </w:t>
      </w:r>
      <w:proofErr w:type="spellStart"/>
      <w:r w:rsidRPr="00742B66">
        <w:rPr>
          <w:sz w:val="20"/>
          <w:szCs w:val="20"/>
        </w:rPr>
        <w:t>tink</w:t>
      </w:r>
      <w:proofErr w:type="spellEnd"/>
      <w:r w:rsidRPr="00742B66">
        <w:rPr>
          <w:sz w:val="20"/>
          <w:szCs w:val="20"/>
        </w:rPr>
        <w:t xml:space="preserve"> we better not wait for education.”).</w:t>
      </w:r>
    </w:p>
  </w:footnote>
  <w:footnote w:id="102">
    <w:p w14:paraId="76FE7649"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 xml:space="preserve">See </w:t>
      </w:r>
      <w:r w:rsidRPr="00742B66">
        <w:rPr>
          <w:smallCaps/>
          <w:sz w:val="20"/>
          <w:szCs w:val="20"/>
        </w:rPr>
        <w:t>Freedmen’s Bureau, Letter from the Secretary of War, in Answer to A Resolution of the House of March 8, Transmitting a Report, by the Commissioner of the Freedmen’s Bureau, of All Orders Issued by Him or Any Assistant Commission</w:t>
      </w:r>
      <w:r w:rsidRPr="00742B66">
        <w:rPr>
          <w:sz w:val="20"/>
          <w:szCs w:val="20"/>
        </w:rPr>
        <w:t xml:space="preserve">, 39th Cong., 1st Sess. </w:t>
      </w:r>
      <w:r w:rsidRPr="00742B66">
        <w:rPr>
          <w:smallCaps/>
          <w:sz w:val="20"/>
          <w:szCs w:val="20"/>
        </w:rPr>
        <w:t>H.R. Exec. Doc.</w:t>
      </w:r>
      <w:r w:rsidRPr="00742B66">
        <w:rPr>
          <w:sz w:val="20"/>
          <w:szCs w:val="20"/>
        </w:rPr>
        <w:t xml:space="preserve"> 70, at 2 (1866) (“Your freedom will expose you to some new troubles. Bad men will take advantage of your ignorance and impose upon you. Some will try to defraud you of your wages, and a few may be wicked and cowardly enough to revenge their losses upon you by violence.”); </w:t>
      </w:r>
      <w:proofErr w:type="spellStart"/>
      <w:r w:rsidRPr="00742B66">
        <w:rPr>
          <w:smallCaps/>
          <w:sz w:val="20"/>
          <w:szCs w:val="20"/>
        </w:rPr>
        <w:t>Botume</w:t>
      </w:r>
      <w:proofErr w:type="spellEnd"/>
      <w:r w:rsidRPr="00742B66">
        <w:rPr>
          <w:smallCaps/>
          <w:sz w:val="20"/>
          <w:szCs w:val="20"/>
        </w:rPr>
        <w:t xml:space="preserve">, </w:t>
      </w:r>
      <w:r w:rsidRPr="00CC58B3">
        <w:rPr>
          <w:i/>
          <w:sz w:val="20"/>
          <w:szCs w:val="20"/>
        </w:rPr>
        <w:t xml:space="preserve">supra </w:t>
      </w:r>
      <w:r w:rsidRPr="00CC58B3">
        <w:rPr>
          <w:sz w:val="20"/>
          <w:szCs w:val="20"/>
        </w:rPr>
        <w:t xml:space="preserve">note </w:t>
      </w:r>
      <w:r w:rsidRPr="00CC58B3">
        <w:rPr>
          <w:sz w:val="20"/>
          <w:szCs w:val="20"/>
        </w:rPr>
        <w:fldChar w:fldCharType="begin"/>
      </w:r>
      <w:r w:rsidRPr="00CC58B3">
        <w:rPr>
          <w:sz w:val="20"/>
          <w:szCs w:val="20"/>
        </w:rPr>
        <w:instrText xml:space="preserve"> NOTEREF _Ref291714630 \h </w:instrText>
      </w:r>
      <w:r w:rsidRPr="00CC58B3">
        <w:rPr>
          <w:sz w:val="20"/>
          <w:szCs w:val="20"/>
        </w:rPr>
      </w:r>
      <w:r w:rsidRPr="00CC58B3">
        <w:rPr>
          <w:sz w:val="20"/>
          <w:szCs w:val="20"/>
        </w:rPr>
        <w:fldChar w:fldCharType="separate"/>
      </w:r>
      <w:r>
        <w:rPr>
          <w:sz w:val="20"/>
          <w:szCs w:val="20"/>
        </w:rPr>
        <w:t>56</w:t>
      </w:r>
      <w:r w:rsidRPr="00CC58B3">
        <w:rPr>
          <w:sz w:val="20"/>
          <w:szCs w:val="20"/>
        </w:rPr>
        <w:fldChar w:fldCharType="end"/>
      </w:r>
      <w:r w:rsidRPr="00CC58B3">
        <w:rPr>
          <w:sz w:val="20"/>
          <w:szCs w:val="20"/>
        </w:rPr>
        <w:t>, at</w:t>
      </w:r>
      <w:r w:rsidRPr="00742B66">
        <w:rPr>
          <w:sz w:val="20"/>
          <w:szCs w:val="20"/>
        </w:rPr>
        <w:t xml:space="preserve"> 259 (Boston, Lee and Shepard Publishers 1893); (“The poor negroes became more than ever eager to ‘get book-</w:t>
      </w:r>
      <w:proofErr w:type="spellStart"/>
      <w:r w:rsidRPr="00742B66">
        <w:rPr>
          <w:sz w:val="20"/>
          <w:szCs w:val="20"/>
        </w:rPr>
        <w:t>larning</w:t>
      </w:r>
      <w:proofErr w:type="spellEnd"/>
      <w:r w:rsidRPr="00742B66">
        <w:rPr>
          <w:sz w:val="20"/>
          <w:szCs w:val="20"/>
        </w:rPr>
        <w:t xml:space="preserve">,’ realizing that designing people took advantage of their ignorance.”); </w:t>
      </w:r>
      <w:proofErr w:type="spellStart"/>
      <w:r w:rsidRPr="00742B66">
        <w:rPr>
          <w:smallCaps/>
          <w:sz w:val="20"/>
          <w:szCs w:val="20"/>
        </w:rPr>
        <w:t>Litwack</w:t>
      </w:r>
      <w:proofErr w:type="spellEnd"/>
      <w:r w:rsidRPr="00742B66">
        <w:rPr>
          <w:smallCaps/>
          <w:sz w:val="20"/>
          <w:szCs w:val="20"/>
        </w:rPr>
        <w:t xml:space="preserve">, </w:t>
      </w:r>
      <w:r w:rsidRPr="00B46277">
        <w:rPr>
          <w:i/>
          <w:sz w:val="20"/>
          <w:szCs w:val="20"/>
        </w:rPr>
        <w:t xml:space="preserve">supra </w:t>
      </w:r>
      <w:r w:rsidRPr="00B46277">
        <w:rPr>
          <w:sz w:val="20"/>
          <w:szCs w:val="20"/>
        </w:rPr>
        <w:t>note</w:t>
      </w:r>
      <w:r>
        <w:rPr>
          <w:smallCaps/>
          <w:sz w:val="20"/>
          <w:szCs w:val="20"/>
        </w:rPr>
        <w:t xml:space="preserve"> </w:t>
      </w:r>
      <w:r>
        <w:rPr>
          <w:sz w:val="20"/>
          <w:szCs w:val="20"/>
        </w:rPr>
        <w:fldChar w:fldCharType="begin"/>
      </w:r>
      <w:r>
        <w:rPr>
          <w:sz w:val="20"/>
          <w:szCs w:val="20"/>
        </w:rPr>
        <w:instrText xml:space="preserve"> NOTEREF _Ref291624652 \h </w:instrText>
      </w:r>
      <w:r>
        <w:rPr>
          <w:sz w:val="20"/>
          <w:szCs w:val="20"/>
        </w:rPr>
      </w:r>
      <w:r>
        <w:rPr>
          <w:sz w:val="20"/>
          <w:szCs w:val="20"/>
        </w:rPr>
        <w:fldChar w:fldCharType="separate"/>
      </w:r>
      <w:r>
        <w:rPr>
          <w:sz w:val="20"/>
          <w:szCs w:val="20"/>
        </w:rPr>
        <w:t>47</w:t>
      </w:r>
      <w:r>
        <w:rPr>
          <w:sz w:val="20"/>
          <w:szCs w:val="20"/>
        </w:rPr>
        <w:fldChar w:fldCharType="end"/>
      </w:r>
      <w:r>
        <w:rPr>
          <w:sz w:val="20"/>
          <w:szCs w:val="20"/>
        </w:rPr>
        <w:t>, at 473</w:t>
      </w:r>
      <w:r w:rsidRPr="00742B66">
        <w:rPr>
          <w:sz w:val="20"/>
          <w:szCs w:val="20"/>
        </w:rPr>
        <w:t xml:space="preserve"> (“The practical value of education never seemed clearer than in the aftermath of emancipation, when illiterate black laborers learned from bitter experience, especially on payday and at contract time, how white people used ‘book-</w:t>
      </w:r>
      <w:proofErr w:type="spellStart"/>
      <w:r w:rsidRPr="00742B66">
        <w:rPr>
          <w:sz w:val="20"/>
          <w:szCs w:val="20"/>
        </w:rPr>
        <w:t>larnin</w:t>
      </w:r>
      <w:proofErr w:type="spellEnd"/>
      <w:r w:rsidRPr="00742B66">
        <w:rPr>
          <w:sz w:val="20"/>
          <w:szCs w:val="20"/>
        </w:rPr>
        <w:t xml:space="preserve">’’ to take advantage of them.”); </w:t>
      </w:r>
      <w:r w:rsidRPr="00742B66">
        <w:rPr>
          <w:smallCaps/>
          <w:sz w:val="20"/>
          <w:szCs w:val="20"/>
        </w:rPr>
        <w:t xml:space="preserve">Mitchell, </w:t>
      </w:r>
      <w:r w:rsidRPr="009A6B3C">
        <w:rPr>
          <w:i/>
          <w:sz w:val="20"/>
          <w:szCs w:val="20"/>
        </w:rPr>
        <w:t xml:space="preserve">supra </w:t>
      </w:r>
      <w:r w:rsidRPr="009A6B3C">
        <w:rPr>
          <w:sz w:val="20"/>
          <w:szCs w:val="20"/>
        </w:rPr>
        <w:t xml:space="preserve">note </w:t>
      </w:r>
      <w:r w:rsidRPr="009A6B3C">
        <w:rPr>
          <w:sz w:val="20"/>
          <w:szCs w:val="20"/>
        </w:rPr>
        <w:fldChar w:fldCharType="begin"/>
      </w:r>
      <w:r w:rsidRPr="009A6B3C">
        <w:rPr>
          <w:sz w:val="20"/>
          <w:szCs w:val="20"/>
        </w:rPr>
        <w:instrText xml:space="preserve"> NOTEREF _Ref290802137 \h </w:instrText>
      </w:r>
      <w:r w:rsidRPr="009A6B3C">
        <w:rPr>
          <w:sz w:val="20"/>
          <w:szCs w:val="20"/>
        </w:rPr>
      </w:r>
      <w:r w:rsidRPr="009A6B3C">
        <w:rPr>
          <w:sz w:val="20"/>
          <w:szCs w:val="20"/>
        </w:rPr>
        <w:fldChar w:fldCharType="separate"/>
      </w:r>
      <w:r>
        <w:rPr>
          <w:sz w:val="20"/>
          <w:szCs w:val="20"/>
        </w:rPr>
        <w:t>10</w:t>
      </w:r>
      <w:r w:rsidRPr="009A6B3C">
        <w:rPr>
          <w:sz w:val="20"/>
          <w:szCs w:val="20"/>
        </w:rPr>
        <w:fldChar w:fldCharType="end"/>
      </w:r>
      <w:r w:rsidRPr="009A6B3C">
        <w:rPr>
          <w:sz w:val="20"/>
          <w:szCs w:val="20"/>
        </w:rPr>
        <w:t>, at 200</w:t>
      </w:r>
      <w:r w:rsidRPr="00742B66">
        <w:rPr>
          <w:sz w:val="20"/>
          <w:szCs w:val="20"/>
        </w:rPr>
        <w:t xml:space="preserve"> (noting the “devious nature of planters”).</w:t>
      </w:r>
    </w:p>
  </w:footnote>
  <w:footnote w:id="103">
    <w:p w14:paraId="1B0CCCDA"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John Richard Dennett, The South As It Is, 1865–1866</w:t>
      </w:r>
      <w:r w:rsidRPr="00742B66">
        <w:rPr>
          <w:sz w:val="20"/>
          <w:szCs w:val="20"/>
        </w:rPr>
        <w:t xml:space="preserve">, at 322 (Univ. of Ala. Press, 2010) (1965). </w:t>
      </w:r>
    </w:p>
  </w:footnote>
  <w:footnote w:id="104">
    <w:p w14:paraId="551B8443"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r w:rsidRPr="00742B66">
        <w:rPr>
          <w:sz w:val="20"/>
          <w:szCs w:val="20"/>
        </w:rPr>
        <w:t xml:space="preserve"> </w:t>
      </w:r>
      <w:r w:rsidRPr="00742B66">
        <w:rPr>
          <w:i/>
          <w:sz w:val="20"/>
          <w:szCs w:val="20"/>
        </w:rPr>
        <w:t>see also</w:t>
      </w:r>
      <w:r w:rsidRPr="00742B66">
        <w:rPr>
          <w:sz w:val="20"/>
          <w:szCs w:val="20"/>
        </w:rPr>
        <w:t xml:space="preserve"> </w:t>
      </w:r>
      <w:r w:rsidRPr="00742B66">
        <w:rPr>
          <w:i/>
          <w:sz w:val="20"/>
          <w:szCs w:val="20"/>
        </w:rPr>
        <w:t>State Convention, Reconstruction Begun</w:t>
      </w:r>
      <w:r w:rsidRPr="00742B66">
        <w:rPr>
          <w:sz w:val="20"/>
          <w:szCs w:val="20"/>
        </w:rPr>
        <w:t xml:space="preserve">, </w:t>
      </w:r>
      <w:r w:rsidRPr="00742B66">
        <w:rPr>
          <w:smallCaps/>
          <w:sz w:val="20"/>
          <w:szCs w:val="20"/>
        </w:rPr>
        <w:t>S.C. Leader</w:t>
      </w:r>
      <w:r w:rsidRPr="00742B66">
        <w:rPr>
          <w:sz w:val="20"/>
          <w:szCs w:val="20"/>
        </w:rPr>
        <w:t xml:space="preserve">, Oct. 28, 1865, at 2 (“Knowledge is power, and an educated and intelligent people can neither be held in, nor reduced to, bondage . . </w:t>
      </w:r>
      <w:proofErr w:type="gramStart"/>
      <w:r w:rsidRPr="00742B66">
        <w:rPr>
          <w:sz w:val="20"/>
          <w:szCs w:val="20"/>
        </w:rPr>
        <w:t>. .</w:t>
      </w:r>
      <w:proofErr w:type="gramEnd"/>
      <w:r w:rsidRPr="00742B66">
        <w:rPr>
          <w:sz w:val="20"/>
          <w:szCs w:val="20"/>
        </w:rPr>
        <w:t xml:space="preserve">”); </w:t>
      </w:r>
      <w:r w:rsidRPr="00742B66">
        <w:rPr>
          <w:smallCaps/>
          <w:sz w:val="20"/>
          <w:szCs w:val="20"/>
          <w:highlight w:val="yellow"/>
        </w:rPr>
        <w:t>Loyal Georgian</w:t>
      </w:r>
      <w:r w:rsidRPr="00742B66">
        <w:rPr>
          <w:sz w:val="20"/>
          <w:szCs w:val="20"/>
          <w:highlight w:val="yellow"/>
        </w:rPr>
        <w:t>, Jan 20, 1866</w:t>
      </w:r>
      <w:r w:rsidRPr="00742B66">
        <w:rPr>
          <w:b/>
          <w:sz w:val="20"/>
          <w:szCs w:val="20"/>
        </w:rPr>
        <w:t xml:space="preserve"> [available at </w:t>
      </w:r>
      <w:proofErr w:type="spellStart"/>
      <w:r w:rsidRPr="00742B66">
        <w:rPr>
          <w:b/>
          <w:sz w:val="20"/>
          <w:szCs w:val="20"/>
        </w:rPr>
        <w:t>Schomburg</w:t>
      </w:r>
      <w:proofErr w:type="spellEnd"/>
      <w:r w:rsidRPr="00742B66">
        <w:rPr>
          <w:b/>
          <w:sz w:val="20"/>
          <w:szCs w:val="20"/>
        </w:rPr>
        <w:t>]</w:t>
      </w:r>
      <w:r w:rsidRPr="00742B66">
        <w:rPr>
          <w:sz w:val="20"/>
          <w:szCs w:val="20"/>
        </w:rPr>
        <w:t xml:space="preserve">. </w:t>
      </w:r>
    </w:p>
  </w:footnote>
  <w:footnote w:id="105">
    <w:p w14:paraId="1BADD99B"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spellStart"/>
      <w:r w:rsidRPr="00742B66">
        <w:rPr>
          <w:smallCaps/>
          <w:sz w:val="20"/>
          <w:szCs w:val="20"/>
        </w:rPr>
        <w:t>Litwack</w:t>
      </w:r>
      <w:proofErr w:type="spellEnd"/>
      <w:r w:rsidRPr="00742B66">
        <w:rPr>
          <w:smallCaps/>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_Ref291624652 \h </w:instrText>
      </w:r>
      <w:r w:rsidRPr="00742B66">
        <w:rPr>
          <w:sz w:val="20"/>
          <w:szCs w:val="20"/>
        </w:rPr>
      </w:r>
      <w:r w:rsidRPr="00742B66">
        <w:rPr>
          <w:sz w:val="20"/>
          <w:szCs w:val="20"/>
        </w:rPr>
        <w:fldChar w:fldCharType="separate"/>
      </w:r>
      <w:r>
        <w:rPr>
          <w:sz w:val="20"/>
          <w:szCs w:val="20"/>
        </w:rPr>
        <w:t>47</w:t>
      </w:r>
      <w:r w:rsidRPr="00742B66">
        <w:rPr>
          <w:sz w:val="20"/>
          <w:szCs w:val="20"/>
        </w:rPr>
        <w:fldChar w:fldCharType="end"/>
      </w:r>
      <w:r w:rsidRPr="00742B66">
        <w:rPr>
          <w:sz w:val="20"/>
          <w:szCs w:val="20"/>
        </w:rPr>
        <w:t>, at 501.</w:t>
      </w:r>
    </w:p>
  </w:footnote>
  <w:footnote w:id="106">
    <w:p w14:paraId="7781CBEC"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p>
  </w:footnote>
  <w:footnote w:id="107">
    <w:p w14:paraId="49791AEA"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r w:rsidRPr="00742B66">
        <w:rPr>
          <w:sz w:val="20"/>
          <w:szCs w:val="20"/>
        </w:rPr>
        <w:t xml:space="preserve">; </w:t>
      </w:r>
      <w:r w:rsidRPr="00742B66">
        <w:rPr>
          <w:i/>
          <w:sz w:val="20"/>
          <w:szCs w:val="20"/>
        </w:rPr>
        <w:t>see also</w:t>
      </w:r>
      <w:r w:rsidRPr="00742B66">
        <w:rPr>
          <w:sz w:val="20"/>
          <w:szCs w:val="20"/>
        </w:rPr>
        <w:t xml:space="preserve"> </w:t>
      </w:r>
      <w:proofErr w:type="gramStart"/>
      <w:r w:rsidRPr="00742B66">
        <w:rPr>
          <w:smallCaps/>
          <w:sz w:val="20"/>
          <w:szCs w:val="20"/>
        </w:rPr>
        <w:t>Mitchell,</w:t>
      </w:r>
      <w:proofErr w:type="gramEnd"/>
      <w:r w:rsidRPr="00742B66">
        <w:rPr>
          <w:smallCaps/>
          <w:sz w:val="20"/>
          <w:szCs w:val="20"/>
        </w:rPr>
        <w:t xml:space="preserve"> </w:t>
      </w:r>
      <w:r w:rsidRPr="009A6B3C">
        <w:rPr>
          <w:i/>
          <w:sz w:val="20"/>
          <w:szCs w:val="20"/>
        </w:rPr>
        <w:t xml:space="preserve">supra </w:t>
      </w:r>
      <w:r w:rsidRPr="009A6B3C">
        <w:rPr>
          <w:sz w:val="20"/>
          <w:szCs w:val="20"/>
        </w:rPr>
        <w:t xml:space="preserve">note </w:t>
      </w:r>
      <w:r w:rsidRPr="009A6B3C">
        <w:rPr>
          <w:sz w:val="20"/>
          <w:szCs w:val="20"/>
        </w:rPr>
        <w:fldChar w:fldCharType="begin"/>
      </w:r>
      <w:r w:rsidRPr="009A6B3C">
        <w:rPr>
          <w:sz w:val="20"/>
          <w:szCs w:val="20"/>
        </w:rPr>
        <w:instrText xml:space="preserve"> NOTEREF _Ref290802137 \h </w:instrText>
      </w:r>
      <w:r w:rsidRPr="009A6B3C">
        <w:rPr>
          <w:sz w:val="20"/>
          <w:szCs w:val="20"/>
        </w:rPr>
      </w:r>
      <w:r w:rsidRPr="009A6B3C">
        <w:rPr>
          <w:sz w:val="20"/>
          <w:szCs w:val="20"/>
        </w:rPr>
        <w:fldChar w:fldCharType="separate"/>
      </w:r>
      <w:r>
        <w:rPr>
          <w:sz w:val="20"/>
          <w:szCs w:val="20"/>
        </w:rPr>
        <w:t>10</w:t>
      </w:r>
      <w:r w:rsidRPr="009A6B3C">
        <w:rPr>
          <w:sz w:val="20"/>
          <w:szCs w:val="20"/>
        </w:rPr>
        <w:fldChar w:fldCharType="end"/>
      </w:r>
      <w:r w:rsidRPr="009A6B3C">
        <w:rPr>
          <w:sz w:val="20"/>
          <w:szCs w:val="20"/>
        </w:rPr>
        <w:t xml:space="preserve">, </w:t>
      </w:r>
      <w:r>
        <w:rPr>
          <w:sz w:val="20"/>
          <w:szCs w:val="20"/>
        </w:rPr>
        <w:t>at</w:t>
      </w:r>
      <w:r w:rsidRPr="00742B66">
        <w:rPr>
          <w:smallCaps/>
          <w:sz w:val="20"/>
          <w:szCs w:val="20"/>
        </w:rPr>
        <w:t xml:space="preserve"> 191</w:t>
      </w:r>
      <w:r w:rsidRPr="00742B66">
        <w:rPr>
          <w:sz w:val="20"/>
          <w:szCs w:val="20"/>
        </w:rPr>
        <w:t xml:space="preserve"> (“</w:t>
      </w:r>
      <w:proofErr w:type="spellStart"/>
      <w:r w:rsidRPr="00742B66">
        <w:rPr>
          <w:sz w:val="20"/>
          <w:szCs w:val="20"/>
        </w:rPr>
        <w:t>Freedpeople</w:t>
      </w:r>
      <w:proofErr w:type="spellEnd"/>
      <w:r w:rsidRPr="00742B66">
        <w:rPr>
          <w:sz w:val="20"/>
          <w:szCs w:val="20"/>
        </w:rPr>
        <w:t xml:space="preserve">, formerly free people, and their allies viewed education as fundamental to the political and economic future of all people of color after emancipation.”). See </w:t>
      </w:r>
      <w:r w:rsidRPr="00742B66">
        <w:rPr>
          <w:smallCaps/>
          <w:sz w:val="20"/>
          <w:szCs w:val="20"/>
          <w:highlight w:val="yellow"/>
        </w:rPr>
        <w:t xml:space="preserve">Julie </w:t>
      </w:r>
      <w:proofErr w:type="spellStart"/>
      <w:r w:rsidRPr="00742B66">
        <w:rPr>
          <w:smallCaps/>
          <w:sz w:val="20"/>
          <w:szCs w:val="20"/>
          <w:highlight w:val="yellow"/>
        </w:rPr>
        <w:t>Saville</w:t>
      </w:r>
      <w:proofErr w:type="spellEnd"/>
      <w:r w:rsidRPr="00742B66">
        <w:rPr>
          <w:smallCaps/>
          <w:sz w:val="20"/>
          <w:szCs w:val="20"/>
          <w:highlight w:val="yellow"/>
        </w:rPr>
        <w:t>, The Work of Reconstruction: From Slave to Wage Labor in South Carolina 1860–1870</w:t>
      </w:r>
      <w:r w:rsidRPr="00742B66">
        <w:rPr>
          <w:sz w:val="20"/>
          <w:szCs w:val="20"/>
          <w:highlight w:val="yellow"/>
        </w:rPr>
        <w:t>, at 160–70 (1994)</w:t>
      </w:r>
      <w:r w:rsidRPr="00742B66">
        <w:rPr>
          <w:sz w:val="20"/>
          <w:szCs w:val="20"/>
        </w:rPr>
        <w:t xml:space="preserve"> for a discussion of the </w:t>
      </w:r>
      <w:proofErr w:type="spellStart"/>
      <w:r w:rsidRPr="00742B66">
        <w:rPr>
          <w:sz w:val="20"/>
          <w:szCs w:val="20"/>
        </w:rPr>
        <w:t>Freepeople’s</w:t>
      </w:r>
      <w:proofErr w:type="spellEnd"/>
      <w:r w:rsidRPr="00742B66">
        <w:rPr>
          <w:sz w:val="20"/>
          <w:szCs w:val="20"/>
        </w:rPr>
        <w:t xml:space="preserve"> communal political activism.</w:t>
      </w:r>
    </w:p>
  </w:footnote>
  <w:footnote w:id="108">
    <w:p w14:paraId="460A585A"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Steven Hahn, A Nation Under Our Feet: Black Political Struggles in the Rural South From Slavery to the Great Migration</w:t>
      </w:r>
      <w:r w:rsidRPr="00742B66">
        <w:rPr>
          <w:sz w:val="20"/>
          <w:szCs w:val="20"/>
        </w:rPr>
        <w:t xml:space="preserve"> 97 (2003). While Hahn links the political awakening of the slaves to the arrival of Union troops, it is possible to understand slave politics in a broader way. </w:t>
      </w:r>
      <w:r w:rsidRPr="00742B66">
        <w:rPr>
          <w:i/>
          <w:sz w:val="20"/>
          <w:szCs w:val="20"/>
        </w:rPr>
        <w:t xml:space="preserve">See supra </w:t>
      </w:r>
      <w:r w:rsidRPr="00742B66">
        <w:rPr>
          <w:sz w:val="20"/>
          <w:szCs w:val="20"/>
        </w:rPr>
        <w:t xml:space="preserve">notes </w:t>
      </w:r>
      <w:r w:rsidRPr="00742B66">
        <w:rPr>
          <w:sz w:val="20"/>
          <w:szCs w:val="20"/>
        </w:rPr>
        <w:fldChar w:fldCharType="begin"/>
      </w:r>
      <w:r w:rsidRPr="00742B66">
        <w:rPr>
          <w:sz w:val="20"/>
          <w:szCs w:val="20"/>
        </w:rPr>
        <w:instrText xml:space="preserve"> NOTEREF _Ref291626782 \h </w:instrText>
      </w:r>
      <w:r w:rsidRPr="00742B66">
        <w:rPr>
          <w:sz w:val="20"/>
          <w:szCs w:val="20"/>
        </w:rPr>
      </w:r>
      <w:r w:rsidRPr="00742B66">
        <w:rPr>
          <w:sz w:val="20"/>
          <w:szCs w:val="20"/>
        </w:rPr>
        <w:fldChar w:fldCharType="separate"/>
      </w:r>
      <w:r>
        <w:rPr>
          <w:sz w:val="20"/>
          <w:szCs w:val="20"/>
        </w:rPr>
        <w:t>77</w:t>
      </w:r>
      <w:r w:rsidRPr="00742B66">
        <w:rPr>
          <w:sz w:val="20"/>
          <w:szCs w:val="20"/>
        </w:rPr>
        <w:fldChar w:fldCharType="end"/>
      </w:r>
      <w:r w:rsidRPr="00742B66">
        <w:rPr>
          <w:sz w:val="20"/>
          <w:szCs w:val="20"/>
        </w:rPr>
        <w:t>–</w:t>
      </w:r>
      <w:r w:rsidRPr="00742B66">
        <w:rPr>
          <w:sz w:val="20"/>
          <w:szCs w:val="20"/>
        </w:rPr>
        <w:fldChar w:fldCharType="begin"/>
      </w:r>
      <w:r w:rsidRPr="00742B66">
        <w:rPr>
          <w:sz w:val="20"/>
          <w:szCs w:val="20"/>
        </w:rPr>
        <w:instrText xml:space="preserve"> NOTEREF _Ref291626817 \h </w:instrText>
      </w:r>
      <w:r w:rsidRPr="00742B66">
        <w:rPr>
          <w:sz w:val="20"/>
          <w:szCs w:val="20"/>
        </w:rPr>
      </w:r>
      <w:r w:rsidRPr="00742B66">
        <w:rPr>
          <w:sz w:val="20"/>
          <w:szCs w:val="20"/>
        </w:rPr>
        <w:fldChar w:fldCharType="separate"/>
      </w:r>
      <w:r>
        <w:rPr>
          <w:sz w:val="20"/>
          <w:szCs w:val="20"/>
        </w:rPr>
        <w:t>97</w:t>
      </w:r>
      <w:r w:rsidRPr="00742B66">
        <w:rPr>
          <w:sz w:val="20"/>
          <w:szCs w:val="20"/>
        </w:rPr>
        <w:fldChar w:fldCharType="end"/>
      </w:r>
      <w:r w:rsidRPr="00742B66">
        <w:rPr>
          <w:sz w:val="20"/>
          <w:szCs w:val="20"/>
        </w:rPr>
        <w:t xml:space="preserve"> and accompanying text (discussing the moral foundation of black antebellum politics).</w:t>
      </w:r>
    </w:p>
  </w:footnote>
  <w:footnote w:id="109">
    <w:p w14:paraId="15EC4A44"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Hahn,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_Ref291626935 \h </w:instrText>
      </w:r>
      <w:r w:rsidRPr="00742B66">
        <w:rPr>
          <w:sz w:val="20"/>
          <w:szCs w:val="20"/>
        </w:rPr>
      </w:r>
      <w:r w:rsidRPr="00742B66">
        <w:rPr>
          <w:sz w:val="20"/>
          <w:szCs w:val="20"/>
        </w:rPr>
        <w:fldChar w:fldCharType="separate"/>
      </w:r>
      <w:r>
        <w:rPr>
          <w:sz w:val="20"/>
          <w:szCs w:val="20"/>
        </w:rPr>
        <w:t>108</w:t>
      </w:r>
      <w:r w:rsidRPr="00742B66">
        <w:rPr>
          <w:sz w:val="20"/>
          <w:szCs w:val="20"/>
        </w:rPr>
        <w:fldChar w:fldCharType="end"/>
      </w:r>
      <w:r w:rsidRPr="00742B66">
        <w:rPr>
          <w:sz w:val="20"/>
          <w:szCs w:val="20"/>
        </w:rPr>
        <w:t>, at 97.</w:t>
      </w:r>
    </w:p>
  </w:footnote>
  <w:footnote w:id="110">
    <w:p w14:paraId="24E9D6D1" w14:textId="77777777" w:rsidR="00E667D7" w:rsidRPr="00742B66" w:rsidRDefault="00E667D7" w:rsidP="00742B66">
      <w:pPr>
        <w:pStyle w:val="FootnoteText"/>
        <w:spacing w:after="240"/>
        <w:rPr>
          <w:i/>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p>
  </w:footnote>
  <w:footnote w:id="111">
    <w:p w14:paraId="39E2C7AC"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Joseph T. Wilson, The Black Phalanx: A History of the Negro Soldiers of the United States in the Wars of</w:t>
      </w:r>
      <w:r w:rsidRPr="00742B66">
        <w:rPr>
          <w:sz w:val="20"/>
          <w:szCs w:val="20"/>
        </w:rPr>
        <w:t xml:space="preserve"> 1775–1812, 1861–’65, at 504 (Hartford, Conn. 1890). Hahn notes that service in “people’s armies” has historically proven a politicizing experience for the previously </w:t>
      </w:r>
      <w:r>
        <w:rPr>
          <w:sz w:val="20"/>
          <w:szCs w:val="20"/>
        </w:rPr>
        <w:t>dis</w:t>
      </w:r>
      <w:r w:rsidRPr="00742B66">
        <w:rPr>
          <w:sz w:val="20"/>
          <w:szCs w:val="20"/>
        </w:rPr>
        <w:t xml:space="preserve">enfranchised. </w:t>
      </w:r>
      <w:r w:rsidRPr="00742B66">
        <w:rPr>
          <w:smallCaps/>
          <w:sz w:val="20"/>
          <w:szCs w:val="20"/>
        </w:rPr>
        <w:t xml:space="preserve">Hahn,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_Ref291626935 \h </w:instrText>
      </w:r>
      <w:r w:rsidRPr="00742B66">
        <w:rPr>
          <w:sz w:val="20"/>
          <w:szCs w:val="20"/>
        </w:rPr>
      </w:r>
      <w:r w:rsidRPr="00742B66">
        <w:rPr>
          <w:sz w:val="20"/>
          <w:szCs w:val="20"/>
        </w:rPr>
        <w:fldChar w:fldCharType="separate"/>
      </w:r>
      <w:r>
        <w:rPr>
          <w:sz w:val="20"/>
          <w:szCs w:val="20"/>
        </w:rPr>
        <w:t>108</w:t>
      </w:r>
      <w:r w:rsidRPr="00742B66">
        <w:rPr>
          <w:sz w:val="20"/>
          <w:szCs w:val="20"/>
        </w:rPr>
        <w:fldChar w:fldCharType="end"/>
      </w:r>
      <w:r w:rsidRPr="00742B66">
        <w:rPr>
          <w:sz w:val="20"/>
          <w:szCs w:val="20"/>
        </w:rPr>
        <w:t>, at 97, 501–02 n.60.</w:t>
      </w:r>
    </w:p>
  </w:footnote>
  <w:footnote w:id="112">
    <w:p w14:paraId="4C12F0B8"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Wilson, </w:t>
      </w:r>
      <w:r>
        <w:rPr>
          <w:i/>
          <w:sz w:val="20"/>
          <w:szCs w:val="20"/>
        </w:rPr>
        <w:t>supra</w:t>
      </w:r>
      <w:r w:rsidRPr="00742B66">
        <w:rPr>
          <w:sz w:val="20"/>
          <w:szCs w:val="20"/>
        </w:rPr>
        <w:t xml:space="preserve"> note </w:t>
      </w:r>
      <w:r w:rsidRPr="00742B66">
        <w:rPr>
          <w:sz w:val="20"/>
          <w:szCs w:val="20"/>
        </w:rPr>
        <w:fldChar w:fldCharType="begin"/>
      </w:r>
      <w:r w:rsidRPr="00742B66">
        <w:rPr>
          <w:sz w:val="20"/>
          <w:szCs w:val="20"/>
        </w:rPr>
        <w:instrText xml:space="preserve"> NOTEREF _Ref291627352 \h </w:instrText>
      </w:r>
      <w:r w:rsidRPr="00742B66">
        <w:rPr>
          <w:sz w:val="20"/>
          <w:szCs w:val="20"/>
        </w:rPr>
      </w:r>
      <w:r w:rsidRPr="00742B66">
        <w:rPr>
          <w:sz w:val="20"/>
          <w:szCs w:val="20"/>
        </w:rPr>
        <w:fldChar w:fldCharType="separate"/>
      </w:r>
      <w:r>
        <w:rPr>
          <w:sz w:val="20"/>
          <w:szCs w:val="20"/>
        </w:rPr>
        <w:t>111</w:t>
      </w:r>
      <w:r w:rsidRPr="00742B66">
        <w:rPr>
          <w:sz w:val="20"/>
          <w:szCs w:val="20"/>
        </w:rPr>
        <w:fldChar w:fldCharType="end"/>
      </w:r>
      <w:r w:rsidRPr="00742B66">
        <w:rPr>
          <w:sz w:val="20"/>
          <w:szCs w:val="20"/>
        </w:rPr>
        <w:t xml:space="preserve">, at 504–05; </w:t>
      </w:r>
      <w:r w:rsidRPr="00742B66">
        <w:rPr>
          <w:i/>
          <w:sz w:val="20"/>
          <w:szCs w:val="20"/>
        </w:rPr>
        <w:t xml:space="preserve">accord </w:t>
      </w:r>
      <w:r w:rsidRPr="00742B66">
        <w:rPr>
          <w:smallCaps/>
          <w:sz w:val="20"/>
          <w:szCs w:val="20"/>
        </w:rPr>
        <w:t xml:space="preserve">Hahn,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_Ref291626935 \h </w:instrText>
      </w:r>
      <w:r w:rsidRPr="00742B66">
        <w:rPr>
          <w:sz w:val="20"/>
          <w:szCs w:val="20"/>
        </w:rPr>
      </w:r>
      <w:r w:rsidRPr="00742B66">
        <w:rPr>
          <w:sz w:val="20"/>
          <w:szCs w:val="20"/>
        </w:rPr>
        <w:fldChar w:fldCharType="separate"/>
      </w:r>
      <w:r>
        <w:rPr>
          <w:sz w:val="20"/>
          <w:szCs w:val="20"/>
        </w:rPr>
        <w:t>108</w:t>
      </w:r>
      <w:r w:rsidRPr="00742B66">
        <w:rPr>
          <w:sz w:val="20"/>
          <w:szCs w:val="20"/>
        </w:rPr>
        <w:fldChar w:fldCharType="end"/>
      </w:r>
      <w:r w:rsidRPr="00742B66">
        <w:rPr>
          <w:sz w:val="20"/>
          <w:szCs w:val="20"/>
        </w:rPr>
        <w:t>, at 97.</w:t>
      </w:r>
    </w:p>
  </w:footnote>
  <w:footnote w:id="113">
    <w:p w14:paraId="0DA99784" w14:textId="77777777" w:rsidR="00E667D7" w:rsidRPr="003C6FB6" w:rsidRDefault="00E667D7" w:rsidP="00742B66">
      <w:pPr>
        <w:pStyle w:val="FootnoteText"/>
        <w:spacing w:after="240"/>
        <w:rPr>
          <w:b/>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Hahn,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_Ref291626935 \h </w:instrText>
      </w:r>
      <w:r w:rsidRPr="00742B66">
        <w:rPr>
          <w:sz w:val="20"/>
          <w:szCs w:val="20"/>
        </w:rPr>
      </w:r>
      <w:r w:rsidRPr="00742B66">
        <w:rPr>
          <w:sz w:val="20"/>
          <w:szCs w:val="20"/>
        </w:rPr>
        <w:fldChar w:fldCharType="separate"/>
      </w:r>
      <w:r>
        <w:rPr>
          <w:sz w:val="20"/>
          <w:szCs w:val="20"/>
        </w:rPr>
        <w:t>108</w:t>
      </w:r>
      <w:r w:rsidRPr="00742B66">
        <w:rPr>
          <w:sz w:val="20"/>
          <w:szCs w:val="20"/>
        </w:rPr>
        <w:fldChar w:fldCharType="end"/>
      </w:r>
      <w:r w:rsidRPr="00742B66">
        <w:rPr>
          <w:sz w:val="20"/>
          <w:szCs w:val="20"/>
        </w:rPr>
        <w:t xml:space="preserve">, at 98. While perfect numbers are elusive, Hahn estimates that by the close of war, one-quarter of the privates and nearly of all noncommissioned officers in northern regiments of mostly free blacks and “substantially fewer” in regiments raised in the Mississippi Valley and Deep South of mostly enslaved men claimed some level of ability to read and write. </w:t>
      </w:r>
      <w:r w:rsidRPr="00742B66">
        <w:rPr>
          <w:i/>
          <w:sz w:val="20"/>
          <w:szCs w:val="20"/>
        </w:rPr>
        <w:t>Id.</w:t>
      </w:r>
      <w:r>
        <w:rPr>
          <w:i/>
          <w:sz w:val="20"/>
          <w:szCs w:val="20"/>
        </w:rPr>
        <w:t xml:space="preserve"> </w:t>
      </w:r>
      <w:r>
        <w:rPr>
          <w:b/>
          <w:sz w:val="20"/>
          <w:szCs w:val="20"/>
        </w:rPr>
        <w:t>[number of black soldiers?]</w:t>
      </w:r>
    </w:p>
  </w:footnote>
  <w:footnote w:id="114">
    <w:p w14:paraId="3E26602C"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Id.</w:t>
      </w:r>
      <w:r w:rsidRPr="00742B66">
        <w:rPr>
          <w:sz w:val="20"/>
          <w:szCs w:val="20"/>
        </w:rPr>
        <w:t xml:space="preserve"> at 13.</w:t>
      </w:r>
      <w:proofErr w:type="gramEnd"/>
    </w:p>
  </w:footnote>
  <w:footnote w:id="115">
    <w:p w14:paraId="61443AD2" w14:textId="77777777" w:rsidR="00E667D7" w:rsidRPr="00742B66" w:rsidRDefault="00E667D7" w:rsidP="00742B66">
      <w:pPr>
        <w:pStyle w:val="ListParagraph"/>
        <w:spacing w:after="240"/>
        <w:ind w:left="0" w:right="72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Id.</w:t>
      </w:r>
      <w:r w:rsidRPr="00742B66">
        <w:rPr>
          <w:sz w:val="20"/>
          <w:szCs w:val="20"/>
        </w:rPr>
        <w:t xml:space="preserve"> at 14.</w:t>
      </w:r>
      <w:proofErr w:type="gramEnd"/>
    </w:p>
  </w:footnote>
  <w:footnote w:id="116">
    <w:p w14:paraId="11916508"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Goodwin Liu, </w:t>
      </w:r>
      <w:r w:rsidRPr="00742B66">
        <w:rPr>
          <w:i/>
          <w:sz w:val="20"/>
          <w:szCs w:val="20"/>
        </w:rPr>
        <w:t>Interstate Inequality in Educational Opportunity</w:t>
      </w:r>
      <w:r w:rsidRPr="00742B66">
        <w:rPr>
          <w:sz w:val="20"/>
          <w:szCs w:val="20"/>
        </w:rPr>
        <w:t xml:space="preserve">, 81 </w:t>
      </w:r>
      <w:r w:rsidRPr="00742B66">
        <w:rPr>
          <w:smallCaps/>
          <w:sz w:val="20"/>
          <w:szCs w:val="20"/>
        </w:rPr>
        <w:t>N.Y.U. L. Rev.</w:t>
      </w:r>
      <w:r w:rsidRPr="00742B66">
        <w:rPr>
          <w:sz w:val="20"/>
          <w:szCs w:val="20"/>
        </w:rPr>
        <w:t xml:space="preserve"> 2044, 2052 (2006).</w:t>
      </w:r>
    </w:p>
  </w:footnote>
  <w:footnote w:id="117">
    <w:p w14:paraId="11DD961D"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p>
  </w:footnote>
  <w:footnote w:id="118">
    <w:p w14:paraId="7CD47E78"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p>
  </w:footnote>
  <w:footnote w:id="119">
    <w:p w14:paraId="7F04BAAD"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Id.</w:t>
      </w:r>
      <w:r w:rsidRPr="00742B66">
        <w:rPr>
          <w:sz w:val="20"/>
          <w:szCs w:val="20"/>
        </w:rPr>
        <w:t xml:space="preserve"> at 2053.</w:t>
      </w:r>
      <w:proofErr w:type="gramEnd"/>
    </w:p>
  </w:footnote>
  <w:footnote w:id="120">
    <w:p w14:paraId="737A6D10" w14:textId="77777777" w:rsidR="00E667D7" w:rsidRPr="00742B66" w:rsidRDefault="00E667D7" w:rsidP="00742B66">
      <w:pPr>
        <w:spacing w:after="240"/>
        <w:rPr>
          <w:rFonts w:eastAsia="Times New Roman"/>
          <w:sz w:val="20"/>
          <w:szCs w:val="20"/>
        </w:rPr>
      </w:pPr>
      <w:r w:rsidRPr="00742B66">
        <w:rPr>
          <w:rStyle w:val="FootnoteReference"/>
          <w:sz w:val="20"/>
          <w:szCs w:val="20"/>
        </w:rPr>
        <w:footnoteRef/>
      </w:r>
      <w:r w:rsidRPr="00742B66">
        <w:rPr>
          <w:sz w:val="20"/>
          <w:szCs w:val="20"/>
        </w:rPr>
        <w:t xml:space="preserve"> </w:t>
      </w:r>
      <w:proofErr w:type="spellStart"/>
      <w:r w:rsidRPr="00742B66">
        <w:rPr>
          <w:rFonts w:eastAsia="Times New Roman"/>
          <w:sz w:val="20"/>
          <w:szCs w:val="20"/>
        </w:rPr>
        <w:t>Klarman</w:t>
      </w:r>
      <w:proofErr w:type="spellEnd"/>
      <w:r w:rsidRPr="00742B66">
        <w:rPr>
          <w:rFonts w:eastAsia="Times New Roman"/>
          <w:sz w:val="20"/>
          <w:szCs w:val="20"/>
        </w:rPr>
        <w:t xml:space="preserve">, </w:t>
      </w:r>
      <w:r>
        <w:rPr>
          <w:rFonts w:eastAsia="Times New Roman"/>
          <w:i/>
          <w:sz w:val="20"/>
          <w:szCs w:val="20"/>
        </w:rPr>
        <w:t xml:space="preserve">supra </w:t>
      </w:r>
      <w:r>
        <w:rPr>
          <w:rFonts w:eastAsia="Times New Roman"/>
          <w:sz w:val="20"/>
          <w:szCs w:val="20"/>
        </w:rPr>
        <w:t xml:space="preserve">note </w:t>
      </w:r>
      <w:r>
        <w:rPr>
          <w:rFonts w:eastAsia="Times New Roman"/>
          <w:sz w:val="20"/>
          <w:szCs w:val="20"/>
        </w:rPr>
        <w:fldChar w:fldCharType="begin"/>
      </w:r>
      <w:r>
        <w:rPr>
          <w:rFonts w:eastAsia="Times New Roman"/>
          <w:sz w:val="20"/>
          <w:szCs w:val="20"/>
        </w:rPr>
        <w:instrText xml:space="preserve"> NOTEREF _Ref291257911 \h </w:instrText>
      </w:r>
      <w:r>
        <w:rPr>
          <w:rFonts w:eastAsia="Times New Roman"/>
          <w:sz w:val="20"/>
          <w:szCs w:val="20"/>
        </w:rPr>
      </w:r>
      <w:r>
        <w:rPr>
          <w:rFonts w:eastAsia="Times New Roman"/>
          <w:sz w:val="20"/>
          <w:szCs w:val="20"/>
        </w:rPr>
        <w:fldChar w:fldCharType="separate"/>
      </w:r>
      <w:r>
        <w:rPr>
          <w:rFonts w:eastAsia="Times New Roman"/>
          <w:sz w:val="20"/>
          <w:szCs w:val="20"/>
        </w:rPr>
        <w:t>12</w:t>
      </w:r>
      <w:r>
        <w:rPr>
          <w:rFonts w:eastAsia="Times New Roman"/>
          <w:sz w:val="20"/>
          <w:szCs w:val="20"/>
        </w:rPr>
        <w:fldChar w:fldCharType="end"/>
      </w:r>
      <w:r>
        <w:rPr>
          <w:rFonts w:eastAsia="Times New Roman"/>
          <w:sz w:val="20"/>
          <w:szCs w:val="20"/>
        </w:rPr>
        <w:t xml:space="preserve">, </w:t>
      </w:r>
      <w:r w:rsidRPr="000B0D5B">
        <w:rPr>
          <w:rFonts w:eastAsia="Times New Roman"/>
          <w:iCs/>
          <w:sz w:val="20"/>
          <w:szCs w:val="20"/>
        </w:rPr>
        <w:t>at</w:t>
      </w:r>
      <w:r w:rsidRPr="00742B66">
        <w:rPr>
          <w:rFonts w:eastAsia="Times New Roman"/>
          <w:sz w:val="20"/>
          <w:szCs w:val="20"/>
        </w:rPr>
        <w:t xml:space="preserve"> 81.</w:t>
      </w:r>
    </w:p>
  </w:footnote>
  <w:footnote w:id="121">
    <w:p w14:paraId="3AB70682"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spellStart"/>
      <w:r w:rsidRPr="00742B66">
        <w:rPr>
          <w:smallCaps/>
          <w:sz w:val="20"/>
          <w:szCs w:val="20"/>
        </w:rPr>
        <w:t>Butchart</w:t>
      </w:r>
      <w:proofErr w:type="spellEnd"/>
      <w:r w:rsidRPr="00742B66">
        <w:rPr>
          <w:smallCaps/>
          <w:sz w:val="20"/>
          <w:szCs w:val="20"/>
        </w:rPr>
        <w:t>,</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_Ref291515864 \h </w:instrText>
      </w:r>
      <w:r w:rsidRPr="00742B66">
        <w:rPr>
          <w:sz w:val="20"/>
          <w:szCs w:val="20"/>
        </w:rPr>
      </w:r>
      <w:r w:rsidRPr="00742B66">
        <w:rPr>
          <w:sz w:val="20"/>
          <w:szCs w:val="20"/>
        </w:rPr>
        <w:fldChar w:fldCharType="separate"/>
      </w:r>
      <w:r>
        <w:rPr>
          <w:sz w:val="20"/>
          <w:szCs w:val="20"/>
        </w:rPr>
        <w:t>48</w:t>
      </w:r>
      <w:r w:rsidRPr="00742B66">
        <w:rPr>
          <w:sz w:val="20"/>
          <w:szCs w:val="20"/>
        </w:rPr>
        <w:fldChar w:fldCharType="end"/>
      </w:r>
      <w:r w:rsidRPr="00742B66">
        <w:rPr>
          <w:sz w:val="20"/>
          <w:szCs w:val="20"/>
        </w:rPr>
        <w:t>, at 14.</w:t>
      </w:r>
    </w:p>
  </w:footnote>
  <w:footnote w:id="122">
    <w:p w14:paraId="1A818145"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p>
  </w:footnote>
  <w:footnote w:id="123">
    <w:p w14:paraId="7548F7F3"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 xml:space="preserve">Id. </w:t>
      </w:r>
      <w:r w:rsidRPr="00742B66">
        <w:rPr>
          <w:sz w:val="20"/>
          <w:szCs w:val="20"/>
        </w:rPr>
        <w:t>at 14–15.</w:t>
      </w:r>
    </w:p>
  </w:footnote>
  <w:footnote w:id="124">
    <w:p w14:paraId="0B5D14D9"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Anderson,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z w:val="20"/>
          <w:szCs w:val="20"/>
        </w:rPr>
        <w:t>, at</w:t>
      </w:r>
      <w:r w:rsidRPr="00742B66">
        <w:rPr>
          <w:smallCaps/>
          <w:sz w:val="20"/>
          <w:szCs w:val="20"/>
        </w:rPr>
        <w:t xml:space="preserve"> 4. </w:t>
      </w:r>
      <w:r w:rsidRPr="00742B66">
        <w:rPr>
          <w:sz w:val="20"/>
          <w:szCs w:val="20"/>
        </w:rPr>
        <w:t xml:space="preserve">As a theoretical matter, the vaulted social position of southern whites rested on their innate racial superiority, not on acquired characteristics such as education or virtue; in a fascinating turn of racial alchemy, poor southern whites were needed to uphold the racial hegemony of chattel slavery, though they themselves were too “black” to be accorded full membership in the “ruling race.” Harry L. Watson, </w:t>
      </w:r>
      <w:r w:rsidRPr="00742B66">
        <w:rPr>
          <w:i/>
          <w:sz w:val="20"/>
          <w:szCs w:val="20"/>
        </w:rPr>
        <w:t>The Man with the Dirty Black Beard: Race, Class, and Schools in the Antebellum South</w:t>
      </w:r>
      <w:r w:rsidRPr="00742B66">
        <w:rPr>
          <w:sz w:val="20"/>
          <w:szCs w:val="20"/>
        </w:rPr>
        <w:t xml:space="preserve">, 32 </w:t>
      </w:r>
      <w:r w:rsidRPr="00742B66">
        <w:rPr>
          <w:smallCaps/>
          <w:sz w:val="20"/>
          <w:szCs w:val="20"/>
        </w:rPr>
        <w:t xml:space="preserve">J. of the Early Republic </w:t>
      </w:r>
      <w:r w:rsidRPr="00742B66">
        <w:rPr>
          <w:sz w:val="20"/>
          <w:szCs w:val="20"/>
        </w:rPr>
        <w:t xml:space="preserve">1, 3 (2012); </w:t>
      </w:r>
      <w:r w:rsidRPr="00742B66">
        <w:rPr>
          <w:i/>
          <w:sz w:val="20"/>
          <w:szCs w:val="20"/>
        </w:rPr>
        <w:t>see also</w:t>
      </w:r>
      <w:r w:rsidRPr="00742B66">
        <w:rPr>
          <w:sz w:val="20"/>
          <w:szCs w:val="20"/>
        </w:rPr>
        <w:t xml:space="preserve"> </w:t>
      </w:r>
      <w:r w:rsidRPr="00742B66">
        <w:rPr>
          <w:i/>
          <w:sz w:val="20"/>
          <w:szCs w:val="20"/>
        </w:rPr>
        <w:t xml:space="preserve">supra </w:t>
      </w:r>
      <w:r w:rsidRPr="00742B66">
        <w:rPr>
          <w:sz w:val="20"/>
          <w:szCs w:val="20"/>
        </w:rPr>
        <w:t xml:space="preserve">notes </w:t>
      </w:r>
      <w:r w:rsidRPr="00742B66">
        <w:rPr>
          <w:sz w:val="20"/>
          <w:szCs w:val="20"/>
        </w:rPr>
        <w:fldChar w:fldCharType="begin"/>
      </w:r>
      <w:r w:rsidRPr="00742B66">
        <w:rPr>
          <w:sz w:val="20"/>
          <w:szCs w:val="20"/>
        </w:rPr>
        <w:instrText xml:space="preserve"> NOTEREF _Ref291696221 \h </w:instrText>
      </w:r>
      <w:r w:rsidRPr="00742B66">
        <w:rPr>
          <w:sz w:val="20"/>
          <w:szCs w:val="20"/>
        </w:rPr>
      </w:r>
      <w:r w:rsidRPr="00742B66">
        <w:rPr>
          <w:sz w:val="20"/>
          <w:szCs w:val="20"/>
        </w:rPr>
        <w:fldChar w:fldCharType="separate"/>
      </w:r>
      <w:r>
        <w:rPr>
          <w:sz w:val="20"/>
          <w:szCs w:val="20"/>
        </w:rPr>
        <w:t>121</w:t>
      </w:r>
      <w:r w:rsidRPr="00742B66">
        <w:rPr>
          <w:sz w:val="20"/>
          <w:szCs w:val="20"/>
        </w:rPr>
        <w:fldChar w:fldCharType="end"/>
      </w:r>
      <w:r w:rsidRPr="00742B66">
        <w:rPr>
          <w:sz w:val="20"/>
          <w:szCs w:val="20"/>
        </w:rPr>
        <w:t>–</w:t>
      </w:r>
      <w:r w:rsidRPr="00742B66">
        <w:rPr>
          <w:sz w:val="20"/>
          <w:szCs w:val="20"/>
        </w:rPr>
        <w:fldChar w:fldCharType="begin"/>
      </w:r>
      <w:r w:rsidRPr="00742B66">
        <w:rPr>
          <w:sz w:val="20"/>
          <w:szCs w:val="20"/>
        </w:rPr>
        <w:instrText xml:space="preserve"> NOTEREF _Ref291696225 \h </w:instrText>
      </w:r>
      <w:r w:rsidRPr="00742B66">
        <w:rPr>
          <w:sz w:val="20"/>
          <w:szCs w:val="20"/>
        </w:rPr>
      </w:r>
      <w:r w:rsidRPr="00742B66">
        <w:rPr>
          <w:sz w:val="20"/>
          <w:szCs w:val="20"/>
        </w:rPr>
        <w:fldChar w:fldCharType="separate"/>
      </w:r>
      <w:r>
        <w:rPr>
          <w:sz w:val="20"/>
          <w:szCs w:val="20"/>
        </w:rPr>
        <w:t>123</w:t>
      </w:r>
      <w:r w:rsidRPr="00742B66">
        <w:rPr>
          <w:sz w:val="20"/>
          <w:szCs w:val="20"/>
        </w:rPr>
        <w:fldChar w:fldCharType="end"/>
      </w:r>
      <w:r w:rsidRPr="00742B66">
        <w:rPr>
          <w:sz w:val="20"/>
          <w:szCs w:val="20"/>
        </w:rPr>
        <w:t>. For an informative ethnography of the enduring legacy of a complex and well-entrenched class</w:t>
      </w:r>
      <w:r>
        <w:rPr>
          <w:sz w:val="20"/>
          <w:szCs w:val="20"/>
        </w:rPr>
        <w:t xml:space="preserve"> </w:t>
      </w:r>
      <w:r w:rsidRPr="00742B66">
        <w:rPr>
          <w:sz w:val="20"/>
          <w:szCs w:val="20"/>
        </w:rPr>
        <w:t xml:space="preserve">system among white southerners, see </w:t>
      </w:r>
      <w:r w:rsidRPr="00742B66">
        <w:rPr>
          <w:smallCaps/>
          <w:sz w:val="20"/>
          <w:szCs w:val="20"/>
        </w:rPr>
        <w:t>Allison Davis et al., Deep South: A Social Anthropological Study of Case and Class</w:t>
      </w:r>
      <w:r w:rsidRPr="00742B66">
        <w:rPr>
          <w:sz w:val="20"/>
          <w:szCs w:val="20"/>
        </w:rPr>
        <w:t xml:space="preserve"> 59</w:t>
      </w:r>
      <w:r w:rsidRPr="00742B66">
        <w:rPr>
          <w:smallCaps/>
          <w:sz w:val="20"/>
          <w:szCs w:val="20"/>
        </w:rPr>
        <w:t>–83</w:t>
      </w:r>
      <w:r w:rsidRPr="00742B66">
        <w:rPr>
          <w:sz w:val="20"/>
          <w:szCs w:val="20"/>
        </w:rPr>
        <w:t xml:space="preserve"> (Univ. of S.C.  </w:t>
      </w:r>
      <w:proofErr w:type="gramStart"/>
      <w:r w:rsidRPr="00742B66">
        <w:rPr>
          <w:sz w:val="20"/>
          <w:szCs w:val="20"/>
        </w:rPr>
        <w:t>2009) (1941).</w:t>
      </w:r>
      <w:proofErr w:type="gramEnd"/>
      <w:r w:rsidRPr="00742B66">
        <w:rPr>
          <w:sz w:val="20"/>
          <w:szCs w:val="20"/>
        </w:rPr>
        <w:t xml:space="preserve"> </w:t>
      </w:r>
    </w:p>
  </w:footnote>
  <w:footnote w:id="125">
    <w:p w14:paraId="0CF58E25"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Anderson,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z w:val="20"/>
          <w:szCs w:val="20"/>
        </w:rPr>
        <w:t>, at</w:t>
      </w:r>
      <w:r w:rsidRPr="00742B66">
        <w:rPr>
          <w:smallCaps/>
          <w:sz w:val="20"/>
          <w:szCs w:val="20"/>
        </w:rPr>
        <w:t xml:space="preserve"> 4.</w:t>
      </w:r>
    </w:p>
  </w:footnote>
  <w:footnote w:id="126">
    <w:p w14:paraId="435AD597" w14:textId="77777777" w:rsidR="00E667D7" w:rsidRPr="00742B66" w:rsidRDefault="00E667D7" w:rsidP="00742B66">
      <w:pPr>
        <w:pStyle w:val="FootnoteText"/>
        <w:spacing w:after="240"/>
        <w:rPr>
          <w:i/>
          <w:sz w:val="20"/>
          <w:szCs w:val="20"/>
        </w:rPr>
      </w:pPr>
      <w:r w:rsidRPr="00742B66">
        <w:rPr>
          <w:rStyle w:val="FootnoteReference"/>
          <w:sz w:val="20"/>
          <w:szCs w:val="20"/>
        </w:rPr>
        <w:footnoteRef/>
      </w:r>
      <w:r w:rsidRPr="00742B66">
        <w:rPr>
          <w:sz w:val="20"/>
          <w:szCs w:val="20"/>
        </w:rPr>
        <w:t xml:space="preserve"> </w:t>
      </w:r>
      <w:r w:rsidRPr="00742B66">
        <w:rPr>
          <w:i/>
          <w:smallCaps/>
          <w:sz w:val="20"/>
          <w:szCs w:val="20"/>
        </w:rPr>
        <w:t>I</w:t>
      </w:r>
      <w:r w:rsidRPr="00742B66">
        <w:rPr>
          <w:i/>
          <w:iCs/>
          <w:sz w:val="20"/>
          <w:szCs w:val="20"/>
        </w:rPr>
        <w:t>d.</w:t>
      </w:r>
    </w:p>
  </w:footnote>
  <w:footnote w:id="127">
    <w:p w14:paraId="0EC0EBE2"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iCs/>
          <w:sz w:val="20"/>
          <w:szCs w:val="20"/>
        </w:rPr>
        <w:t>Id.</w:t>
      </w:r>
      <w:r w:rsidRPr="00742B66">
        <w:rPr>
          <w:smallCaps/>
          <w:sz w:val="20"/>
          <w:szCs w:val="20"/>
        </w:rPr>
        <w:t xml:space="preserve">; Mitchell, </w:t>
      </w:r>
      <w:r w:rsidRPr="009A6B3C">
        <w:rPr>
          <w:i/>
          <w:sz w:val="20"/>
          <w:szCs w:val="20"/>
        </w:rPr>
        <w:t xml:space="preserve">supra </w:t>
      </w:r>
      <w:r w:rsidRPr="009A6B3C">
        <w:rPr>
          <w:sz w:val="20"/>
          <w:szCs w:val="20"/>
        </w:rPr>
        <w:t xml:space="preserve">note </w:t>
      </w:r>
      <w:r w:rsidRPr="009A6B3C">
        <w:rPr>
          <w:sz w:val="20"/>
          <w:szCs w:val="20"/>
        </w:rPr>
        <w:fldChar w:fldCharType="begin"/>
      </w:r>
      <w:r w:rsidRPr="009A6B3C">
        <w:rPr>
          <w:sz w:val="20"/>
          <w:szCs w:val="20"/>
        </w:rPr>
        <w:instrText xml:space="preserve"> NOTEREF _Ref290802137 \h </w:instrText>
      </w:r>
      <w:r w:rsidRPr="009A6B3C">
        <w:rPr>
          <w:sz w:val="20"/>
          <w:szCs w:val="20"/>
        </w:rPr>
      </w:r>
      <w:r w:rsidRPr="009A6B3C">
        <w:rPr>
          <w:sz w:val="20"/>
          <w:szCs w:val="20"/>
        </w:rPr>
        <w:fldChar w:fldCharType="separate"/>
      </w:r>
      <w:r>
        <w:rPr>
          <w:sz w:val="20"/>
          <w:szCs w:val="20"/>
        </w:rPr>
        <w:t>10</w:t>
      </w:r>
      <w:r w:rsidRPr="009A6B3C">
        <w:rPr>
          <w:sz w:val="20"/>
          <w:szCs w:val="20"/>
        </w:rPr>
        <w:fldChar w:fldCharType="end"/>
      </w:r>
      <w:r w:rsidRPr="009A6B3C">
        <w:rPr>
          <w:sz w:val="20"/>
          <w:szCs w:val="20"/>
        </w:rPr>
        <w:t xml:space="preserve">, </w:t>
      </w:r>
      <w:r>
        <w:rPr>
          <w:sz w:val="20"/>
          <w:szCs w:val="20"/>
        </w:rPr>
        <w:t>at 196</w:t>
      </w:r>
      <w:r w:rsidRPr="00742B66">
        <w:rPr>
          <w:sz w:val="20"/>
          <w:szCs w:val="20"/>
        </w:rPr>
        <w:t>.</w:t>
      </w:r>
    </w:p>
  </w:footnote>
  <w:footnote w:id="128">
    <w:p w14:paraId="1A25F167"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Anderson,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z w:val="20"/>
          <w:szCs w:val="20"/>
        </w:rPr>
        <w:t>, at</w:t>
      </w:r>
      <w:r w:rsidRPr="00742B66">
        <w:rPr>
          <w:smallCaps/>
          <w:sz w:val="20"/>
          <w:szCs w:val="20"/>
        </w:rPr>
        <w:t xml:space="preserve"> 4.</w:t>
      </w:r>
    </w:p>
  </w:footnote>
  <w:footnote w:id="129">
    <w:p w14:paraId="3CAACE04"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Mitchell, </w:t>
      </w:r>
      <w:r w:rsidRPr="009A6B3C">
        <w:rPr>
          <w:i/>
          <w:sz w:val="20"/>
          <w:szCs w:val="20"/>
        </w:rPr>
        <w:t xml:space="preserve">supra </w:t>
      </w:r>
      <w:r w:rsidRPr="009A6B3C">
        <w:rPr>
          <w:sz w:val="20"/>
          <w:szCs w:val="20"/>
        </w:rPr>
        <w:t xml:space="preserve">note </w:t>
      </w:r>
      <w:r w:rsidRPr="009A6B3C">
        <w:rPr>
          <w:sz w:val="20"/>
          <w:szCs w:val="20"/>
        </w:rPr>
        <w:fldChar w:fldCharType="begin"/>
      </w:r>
      <w:r w:rsidRPr="009A6B3C">
        <w:rPr>
          <w:sz w:val="20"/>
          <w:szCs w:val="20"/>
        </w:rPr>
        <w:instrText xml:space="preserve"> NOTEREF _Ref290802137 \h </w:instrText>
      </w:r>
      <w:r w:rsidRPr="009A6B3C">
        <w:rPr>
          <w:sz w:val="20"/>
          <w:szCs w:val="20"/>
        </w:rPr>
      </w:r>
      <w:r w:rsidRPr="009A6B3C">
        <w:rPr>
          <w:sz w:val="20"/>
          <w:szCs w:val="20"/>
        </w:rPr>
        <w:fldChar w:fldCharType="separate"/>
      </w:r>
      <w:r>
        <w:rPr>
          <w:sz w:val="20"/>
          <w:szCs w:val="20"/>
        </w:rPr>
        <w:t>10</w:t>
      </w:r>
      <w:r w:rsidRPr="009A6B3C">
        <w:rPr>
          <w:sz w:val="20"/>
          <w:szCs w:val="20"/>
        </w:rPr>
        <w:fldChar w:fldCharType="end"/>
      </w:r>
      <w:r w:rsidRPr="009A6B3C">
        <w:rPr>
          <w:sz w:val="20"/>
          <w:szCs w:val="20"/>
        </w:rPr>
        <w:t xml:space="preserve">, </w:t>
      </w:r>
      <w:r>
        <w:rPr>
          <w:sz w:val="20"/>
          <w:szCs w:val="20"/>
        </w:rPr>
        <w:t>at 196</w:t>
      </w:r>
      <w:r w:rsidRPr="00742B66">
        <w:rPr>
          <w:sz w:val="20"/>
          <w:szCs w:val="20"/>
        </w:rPr>
        <w:t xml:space="preserve">. </w:t>
      </w:r>
      <w:r w:rsidRPr="00742B66">
        <w:rPr>
          <w:i/>
          <w:iCs/>
          <w:sz w:val="20"/>
          <w:szCs w:val="20"/>
        </w:rPr>
        <w:t xml:space="preserve">But see </w:t>
      </w:r>
      <w:r w:rsidRPr="00742B66">
        <w:rPr>
          <w:smallCaps/>
          <w:sz w:val="20"/>
          <w:szCs w:val="20"/>
        </w:rPr>
        <w:t>Chase, et al.,</w:t>
      </w:r>
      <w:r>
        <w:rPr>
          <w:smallCaps/>
          <w:sz w:val="20"/>
          <w:szCs w:val="20"/>
        </w:rPr>
        <w:t xml:space="preserve"> </w:t>
      </w:r>
      <w:r w:rsidRPr="00597785">
        <w:rPr>
          <w:i/>
          <w:sz w:val="20"/>
          <w:szCs w:val="20"/>
        </w:rPr>
        <w:t xml:space="preserve">supra </w:t>
      </w:r>
      <w:r w:rsidRPr="00597785">
        <w:rPr>
          <w:sz w:val="20"/>
          <w:szCs w:val="20"/>
        </w:rPr>
        <w:t>note</w:t>
      </w:r>
      <w:r w:rsidRPr="00742B66">
        <w:rPr>
          <w:smallCaps/>
          <w:sz w:val="20"/>
          <w:szCs w:val="20"/>
        </w:rPr>
        <w:t xml:space="preserve"> </w:t>
      </w:r>
      <w:r>
        <w:rPr>
          <w:smallCaps/>
          <w:sz w:val="20"/>
          <w:szCs w:val="20"/>
        </w:rPr>
        <w:fldChar w:fldCharType="begin"/>
      </w:r>
      <w:r>
        <w:rPr>
          <w:smallCaps/>
          <w:sz w:val="20"/>
          <w:szCs w:val="20"/>
        </w:rPr>
        <w:instrText xml:space="preserve"> NOTEREF _Ref291597951 \h </w:instrText>
      </w:r>
      <w:r>
        <w:rPr>
          <w:smallCaps/>
          <w:sz w:val="20"/>
          <w:szCs w:val="20"/>
        </w:rPr>
      </w:r>
      <w:r>
        <w:rPr>
          <w:smallCaps/>
          <w:sz w:val="20"/>
          <w:szCs w:val="20"/>
        </w:rPr>
        <w:fldChar w:fldCharType="separate"/>
      </w:r>
      <w:r>
        <w:rPr>
          <w:smallCaps/>
          <w:sz w:val="20"/>
          <w:szCs w:val="20"/>
        </w:rPr>
        <w:t>50</w:t>
      </w:r>
      <w:r>
        <w:rPr>
          <w:smallCaps/>
          <w:sz w:val="20"/>
          <w:szCs w:val="20"/>
        </w:rPr>
        <w:fldChar w:fldCharType="end"/>
      </w:r>
      <w:r>
        <w:rPr>
          <w:smallCaps/>
          <w:sz w:val="20"/>
          <w:szCs w:val="20"/>
        </w:rPr>
        <w:t xml:space="preserve">, </w:t>
      </w:r>
      <w:r>
        <w:rPr>
          <w:sz w:val="20"/>
          <w:szCs w:val="20"/>
        </w:rPr>
        <w:t>28</w:t>
      </w:r>
      <w:r w:rsidRPr="00742B66">
        <w:rPr>
          <w:sz w:val="20"/>
          <w:szCs w:val="20"/>
        </w:rPr>
        <w:t xml:space="preserve"> (noting that only North Carolina had a public education system before the end of the War). In some urban centers, there were free schools, and some localities had academies and colleges, but for all intents and purposes no provision was made for the education of African Americans and poor whites. </w:t>
      </w:r>
      <w:proofErr w:type="gramStart"/>
      <w:r>
        <w:rPr>
          <w:i/>
          <w:sz w:val="20"/>
          <w:szCs w:val="20"/>
        </w:rPr>
        <w:t>Id.</w:t>
      </w:r>
      <w:r>
        <w:rPr>
          <w:sz w:val="20"/>
          <w:szCs w:val="20"/>
        </w:rPr>
        <w:t xml:space="preserve"> at </w:t>
      </w:r>
      <w:r w:rsidRPr="00742B66">
        <w:rPr>
          <w:sz w:val="20"/>
          <w:szCs w:val="20"/>
        </w:rPr>
        <w:t>12.</w:t>
      </w:r>
      <w:proofErr w:type="gramEnd"/>
    </w:p>
  </w:footnote>
  <w:footnote w:id="130">
    <w:p w14:paraId="7FAE41DF"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Mitchell, </w:t>
      </w:r>
      <w:r w:rsidRPr="009A6B3C">
        <w:rPr>
          <w:i/>
          <w:sz w:val="20"/>
          <w:szCs w:val="20"/>
        </w:rPr>
        <w:t xml:space="preserve">supra </w:t>
      </w:r>
      <w:r w:rsidRPr="009A6B3C">
        <w:rPr>
          <w:sz w:val="20"/>
          <w:szCs w:val="20"/>
        </w:rPr>
        <w:t xml:space="preserve">note </w:t>
      </w:r>
      <w:r w:rsidRPr="009A6B3C">
        <w:rPr>
          <w:sz w:val="20"/>
          <w:szCs w:val="20"/>
        </w:rPr>
        <w:fldChar w:fldCharType="begin"/>
      </w:r>
      <w:r w:rsidRPr="009A6B3C">
        <w:rPr>
          <w:sz w:val="20"/>
          <w:szCs w:val="20"/>
        </w:rPr>
        <w:instrText xml:space="preserve"> NOTEREF _Ref290802137 \h </w:instrText>
      </w:r>
      <w:r w:rsidRPr="009A6B3C">
        <w:rPr>
          <w:sz w:val="20"/>
          <w:szCs w:val="20"/>
        </w:rPr>
      </w:r>
      <w:r w:rsidRPr="009A6B3C">
        <w:rPr>
          <w:sz w:val="20"/>
          <w:szCs w:val="20"/>
        </w:rPr>
        <w:fldChar w:fldCharType="separate"/>
      </w:r>
      <w:r>
        <w:rPr>
          <w:sz w:val="20"/>
          <w:szCs w:val="20"/>
        </w:rPr>
        <w:t>10</w:t>
      </w:r>
      <w:r w:rsidRPr="009A6B3C">
        <w:rPr>
          <w:sz w:val="20"/>
          <w:szCs w:val="20"/>
        </w:rPr>
        <w:fldChar w:fldCharType="end"/>
      </w:r>
      <w:r w:rsidRPr="009A6B3C">
        <w:rPr>
          <w:sz w:val="20"/>
          <w:szCs w:val="20"/>
        </w:rPr>
        <w:t xml:space="preserve">, </w:t>
      </w:r>
      <w:r>
        <w:rPr>
          <w:sz w:val="20"/>
          <w:szCs w:val="20"/>
        </w:rPr>
        <w:t>196</w:t>
      </w:r>
      <w:r w:rsidRPr="00742B66">
        <w:rPr>
          <w:sz w:val="20"/>
          <w:szCs w:val="20"/>
        </w:rPr>
        <w:t>.</w:t>
      </w:r>
    </w:p>
  </w:footnote>
  <w:footnote w:id="131">
    <w:p w14:paraId="5B2200B8" w14:textId="77777777" w:rsidR="00E667D7" w:rsidRPr="008D1CDB" w:rsidRDefault="00E667D7" w:rsidP="008D1CDB">
      <w:pPr>
        <w:pStyle w:val="ListParagraph"/>
        <w:spacing w:after="240"/>
        <w:ind w:left="0" w:right="720"/>
        <w:rPr>
          <w:sz w:val="20"/>
          <w:szCs w:val="20"/>
        </w:rPr>
      </w:pPr>
      <w:r w:rsidRPr="008D1CDB">
        <w:rPr>
          <w:rStyle w:val="FootnoteReference"/>
          <w:sz w:val="20"/>
          <w:szCs w:val="20"/>
        </w:rPr>
        <w:footnoteRef/>
      </w:r>
      <w:r w:rsidRPr="008D1CDB">
        <w:rPr>
          <w:sz w:val="20"/>
          <w:szCs w:val="20"/>
        </w:rPr>
        <w:t xml:space="preserve"> In southern vernacular “Nigger teacher” was one of the most opprobrious. </w:t>
      </w:r>
      <w:r w:rsidRPr="008D1CDB">
        <w:rPr>
          <w:smallCaps/>
          <w:sz w:val="20"/>
          <w:szCs w:val="20"/>
        </w:rPr>
        <w:t xml:space="preserve">Chase, et al., </w:t>
      </w:r>
      <w:r w:rsidRPr="008D1CDB">
        <w:rPr>
          <w:i/>
          <w:sz w:val="20"/>
          <w:szCs w:val="20"/>
        </w:rPr>
        <w:t xml:space="preserve">supra </w:t>
      </w:r>
      <w:proofErr w:type="gramStart"/>
      <w:r w:rsidRPr="008D1CDB">
        <w:rPr>
          <w:sz w:val="20"/>
          <w:szCs w:val="20"/>
        </w:rPr>
        <w:t>note</w:t>
      </w:r>
      <w:proofErr w:type="gramEnd"/>
      <w:r w:rsidRPr="008D1CDB">
        <w:rPr>
          <w:smallCaps/>
          <w:sz w:val="20"/>
          <w:szCs w:val="20"/>
        </w:rPr>
        <w:t xml:space="preserve"> </w:t>
      </w:r>
      <w:r w:rsidRPr="008D1CDB">
        <w:rPr>
          <w:smallCaps/>
          <w:sz w:val="20"/>
          <w:szCs w:val="20"/>
        </w:rPr>
        <w:fldChar w:fldCharType="begin"/>
      </w:r>
      <w:r w:rsidRPr="008D1CDB">
        <w:rPr>
          <w:smallCaps/>
          <w:sz w:val="20"/>
          <w:szCs w:val="20"/>
        </w:rPr>
        <w:instrText xml:space="preserve"> NOTEREF _Ref291597951 \h </w:instrText>
      </w:r>
      <w:r w:rsidRPr="008D1CDB">
        <w:rPr>
          <w:smallCaps/>
          <w:sz w:val="20"/>
          <w:szCs w:val="20"/>
        </w:rPr>
      </w:r>
      <w:r w:rsidRPr="008D1CDB">
        <w:rPr>
          <w:smallCaps/>
          <w:sz w:val="20"/>
          <w:szCs w:val="20"/>
        </w:rPr>
        <w:fldChar w:fldCharType="separate"/>
      </w:r>
      <w:r>
        <w:rPr>
          <w:smallCaps/>
          <w:sz w:val="20"/>
          <w:szCs w:val="20"/>
        </w:rPr>
        <w:t>50</w:t>
      </w:r>
      <w:r w:rsidRPr="008D1CDB">
        <w:rPr>
          <w:smallCaps/>
          <w:sz w:val="20"/>
          <w:szCs w:val="20"/>
        </w:rPr>
        <w:fldChar w:fldCharType="end"/>
      </w:r>
      <w:r w:rsidRPr="008D1CDB">
        <w:rPr>
          <w:smallCaps/>
          <w:sz w:val="20"/>
          <w:szCs w:val="20"/>
        </w:rPr>
        <w:t>,</w:t>
      </w:r>
      <w:r>
        <w:rPr>
          <w:smallCaps/>
          <w:sz w:val="20"/>
          <w:szCs w:val="20"/>
        </w:rPr>
        <w:t xml:space="preserve"> </w:t>
      </w:r>
      <w:r w:rsidRPr="008D1CDB">
        <w:rPr>
          <w:sz w:val="20"/>
          <w:szCs w:val="20"/>
        </w:rPr>
        <w:t>at 29.</w:t>
      </w:r>
    </w:p>
  </w:footnote>
  <w:footnote w:id="132">
    <w:p w14:paraId="428284A9"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Debates in the Convention for the Revision and Amendment of the Constitution of the State of Louisiana</w:t>
      </w:r>
      <w:r w:rsidRPr="00742B66">
        <w:rPr>
          <w:sz w:val="20"/>
          <w:szCs w:val="20"/>
        </w:rPr>
        <w:t xml:space="preserve"> 197</w:t>
      </w:r>
      <w:r w:rsidRPr="00742B66">
        <w:rPr>
          <w:smallCaps/>
          <w:sz w:val="20"/>
          <w:szCs w:val="20"/>
        </w:rPr>
        <w:t>–</w:t>
      </w:r>
      <w:r w:rsidRPr="00742B66">
        <w:rPr>
          <w:sz w:val="20"/>
          <w:szCs w:val="20"/>
        </w:rPr>
        <w:t xml:space="preserve">98 (New Orleans, W.R. Fish 1864); </w:t>
      </w:r>
      <w:r w:rsidRPr="00742B66">
        <w:rPr>
          <w:i/>
          <w:sz w:val="20"/>
          <w:szCs w:val="20"/>
        </w:rPr>
        <w:t>see also</w:t>
      </w:r>
      <w:r w:rsidRPr="00742B66">
        <w:rPr>
          <w:sz w:val="20"/>
          <w:szCs w:val="20"/>
        </w:rPr>
        <w:t xml:space="preserve"> </w:t>
      </w:r>
      <w:r w:rsidRPr="00742B66">
        <w:rPr>
          <w:i/>
          <w:sz w:val="20"/>
          <w:szCs w:val="20"/>
        </w:rPr>
        <w:t>id.</w:t>
      </w:r>
      <w:r w:rsidRPr="00742B66">
        <w:rPr>
          <w:sz w:val="20"/>
          <w:szCs w:val="20"/>
        </w:rPr>
        <w:t xml:space="preserve"> </w:t>
      </w:r>
      <w:proofErr w:type="gramStart"/>
      <w:r w:rsidRPr="00742B66">
        <w:rPr>
          <w:sz w:val="20"/>
          <w:szCs w:val="20"/>
        </w:rPr>
        <w:t>at</w:t>
      </w:r>
      <w:proofErr w:type="gramEnd"/>
      <w:r w:rsidRPr="00742B66">
        <w:rPr>
          <w:sz w:val="20"/>
          <w:szCs w:val="20"/>
        </w:rPr>
        <w:t xml:space="preserve"> 161 (assenting to the emancipation of the slaves “in every State of this rebellious country” for the purpose of “crushing out this odious rebellion,</w:t>
      </w:r>
      <w:r>
        <w:rPr>
          <w:sz w:val="20"/>
          <w:szCs w:val="20"/>
        </w:rPr>
        <w:t>”</w:t>
      </w:r>
      <w:r w:rsidRPr="00742B66">
        <w:rPr>
          <w:sz w:val="20"/>
          <w:szCs w:val="20"/>
        </w:rPr>
        <w:t xml:space="preserve"> R. King Cutler also stated his disfavor for “positively imposing upon any Legislature the unqualified and imperative duty of educati</w:t>
      </w:r>
      <w:r>
        <w:rPr>
          <w:sz w:val="20"/>
          <w:szCs w:val="20"/>
        </w:rPr>
        <w:t>ng</w:t>
      </w:r>
      <w:r w:rsidRPr="00742B66">
        <w:rPr>
          <w:sz w:val="20"/>
          <w:szCs w:val="20"/>
        </w:rPr>
        <w:t xml:space="preserve"> any but the superior race of man—the white race”); </w:t>
      </w:r>
      <w:r w:rsidRPr="00742B66">
        <w:rPr>
          <w:i/>
          <w:sz w:val="20"/>
          <w:szCs w:val="20"/>
        </w:rPr>
        <w:t>id.</w:t>
      </w:r>
      <w:r w:rsidRPr="00742B66">
        <w:rPr>
          <w:sz w:val="20"/>
          <w:szCs w:val="20"/>
        </w:rPr>
        <w:t xml:space="preserve"> </w:t>
      </w:r>
      <w:proofErr w:type="gramStart"/>
      <w:r w:rsidRPr="00742B66">
        <w:rPr>
          <w:sz w:val="20"/>
          <w:szCs w:val="20"/>
        </w:rPr>
        <w:t>at</w:t>
      </w:r>
      <w:proofErr w:type="gramEnd"/>
      <w:r w:rsidRPr="00742B66">
        <w:rPr>
          <w:sz w:val="20"/>
          <w:szCs w:val="20"/>
        </w:rPr>
        <w:t xml:space="preserve"> 476 (“I will never tax white men to educate negro children.”) (</w:t>
      </w:r>
      <w:proofErr w:type="gramStart"/>
      <w:r w:rsidRPr="00742B66">
        <w:rPr>
          <w:sz w:val="20"/>
          <w:szCs w:val="20"/>
        </w:rPr>
        <w:t>statement</w:t>
      </w:r>
      <w:proofErr w:type="gramEnd"/>
      <w:r w:rsidRPr="00742B66">
        <w:rPr>
          <w:sz w:val="20"/>
          <w:szCs w:val="20"/>
        </w:rPr>
        <w:t xml:space="preserve"> of Rep. John Sullivan). The final amendment was conspicuously vague with regard to the funding of the state’s public school system—“[</w:t>
      </w:r>
      <w:proofErr w:type="gramStart"/>
      <w:r w:rsidRPr="00742B66">
        <w:rPr>
          <w:sz w:val="20"/>
          <w:szCs w:val="20"/>
        </w:rPr>
        <w:t>t]he</w:t>
      </w:r>
      <w:proofErr w:type="gramEnd"/>
      <w:r w:rsidRPr="00742B66">
        <w:rPr>
          <w:sz w:val="20"/>
          <w:szCs w:val="20"/>
        </w:rPr>
        <w:t xml:space="preserve"> legislature shall provide for the education of all children . . . by maintenance of free public schools by taxation or otherwise”—but it nonetheless provided for the education of </w:t>
      </w:r>
      <w:r w:rsidRPr="00742B66">
        <w:rPr>
          <w:i/>
          <w:sz w:val="20"/>
          <w:szCs w:val="20"/>
        </w:rPr>
        <w:t>all children</w:t>
      </w:r>
      <w:r w:rsidRPr="00742B66">
        <w:rPr>
          <w:sz w:val="20"/>
          <w:szCs w:val="20"/>
        </w:rPr>
        <w:t xml:space="preserve">. </w:t>
      </w:r>
      <w:r w:rsidRPr="00742B66">
        <w:rPr>
          <w:smallCaps/>
          <w:sz w:val="20"/>
          <w:szCs w:val="20"/>
        </w:rPr>
        <w:t xml:space="preserve">La. </w:t>
      </w:r>
      <w:proofErr w:type="gramStart"/>
      <w:r w:rsidRPr="00742B66">
        <w:rPr>
          <w:smallCaps/>
          <w:sz w:val="20"/>
          <w:szCs w:val="20"/>
        </w:rPr>
        <w:t>Const.</w:t>
      </w:r>
      <w:r w:rsidRPr="00742B66">
        <w:rPr>
          <w:sz w:val="20"/>
          <w:szCs w:val="20"/>
        </w:rPr>
        <w:t xml:space="preserve"> of 1864, art.</w:t>
      </w:r>
      <w:proofErr w:type="gramEnd"/>
      <w:r w:rsidRPr="00742B66">
        <w:rPr>
          <w:sz w:val="20"/>
          <w:szCs w:val="20"/>
        </w:rPr>
        <w:t xml:space="preserve"> 141, </w:t>
      </w:r>
      <w:r w:rsidRPr="00742B66">
        <w:rPr>
          <w:i/>
          <w:sz w:val="20"/>
          <w:szCs w:val="20"/>
        </w:rPr>
        <w:t xml:space="preserve">reprinted in </w:t>
      </w:r>
      <w:r w:rsidRPr="00742B66">
        <w:rPr>
          <w:sz w:val="20"/>
          <w:szCs w:val="20"/>
        </w:rPr>
        <w:t xml:space="preserve">3 </w:t>
      </w:r>
      <w:r w:rsidRPr="003C6FB6">
        <w:rPr>
          <w:smallCaps/>
          <w:sz w:val="20"/>
          <w:szCs w:val="20"/>
        </w:rPr>
        <w:t>The Federal and State Constitutions Colonial Charters, and other Organic Laws of the States, Territories, and Colonies Now or Heretofore Forming the United States of America</w:t>
      </w:r>
      <w:r w:rsidRPr="00742B66">
        <w:rPr>
          <w:sz w:val="20"/>
          <w:szCs w:val="20"/>
        </w:rPr>
        <w:t xml:space="preserve"> 1429, 1446 (Francis Newton Thorpe ed</w:t>
      </w:r>
      <w:r>
        <w:rPr>
          <w:sz w:val="20"/>
          <w:szCs w:val="20"/>
        </w:rPr>
        <w:t>.</w:t>
      </w:r>
      <w:r w:rsidRPr="00742B66">
        <w:rPr>
          <w:sz w:val="20"/>
          <w:szCs w:val="20"/>
        </w:rPr>
        <w:t>, 1906).</w:t>
      </w:r>
    </w:p>
  </w:footnote>
  <w:footnote w:id="133">
    <w:p w14:paraId="24281DDD" w14:textId="77777777" w:rsidR="00E667D7" w:rsidRPr="00742B66" w:rsidRDefault="00E667D7" w:rsidP="00742B66">
      <w:pPr>
        <w:pStyle w:val="FootnoteText"/>
        <w:spacing w:after="240"/>
        <w:rPr>
          <w:sz w:val="20"/>
          <w:szCs w:val="20"/>
        </w:rPr>
      </w:pPr>
      <w:r w:rsidRPr="00742B66">
        <w:rPr>
          <w:rStyle w:val="FootnoteReference"/>
          <w:sz w:val="20"/>
          <w:szCs w:val="20"/>
          <w:highlight w:val="yellow"/>
        </w:rPr>
        <w:footnoteRef/>
      </w:r>
      <w:r w:rsidRPr="00742B66">
        <w:rPr>
          <w:sz w:val="20"/>
          <w:szCs w:val="20"/>
          <w:highlight w:val="yellow"/>
        </w:rPr>
        <w:t xml:space="preserve"> </w:t>
      </w:r>
      <w:r w:rsidRPr="00742B66">
        <w:rPr>
          <w:smallCaps/>
          <w:sz w:val="20"/>
          <w:szCs w:val="20"/>
          <w:highlight w:val="yellow"/>
        </w:rPr>
        <w:t>New Orleans Black Republican,</w:t>
      </w:r>
      <w:r w:rsidRPr="00742B66">
        <w:rPr>
          <w:sz w:val="20"/>
          <w:szCs w:val="20"/>
          <w:highlight w:val="yellow"/>
        </w:rPr>
        <w:t xml:space="preserve"> Apr. 29, 1865, at __; </w:t>
      </w:r>
      <w:r w:rsidRPr="00742B66">
        <w:rPr>
          <w:i/>
          <w:sz w:val="20"/>
          <w:szCs w:val="20"/>
        </w:rPr>
        <w:t>see also</w:t>
      </w:r>
      <w:r w:rsidRPr="00742B66">
        <w:rPr>
          <w:sz w:val="20"/>
          <w:szCs w:val="20"/>
        </w:rPr>
        <w:t xml:space="preserve"> </w:t>
      </w:r>
      <w:r w:rsidRPr="00742B66">
        <w:rPr>
          <w:smallCaps/>
          <w:sz w:val="20"/>
          <w:szCs w:val="20"/>
        </w:rPr>
        <w:t xml:space="preserve">Leon F. </w:t>
      </w:r>
      <w:proofErr w:type="spellStart"/>
      <w:r w:rsidRPr="00742B66">
        <w:rPr>
          <w:smallCaps/>
          <w:sz w:val="20"/>
          <w:szCs w:val="20"/>
        </w:rPr>
        <w:t>Litwack</w:t>
      </w:r>
      <w:proofErr w:type="spellEnd"/>
      <w:r w:rsidRPr="00742B66">
        <w:rPr>
          <w:smallCaps/>
          <w:sz w:val="20"/>
          <w:szCs w:val="20"/>
        </w:rPr>
        <w:t xml:space="preserve">, </w:t>
      </w:r>
      <w:r w:rsidRPr="00B46277">
        <w:rPr>
          <w:i/>
          <w:sz w:val="20"/>
          <w:szCs w:val="20"/>
        </w:rPr>
        <w:t xml:space="preserve">supra </w:t>
      </w:r>
      <w:r w:rsidRPr="00B46277">
        <w:rPr>
          <w:sz w:val="20"/>
          <w:szCs w:val="20"/>
        </w:rPr>
        <w:t>note</w:t>
      </w:r>
      <w:r>
        <w:rPr>
          <w:smallCaps/>
          <w:sz w:val="20"/>
          <w:szCs w:val="20"/>
        </w:rPr>
        <w:t xml:space="preserve"> </w:t>
      </w:r>
      <w:r>
        <w:rPr>
          <w:sz w:val="20"/>
          <w:szCs w:val="20"/>
        </w:rPr>
        <w:fldChar w:fldCharType="begin"/>
      </w:r>
      <w:r>
        <w:rPr>
          <w:sz w:val="20"/>
          <w:szCs w:val="20"/>
        </w:rPr>
        <w:instrText xml:space="preserve"> NOTEREF _Ref291624652 \h </w:instrText>
      </w:r>
      <w:r>
        <w:rPr>
          <w:sz w:val="20"/>
          <w:szCs w:val="20"/>
        </w:rPr>
      </w:r>
      <w:r>
        <w:rPr>
          <w:sz w:val="20"/>
          <w:szCs w:val="20"/>
        </w:rPr>
        <w:fldChar w:fldCharType="separate"/>
      </w:r>
      <w:r>
        <w:rPr>
          <w:sz w:val="20"/>
          <w:szCs w:val="20"/>
        </w:rPr>
        <w:t>47</w:t>
      </w:r>
      <w:r>
        <w:rPr>
          <w:sz w:val="20"/>
          <w:szCs w:val="20"/>
        </w:rPr>
        <w:fldChar w:fldCharType="end"/>
      </w:r>
      <w:r>
        <w:rPr>
          <w:sz w:val="20"/>
          <w:szCs w:val="20"/>
        </w:rPr>
        <w:t>, at 472</w:t>
      </w:r>
      <w:r w:rsidRPr="00742B66">
        <w:rPr>
          <w:sz w:val="20"/>
          <w:szCs w:val="20"/>
        </w:rPr>
        <w:t xml:space="preserve"> (“If they looked to any panacea (outside of land) to free them from mental and physical dependency, they fastened their hopes on the schoolhouse.”). Many black leaders (and educators) of the </w:t>
      </w:r>
      <w:proofErr w:type="spellStart"/>
      <w:r w:rsidRPr="00742B66">
        <w:rPr>
          <w:sz w:val="20"/>
          <w:szCs w:val="20"/>
        </w:rPr>
        <w:t>postbellum</w:t>
      </w:r>
      <w:proofErr w:type="spellEnd"/>
      <w:r w:rsidRPr="00742B66">
        <w:rPr>
          <w:sz w:val="20"/>
          <w:szCs w:val="20"/>
        </w:rPr>
        <w:t xml:space="preserve"> years first became literate under slavery.</w:t>
      </w:r>
      <w:r w:rsidRPr="00742B66">
        <w:rPr>
          <w:smallCaps/>
          <w:sz w:val="20"/>
          <w:szCs w:val="20"/>
        </w:rPr>
        <w:t xml:space="preserve"> Anderson,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z w:val="20"/>
          <w:szCs w:val="20"/>
        </w:rPr>
        <w:t>, at 17.</w:t>
      </w:r>
    </w:p>
  </w:footnote>
  <w:footnote w:id="134">
    <w:p w14:paraId="320E724A"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Du Bois, Black Reconstruction</w:t>
      </w:r>
      <w:r>
        <w:rPr>
          <w:smallCaps/>
          <w:sz w:val="20"/>
          <w:szCs w:val="20"/>
        </w:rPr>
        <w:t>,</w:t>
      </w:r>
      <w:r w:rsidRPr="00742B66">
        <w:rPr>
          <w:smallCaps/>
          <w:sz w:val="20"/>
          <w:szCs w:val="20"/>
        </w:rPr>
        <w:t xml:space="preserve"> </w:t>
      </w:r>
      <w:r>
        <w:rPr>
          <w:i/>
          <w:sz w:val="20"/>
          <w:szCs w:val="20"/>
        </w:rPr>
        <w:t xml:space="preserve">supra </w:t>
      </w:r>
      <w:proofErr w:type="gramStart"/>
      <w:r>
        <w:rPr>
          <w:sz w:val="20"/>
          <w:szCs w:val="20"/>
        </w:rPr>
        <w:t>note</w:t>
      </w:r>
      <w:proofErr w:type="gramEnd"/>
      <w:r>
        <w:rPr>
          <w:sz w:val="20"/>
          <w:szCs w:val="20"/>
        </w:rPr>
        <w:t xml:space="preserve"> </w:t>
      </w:r>
      <w:r>
        <w:rPr>
          <w:sz w:val="20"/>
          <w:szCs w:val="20"/>
        </w:rPr>
        <w:fldChar w:fldCharType="begin"/>
      </w:r>
      <w:r>
        <w:rPr>
          <w:sz w:val="20"/>
          <w:szCs w:val="20"/>
        </w:rPr>
        <w:instrText xml:space="preserve"> NOTEREF _Ref291717980 \h </w:instrText>
      </w:r>
      <w:r>
        <w:rPr>
          <w:sz w:val="20"/>
          <w:szCs w:val="20"/>
        </w:rPr>
      </w:r>
      <w:r>
        <w:rPr>
          <w:sz w:val="20"/>
          <w:szCs w:val="20"/>
        </w:rPr>
        <w:fldChar w:fldCharType="separate"/>
      </w:r>
      <w:r>
        <w:rPr>
          <w:sz w:val="20"/>
          <w:szCs w:val="20"/>
        </w:rPr>
        <w:t>142</w:t>
      </w:r>
      <w:r>
        <w:rPr>
          <w:sz w:val="20"/>
          <w:szCs w:val="20"/>
        </w:rPr>
        <w:fldChar w:fldCharType="end"/>
      </w:r>
      <w:r>
        <w:rPr>
          <w:sz w:val="20"/>
          <w:szCs w:val="20"/>
        </w:rPr>
        <w:t xml:space="preserve">, at </w:t>
      </w:r>
      <w:r w:rsidRPr="00742B66">
        <w:rPr>
          <w:sz w:val="20"/>
          <w:szCs w:val="20"/>
        </w:rPr>
        <w:t>641.</w:t>
      </w:r>
    </w:p>
  </w:footnote>
  <w:footnote w:id="135">
    <w:p w14:paraId="6F4353E7"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Mary McLeod Bethune, “Faith That Moved a Dump Heap,” </w:t>
      </w:r>
      <w:r w:rsidRPr="00742B66">
        <w:rPr>
          <w:i/>
          <w:sz w:val="20"/>
          <w:szCs w:val="20"/>
        </w:rPr>
        <w:t xml:space="preserve">republished in </w:t>
      </w:r>
      <w:r w:rsidRPr="00742B66">
        <w:rPr>
          <w:smallCaps/>
          <w:sz w:val="20"/>
          <w:szCs w:val="20"/>
        </w:rPr>
        <w:t>Black Women in White America: A Documentary History</w:t>
      </w:r>
      <w:r w:rsidRPr="00742B66">
        <w:rPr>
          <w:sz w:val="20"/>
          <w:szCs w:val="20"/>
        </w:rPr>
        <w:t xml:space="preserve"> 136 (</w:t>
      </w:r>
      <w:proofErr w:type="spellStart"/>
      <w:r w:rsidRPr="00742B66">
        <w:rPr>
          <w:sz w:val="20"/>
          <w:szCs w:val="20"/>
        </w:rPr>
        <w:t>Gerda</w:t>
      </w:r>
      <w:proofErr w:type="spellEnd"/>
      <w:r w:rsidRPr="00742B66">
        <w:rPr>
          <w:sz w:val="20"/>
          <w:szCs w:val="20"/>
        </w:rPr>
        <w:t xml:space="preserve"> Lerner ed. 1972).</w:t>
      </w:r>
    </w:p>
  </w:footnote>
  <w:footnote w:id="136">
    <w:p w14:paraId="04F6A8A7" w14:textId="77777777" w:rsidR="00E667D7" w:rsidRPr="00742B66" w:rsidRDefault="00E667D7" w:rsidP="00742B66">
      <w:pPr>
        <w:pStyle w:val="FootnoteText"/>
        <w:spacing w:after="240"/>
        <w:rPr>
          <w:i/>
          <w:sz w:val="20"/>
          <w:szCs w:val="20"/>
        </w:rPr>
      </w:pPr>
      <w:r w:rsidRPr="00742B66">
        <w:rPr>
          <w:rStyle w:val="FootnoteReference"/>
          <w:sz w:val="20"/>
          <w:szCs w:val="20"/>
        </w:rPr>
        <w:footnoteRef/>
      </w:r>
      <w:r w:rsidRPr="00742B66">
        <w:rPr>
          <w:sz w:val="20"/>
          <w:szCs w:val="20"/>
        </w:rPr>
        <w:t xml:space="preserve"> </w:t>
      </w:r>
      <w:proofErr w:type="spellStart"/>
      <w:r w:rsidRPr="00742B66">
        <w:rPr>
          <w:smallCaps/>
          <w:sz w:val="20"/>
          <w:szCs w:val="20"/>
        </w:rPr>
        <w:t>Litwack</w:t>
      </w:r>
      <w:proofErr w:type="spellEnd"/>
      <w:r w:rsidRPr="00742B66">
        <w:rPr>
          <w:smallCaps/>
          <w:sz w:val="20"/>
          <w:szCs w:val="20"/>
        </w:rPr>
        <w:t xml:space="preserve">, </w:t>
      </w:r>
      <w:r w:rsidRPr="00B46277">
        <w:rPr>
          <w:i/>
          <w:sz w:val="20"/>
          <w:szCs w:val="20"/>
        </w:rPr>
        <w:t xml:space="preserve">supra </w:t>
      </w:r>
      <w:r w:rsidRPr="00B46277">
        <w:rPr>
          <w:sz w:val="20"/>
          <w:szCs w:val="20"/>
        </w:rPr>
        <w:t>note</w:t>
      </w:r>
      <w:r>
        <w:rPr>
          <w:smallCaps/>
          <w:sz w:val="20"/>
          <w:szCs w:val="20"/>
        </w:rPr>
        <w:t xml:space="preserve"> </w:t>
      </w:r>
      <w:r>
        <w:rPr>
          <w:sz w:val="20"/>
          <w:szCs w:val="20"/>
        </w:rPr>
        <w:fldChar w:fldCharType="begin"/>
      </w:r>
      <w:r>
        <w:rPr>
          <w:sz w:val="20"/>
          <w:szCs w:val="20"/>
        </w:rPr>
        <w:instrText xml:space="preserve"> NOTEREF _Ref291624652 \h </w:instrText>
      </w:r>
      <w:r>
        <w:rPr>
          <w:sz w:val="20"/>
          <w:szCs w:val="20"/>
        </w:rPr>
      </w:r>
      <w:r>
        <w:rPr>
          <w:sz w:val="20"/>
          <w:szCs w:val="20"/>
        </w:rPr>
        <w:fldChar w:fldCharType="separate"/>
      </w:r>
      <w:r>
        <w:rPr>
          <w:sz w:val="20"/>
          <w:szCs w:val="20"/>
        </w:rPr>
        <w:t>47</w:t>
      </w:r>
      <w:r>
        <w:rPr>
          <w:sz w:val="20"/>
          <w:szCs w:val="20"/>
        </w:rPr>
        <w:fldChar w:fldCharType="end"/>
      </w:r>
      <w:r>
        <w:rPr>
          <w:sz w:val="20"/>
          <w:szCs w:val="20"/>
        </w:rPr>
        <w:t>, at 472</w:t>
      </w:r>
      <w:r w:rsidRPr="00742B66">
        <w:rPr>
          <w:sz w:val="20"/>
          <w:szCs w:val="20"/>
        </w:rPr>
        <w:t>.</w:t>
      </w:r>
    </w:p>
  </w:footnote>
  <w:footnote w:id="137">
    <w:p w14:paraId="05B0B928"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 xml:space="preserve">See </w:t>
      </w:r>
      <w:r w:rsidRPr="00742B66">
        <w:rPr>
          <w:smallCaps/>
          <w:sz w:val="20"/>
          <w:szCs w:val="20"/>
        </w:rPr>
        <w:t>W.E.B. Du Bois, The Souls of Black Folk</w:t>
      </w:r>
      <w:r w:rsidRPr="00742B66">
        <w:rPr>
          <w:sz w:val="20"/>
          <w:szCs w:val="20"/>
        </w:rPr>
        <w:t xml:space="preserve"> 7 (Rockville, Maryland, Arc Manor 2008) (1903) (“The teachers in these institutions came not to keep the Negroes in their place, but to raise them out of the defilement of the places where slavery had wallowed them.”).</w:t>
      </w:r>
    </w:p>
  </w:footnote>
  <w:footnote w:id="138">
    <w:p w14:paraId="67BBE6A1"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James W.C. Pennington, The Fugitive Blacksmith</w:t>
      </w:r>
      <w:r w:rsidRPr="00742B66">
        <w:rPr>
          <w:sz w:val="20"/>
          <w:szCs w:val="20"/>
        </w:rPr>
        <w:t xml:space="preserve"> 56 (London, Charles Gilpin 3d ed. 1850).</w:t>
      </w:r>
    </w:p>
  </w:footnote>
  <w:footnote w:id="139">
    <w:p w14:paraId="2E8BAA0C" w14:textId="77777777" w:rsidR="00E667D7" w:rsidRPr="00742B66" w:rsidRDefault="00E667D7" w:rsidP="00742B66">
      <w:pPr>
        <w:pStyle w:val="FootnoteText"/>
        <w:spacing w:after="240"/>
        <w:rPr>
          <w:i/>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p>
  </w:footnote>
  <w:footnote w:id="140">
    <w:p w14:paraId="3F0755FE"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3 </w:t>
      </w:r>
      <w:r w:rsidRPr="00742B66">
        <w:rPr>
          <w:smallCaps/>
          <w:sz w:val="20"/>
          <w:szCs w:val="20"/>
        </w:rPr>
        <w:t>Freedom: A Documentary History of Emancipation,</w:t>
      </w:r>
      <w:r w:rsidRPr="00742B66">
        <w:rPr>
          <w:sz w:val="20"/>
          <w:szCs w:val="20"/>
        </w:rPr>
        <w:t xml:space="preserve"> 1861–1867, at 7 (Ira Berlin et al. eds. 1991).</w:t>
      </w:r>
    </w:p>
  </w:footnote>
  <w:footnote w:id="141">
    <w:p w14:paraId="177ABDA1" w14:textId="77777777" w:rsidR="00E667D7" w:rsidRPr="003C6FB6" w:rsidRDefault="00E667D7" w:rsidP="003C6FB6">
      <w:pPr>
        <w:pStyle w:val="FootnoteText"/>
        <w:spacing w:after="240"/>
        <w:rPr>
          <w:sz w:val="20"/>
          <w:szCs w:val="20"/>
        </w:rPr>
      </w:pPr>
      <w:r w:rsidRPr="003C6FB6">
        <w:rPr>
          <w:rStyle w:val="FootnoteReference"/>
          <w:sz w:val="20"/>
          <w:szCs w:val="20"/>
        </w:rPr>
        <w:footnoteRef/>
      </w:r>
      <w:r w:rsidRPr="003C6FB6">
        <w:rPr>
          <w:sz w:val="20"/>
          <w:szCs w:val="20"/>
        </w:rPr>
        <w:t xml:space="preserve"> </w:t>
      </w:r>
      <w:proofErr w:type="spellStart"/>
      <w:r w:rsidRPr="002924BB">
        <w:rPr>
          <w:smallCaps/>
          <w:sz w:val="20"/>
          <w:szCs w:val="20"/>
        </w:rPr>
        <w:t>Foner</w:t>
      </w:r>
      <w:proofErr w:type="spellEnd"/>
      <w:r w:rsidRPr="002924BB">
        <w:rPr>
          <w:smallCaps/>
          <w:sz w:val="20"/>
          <w:szCs w:val="20"/>
        </w:rPr>
        <w:t xml:space="preserve">, </w:t>
      </w:r>
      <w:r w:rsidRPr="002924BB">
        <w:rPr>
          <w:i/>
          <w:sz w:val="20"/>
          <w:szCs w:val="20"/>
        </w:rPr>
        <w:t xml:space="preserve">supra </w:t>
      </w:r>
      <w:r w:rsidRPr="009E1B2A">
        <w:rPr>
          <w:sz w:val="20"/>
          <w:szCs w:val="20"/>
        </w:rPr>
        <w:t xml:space="preserve">note </w:t>
      </w:r>
      <w:r w:rsidRPr="009E1B2A">
        <w:rPr>
          <w:sz w:val="20"/>
          <w:szCs w:val="20"/>
        </w:rPr>
        <w:fldChar w:fldCharType="begin"/>
      </w:r>
      <w:r w:rsidRPr="003C6FB6">
        <w:rPr>
          <w:sz w:val="20"/>
          <w:szCs w:val="20"/>
        </w:rPr>
        <w:instrText xml:space="preserve"> NOTEREF _Ref291520820 \h </w:instrText>
      </w:r>
      <w:r w:rsidRPr="009E1B2A">
        <w:rPr>
          <w:sz w:val="20"/>
          <w:szCs w:val="20"/>
        </w:rPr>
      </w:r>
      <w:r w:rsidRPr="009E1B2A">
        <w:rPr>
          <w:sz w:val="20"/>
          <w:szCs w:val="20"/>
        </w:rPr>
        <w:fldChar w:fldCharType="separate"/>
      </w:r>
      <w:r>
        <w:rPr>
          <w:sz w:val="20"/>
          <w:szCs w:val="20"/>
        </w:rPr>
        <w:t>28</w:t>
      </w:r>
      <w:r w:rsidRPr="009E1B2A">
        <w:rPr>
          <w:sz w:val="20"/>
          <w:szCs w:val="20"/>
        </w:rPr>
        <w:fldChar w:fldCharType="end"/>
      </w:r>
      <w:r w:rsidRPr="002924BB">
        <w:rPr>
          <w:smallCaps/>
          <w:sz w:val="20"/>
          <w:szCs w:val="20"/>
        </w:rPr>
        <w:t xml:space="preserve">, </w:t>
      </w:r>
      <w:r w:rsidRPr="009E1B2A">
        <w:rPr>
          <w:sz w:val="20"/>
          <w:szCs w:val="20"/>
        </w:rPr>
        <w:t>at 198.</w:t>
      </w:r>
      <w:r>
        <w:rPr>
          <w:sz w:val="20"/>
          <w:szCs w:val="20"/>
        </w:rPr>
        <w:t xml:space="preserve"> From the moment the Civil War ended, southern states passed laws intended to define the new rights and responsibilities of the </w:t>
      </w:r>
      <w:proofErr w:type="spellStart"/>
      <w:r>
        <w:rPr>
          <w:sz w:val="20"/>
          <w:szCs w:val="20"/>
        </w:rPr>
        <w:t>Freepeople</w:t>
      </w:r>
      <w:proofErr w:type="spellEnd"/>
      <w:r>
        <w:rPr>
          <w:sz w:val="20"/>
          <w:szCs w:val="20"/>
        </w:rPr>
        <w:t xml:space="preserve"> while stabilizing the black workface so as to maximally inure to the benefit of plantation owners by limiting economic opportunities for blacks apart from plantation labor. </w:t>
      </w:r>
      <w:r>
        <w:rPr>
          <w:i/>
          <w:sz w:val="20"/>
          <w:szCs w:val="20"/>
        </w:rPr>
        <w:t>Id.</w:t>
      </w:r>
      <w:r>
        <w:rPr>
          <w:sz w:val="20"/>
          <w:szCs w:val="20"/>
        </w:rPr>
        <w:t xml:space="preserve"> Under these laws, states would enforce labor agreements and plantation discipline, including by legally binding freed black children to their former masters, punish blacks who refused to contract, prevent whites for competing among themselves for black workers thus driving down the cost of labor, and enforce with impunity vagrancy laws. </w:t>
      </w:r>
      <w:r>
        <w:rPr>
          <w:i/>
          <w:sz w:val="20"/>
          <w:szCs w:val="20"/>
        </w:rPr>
        <w:t>Id.</w:t>
      </w:r>
      <w:r>
        <w:rPr>
          <w:sz w:val="20"/>
          <w:szCs w:val="20"/>
        </w:rPr>
        <w:t xml:space="preserve"> at 198–205; </w:t>
      </w:r>
      <w:r>
        <w:rPr>
          <w:i/>
          <w:sz w:val="20"/>
          <w:szCs w:val="20"/>
        </w:rPr>
        <w:t xml:space="preserve">see generally </w:t>
      </w:r>
      <w:r w:rsidRPr="003C6FB6">
        <w:rPr>
          <w:smallCaps/>
          <w:sz w:val="20"/>
          <w:szCs w:val="20"/>
        </w:rPr>
        <w:t>Douglas A. Blackmon, Slavery By Another Name</w:t>
      </w:r>
      <w:r>
        <w:rPr>
          <w:sz w:val="20"/>
          <w:szCs w:val="20"/>
        </w:rPr>
        <w:t xml:space="preserve"> (2008).</w:t>
      </w:r>
      <w:r>
        <w:rPr>
          <w:i/>
          <w:sz w:val="20"/>
          <w:szCs w:val="20"/>
        </w:rPr>
        <w:t xml:space="preserve"> </w:t>
      </w:r>
      <w:r>
        <w:rPr>
          <w:sz w:val="20"/>
          <w:szCs w:val="20"/>
        </w:rPr>
        <w:t xml:space="preserve"> </w:t>
      </w:r>
    </w:p>
  </w:footnote>
  <w:footnote w:id="142">
    <w:p w14:paraId="5AC9807C"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Albert, </w:t>
      </w:r>
      <w:r w:rsidRPr="0072169B">
        <w:rPr>
          <w:i/>
          <w:sz w:val="20"/>
          <w:szCs w:val="20"/>
        </w:rPr>
        <w:t xml:space="preserve">supra </w:t>
      </w:r>
      <w:r w:rsidRPr="0072169B">
        <w:rPr>
          <w:sz w:val="20"/>
          <w:szCs w:val="20"/>
        </w:rPr>
        <w:t>note</w:t>
      </w:r>
      <w:r>
        <w:rPr>
          <w:sz w:val="20"/>
          <w:szCs w:val="20"/>
        </w:rPr>
        <w:t xml:space="preserve"> </w:t>
      </w:r>
      <w:r>
        <w:rPr>
          <w:sz w:val="20"/>
          <w:szCs w:val="20"/>
        </w:rPr>
        <w:fldChar w:fldCharType="begin"/>
      </w:r>
      <w:r>
        <w:rPr>
          <w:sz w:val="20"/>
          <w:szCs w:val="20"/>
        </w:rPr>
        <w:instrText xml:space="preserve"> NOTEREF _Ref291616864 \h </w:instrText>
      </w:r>
      <w:r>
        <w:rPr>
          <w:sz w:val="20"/>
          <w:szCs w:val="20"/>
        </w:rPr>
      </w:r>
      <w:r>
        <w:rPr>
          <w:sz w:val="20"/>
          <w:szCs w:val="20"/>
        </w:rPr>
        <w:fldChar w:fldCharType="separate"/>
      </w:r>
      <w:r>
        <w:rPr>
          <w:sz w:val="20"/>
          <w:szCs w:val="20"/>
        </w:rPr>
        <w:t>63</w:t>
      </w:r>
      <w:r>
        <w:rPr>
          <w:sz w:val="20"/>
          <w:szCs w:val="20"/>
        </w:rPr>
        <w:fldChar w:fldCharType="end"/>
      </w:r>
      <w:r w:rsidRPr="0072169B">
        <w:rPr>
          <w:sz w:val="20"/>
          <w:szCs w:val="20"/>
        </w:rPr>
        <w:t>, at</w:t>
      </w:r>
      <w:r w:rsidRPr="00742B66">
        <w:rPr>
          <w:sz w:val="20"/>
          <w:szCs w:val="20"/>
        </w:rPr>
        <w:t xml:space="preserve"> 140; </w:t>
      </w:r>
      <w:r w:rsidRPr="00742B66">
        <w:rPr>
          <w:i/>
          <w:sz w:val="20"/>
          <w:szCs w:val="20"/>
        </w:rPr>
        <w:t xml:space="preserve">see also </w:t>
      </w:r>
      <w:proofErr w:type="spellStart"/>
      <w:r w:rsidRPr="00742B66">
        <w:rPr>
          <w:smallCaps/>
          <w:sz w:val="20"/>
          <w:szCs w:val="20"/>
        </w:rPr>
        <w:t>Foner</w:t>
      </w:r>
      <w:proofErr w:type="spellEnd"/>
      <w:r w:rsidRPr="00742B66">
        <w:rPr>
          <w:smallCaps/>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_Ref291520820 \h </w:instrText>
      </w:r>
      <w:r w:rsidRPr="00742B66">
        <w:rPr>
          <w:sz w:val="20"/>
          <w:szCs w:val="20"/>
        </w:rPr>
      </w:r>
      <w:r w:rsidRPr="00742B66">
        <w:rPr>
          <w:sz w:val="20"/>
          <w:szCs w:val="20"/>
        </w:rPr>
        <w:fldChar w:fldCharType="separate"/>
      </w:r>
      <w:r>
        <w:rPr>
          <w:sz w:val="20"/>
          <w:szCs w:val="20"/>
        </w:rPr>
        <w:t>28</w:t>
      </w:r>
      <w:r w:rsidRPr="00742B66">
        <w:rPr>
          <w:sz w:val="20"/>
          <w:szCs w:val="20"/>
        </w:rPr>
        <w:fldChar w:fldCharType="end"/>
      </w:r>
      <w:r w:rsidRPr="00742B66">
        <w:rPr>
          <w:smallCaps/>
          <w:sz w:val="20"/>
          <w:szCs w:val="20"/>
        </w:rPr>
        <w:t xml:space="preserve">, </w:t>
      </w:r>
      <w:r w:rsidRPr="00742B66">
        <w:rPr>
          <w:sz w:val="20"/>
          <w:szCs w:val="20"/>
        </w:rPr>
        <w:t>at 244 (“If states could deny blacks rights, . . . then I demand to know, of what practical value is the amendment abolishing slavery?” (</w:t>
      </w:r>
      <w:proofErr w:type="gramStart"/>
      <w:r w:rsidRPr="00742B66">
        <w:rPr>
          <w:sz w:val="20"/>
          <w:szCs w:val="20"/>
        </w:rPr>
        <w:t>internal</w:t>
      </w:r>
      <w:proofErr w:type="gramEnd"/>
      <w:r w:rsidRPr="00742B66">
        <w:rPr>
          <w:sz w:val="20"/>
          <w:szCs w:val="20"/>
        </w:rPr>
        <w:t xml:space="preserve"> quotation marks omitted); </w:t>
      </w:r>
      <w:proofErr w:type="spellStart"/>
      <w:r w:rsidRPr="00742B66">
        <w:rPr>
          <w:smallCaps/>
          <w:sz w:val="20"/>
          <w:szCs w:val="20"/>
        </w:rPr>
        <w:t>Litwack</w:t>
      </w:r>
      <w:proofErr w:type="spellEnd"/>
      <w:r w:rsidRPr="00742B66">
        <w:rPr>
          <w:smallCaps/>
          <w:sz w:val="20"/>
          <w:szCs w:val="20"/>
        </w:rPr>
        <w:t xml:space="preserve">, </w:t>
      </w:r>
      <w:r w:rsidRPr="00B46277">
        <w:rPr>
          <w:i/>
          <w:sz w:val="20"/>
          <w:szCs w:val="20"/>
        </w:rPr>
        <w:t xml:space="preserve">supra </w:t>
      </w:r>
      <w:r w:rsidRPr="00B46277">
        <w:rPr>
          <w:sz w:val="20"/>
          <w:szCs w:val="20"/>
        </w:rPr>
        <w:t>note</w:t>
      </w:r>
      <w:r>
        <w:rPr>
          <w:smallCaps/>
          <w:sz w:val="20"/>
          <w:szCs w:val="20"/>
        </w:rPr>
        <w:t xml:space="preserve"> </w:t>
      </w:r>
      <w:r>
        <w:rPr>
          <w:sz w:val="20"/>
          <w:szCs w:val="20"/>
        </w:rPr>
        <w:fldChar w:fldCharType="begin"/>
      </w:r>
      <w:r>
        <w:rPr>
          <w:sz w:val="20"/>
          <w:szCs w:val="20"/>
        </w:rPr>
        <w:instrText xml:space="preserve"> NOTEREF _Ref291624652 \h </w:instrText>
      </w:r>
      <w:r>
        <w:rPr>
          <w:sz w:val="20"/>
          <w:szCs w:val="20"/>
        </w:rPr>
      </w:r>
      <w:r>
        <w:rPr>
          <w:sz w:val="20"/>
          <w:szCs w:val="20"/>
        </w:rPr>
        <w:fldChar w:fldCharType="separate"/>
      </w:r>
      <w:r>
        <w:rPr>
          <w:sz w:val="20"/>
          <w:szCs w:val="20"/>
        </w:rPr>
        <w:t>47</w:t>
      </w:r>
      <w:r>
        <w:rPr>
          <w:sz w:val="20"/>
          <w:szCs w:val="20"/>
        </w:rPr>
        <w:fldChar w:fldCharType="end"/>
      </w:r>
      <w:r>
        <w:rPr>
          <w:sz w:val="20"/>
          <w:szCs w:val="20"/>
        </w:rPr>
        <w:t>, at</w:t>
      </w:r>
      <w:r w:rsidRPr="00742B66">
        <w:rPr>
          <w:smallCaps/>
          <w:sz w:val="20"/>
          <w:szCs w:val="20"/>
        </w:rPr>
        <w:t xml:space="preserve"> </w:t>
      </w:r>
      <w:r w:rsidRPr="00742B66">
        <w:rPr>
          <w:sz w:val="20"/>
          <w:szCs w:val="20"/>
        </w:rPr>
        <w:t>472</w:t>
      </w:r>
      <w:r>
        <w:rPr>
          <w:sz w:val="20"/>
          <w:szCs w:val="20"/>
        </w:rPr>
        <w:t xml:space="preserve"> </w:t>
      </w:r>
      <w:r w:rsidRPr="00742B66">
        <w:rPr>
          <w:sz w:val="20"/>
          <w:szCs w:val="20"/>
        </w:rPr>
        <w:t>(“Charles, you is a free man you say, but Ah tells you now, you is still a slave and if you lives to be a hundred, you’ll STILL be a slave, cause you got no education, and education is what makes a man free!”).</w:t>
      </w:r>
      <w:r>
        <w:rPr>
          <w:sz w:val="20"/>
          <w:szCs w:val="20"/>
        </w:rPr>
        <w:t xml:space="preserve"> W.E.B. Du Bois famously commented on the fall of Congressional Reconstruction: </w:t>
      </w:r>
      <w:r w:rsidRPr="00773D4E">
        <w:rPr>
          <w:sz w:val="20"/>
          <w:szCs w:val="20"/>
        </w:rPr>
        <w:t>W.E.B. Du Bois: “The slave went free; stood a brief moment in the sun; then moved back again toward slavery.”</w:t>
      </w:r>
      <w:r>
        <w:rPr>
          <w:sz w:val="20"/>
          <w:szCs w:val="20"/>
        </w:rPr>
        <w:t xml:space="preserve"> </w:t>
      </w:r>
      <w:r w:rsidRPr="00742B66">
        <w:rPr>
          <w:smallCaps/>
          <w:sz w:val="20"/>
          <w:szCs w:val="20"/>
        </w:rPr>
        <w:t>W.E.B. Du Bois, Black Reconstruction in America</w:t>
      </w:r>
      <w:r w:rsidRPr="00742B66">
        <w:rPr>
          <w:sz w:val="20"/>
          <w:szCs w:val="20"/>
        </w:rPr>
        <w:t xml:space="preserve"> at 30</w:t>
      </w:r>
      <w:r>
        <w:rPr>
          <w:sz w:val="20"/>
          <w:szCs w:val="20"/>
        </w:rPr>
        <w:t xml:space="preserve"> </w:t>
      </w:r>
      <w:r w:rsidRPr="00742B66">
        <w:rPr>
          <w:sz w:val="20"/>
          <w:szCs w:val="20"/>
        </w:rPr>
        <w:t>(Touchstone 1995) (1935)</w:t>
      </w:r>
      <w:r>
        <w:rPr>
          <w:sz w:val="20"/>
          <w:szCs w:val="20"/>
        </w:rPr>
        <w:t xml:space="preserve"> [hereinafter </w:t>
      </w:r>
      <w:r w:rsidRPr="006F10D5">
        <w:rPr>
          <w:smallCaps/>
          <w:sz w:val="20"/>
          <w:szCs w:val="20"/>
        </w:rPr>
        <w:t>Black Reconstruction</w:t>
      </w:r>
      <w:r>
        <w:rPr>
          <w:sz w:val="20"/>
          <w:szCs w:val="20"/>
        </w:rPr>
        <w:t>]</w:t>
      </w:r>
      <w:r w:rsidRPr="00742B66">
        <w:rPr>
          <w:sz w:val="20"/>
          <w:szCs w:val="20"/>
        </w:rPr>
        <w:t>.</w:t>
      </w:r>
    </w:p>
  </w:footnote>
  <w:footnote w:id="143">
    <w:p w14:paraId="7F52FB52" w14:textId="73193CEE" w:rsidR="00E667D7" w:rsidRPr="00742B66" w:rsidRDefault="00E667D7" w:rsidP="00742B66">
      <w:pPr>
        <w:spacing w:after="240"/>
        <w:rPr>
          <w:rFonts w:eastAsia="Times New Roman"/>
          <w:sz w:val="20"/>
          <w:szCs w:val="20"/>
        </w:rPr>
      </w:pPr>
      <w:r w:rsidRPr="00742B66">
        <w:rPr>
          <w:rStyle w:val="FootnoteReference"/>
          <w:sz w:val="20"/>
          <w:szCs w:val="20"/>
        </w:rPr>
        <w:footnoteRef/>
      </w:r>
      <w:r w:rsidRPr="00742B66">
        <w:rPr>
          <w:sz w:val="20"/>
          <w:szCs w:val="20"/>
        </w:rPr>
        <w:t xml:space="preserve"> </w:t>
      </w:r>
      <w:r w:rsidRPr="00742B66">
        <w:rPr>
          <w:i/>
          <w:sz w:val="20"/>
          <w:szCs w:val="20"/>
        </w:rPr>
        <w:t>See, e.g.</w:t>
      </w:r>
      <w:r w:rsidRPr="00742B66">
        <w:rPr>
          <w:sz w:val="20"/>
          <w:szCs w:val="20"/>
        </w:rPr>
        <w:t xml:space="preserve">, 43 </w:t>
      </w:r>
      <w:r w:rsidRPr="00742B66">
        <w:rPr>
          <w:smallCaps/>
          <w:sz w:val="20"/>
          <w:szCs w:val="20"/>
        </w:rPr>
        <w:t>Cong. Rec.</w:t>
      </w:r>
      <w:r w:rsidRPr="00742B66">
        <w:rPr>
          <w:sz w:val="20"/>
          <w:szCs w:val="20"/>
        </w:rPr>
        <w:t xml:space="preserve"> 344 (1873) (statement of Rep. Joseph H. Rainey) (discussing the violent reprisals African Americans faced for seeking to “enter [the] free school,” declared: “if [white citizens of the South] will not obey the Constitution, then the power is given by that Constitution for the enactment of such a law as will have a tendency to enforce the provisions thereof.”); 43 </w:t>
      </w:r>
      <w:r w:rsidRPr="00742B66">
        <w:rPr>
          <w:smallCaps/>
          <w:sz w:val="20"/>
          <w:szCs w:val="20"/>
        </w:rPr>
        <w:t>Cong. Rec.</w:t>
      </w:r>
      <w:r w:rsidRPr="00742B66">
        <w:rPr>
          <w:sz w:val="20"/>
          <w:szCs w:val="20"/>
        </w:rPr>
        <w:t xml:space="preserve"> 1311 (1874) (statement of Rep. Alonzo J. </w:t>
      </w:r>
      <w:proofErr w:type="spellStart"/>
      <w:r w:rsidRPr="00742B66">
        <w:rPr>
          <w:sz w:val="20"/>
          <w:szCs w:val="20"/>
        </w:rPr>
        <w:t>Ransier</w:t>
      </w:r>
      <w:proofErr w:type="spellEnd"/>
      <w:r w:rsidRPr="00742B66">
        <w:rPr>
          <w:sz w:val="20"/>
          <w:szCs w:val="20"/>
        </w:rPr>
        <w:t xml:space="preserve">) (arguing: “While we have, as a body, contributed our labor in the past to enhance the wealth and promote the welfare of the community, we have, as a class, been deprived of one of the chief benefits to be derived from industry, namely, the acquisition of education”); 43 </w:t>
      </w:r>
      <w:r w:rsidRPr="00742B66">
        <w:rPr>
          <w:smallCaps/>
          <w:sz w:val="20"/>
          <w:szCs w:val="20"/>
        </w:rPr>
        <w:t>Cong. Rec.</w:t>
      </w:r>
      <w:r w:rsidRPr="00742B66">
        <w:rPr>
          <w:sz w:val="20"/>
          <w:szCs w:val="20"/>
        </w:rPr>
        <w:t xml:space="preserve"> 409 (1873) (statement of Rep. Robert B. Elliott) (commenting, inter alia, on the right to “education in public schools,” Representative Elliott declared “all discrimination, all denial of equality before the law, all denial of the equal protection of the laws, whether State or national laws, is forbidden”); 43 </w:t>
      </w:r>
      <w:r w:rsidRPr="00742B66">
        <w:rPr>
          <w:smallCaps/>
          <w:sz w:val="20"/>
          <w:szCs w:val="20"/>
        </w:rPr>
        <w:t>Cong. Rec.</w:t>
      </w:r>
      <w:r w:rsidRPr="00742B66">
        <w:rPr>
          <w:sz w:val="20"/>
          <w:szCs w:val="20"/>
        </w:rPr>
        <w:t xml:space="preserve"> 566 (1873) (statement of Richard H. Cain) (“the education of the race, the education of the nation, is paramount to all other considerations”); </w:t>
      </w:r>
      <w:r w:rsidRPr="00742B66">
        <w:rPr>
          <w:i/>
          <w:sz w:val="20"/>
          <w:szCs w:val="20"/>
        </w:rPr>
        <w:t>see also</w:t>
      </w:r>
      <w:r w:rsidRPr="00742B66">
        <w:rPr>
          <w:sz w:val="20"/>
          <w:szCs w:val="20"/>
        </w:rPr>
        <w:t xml:space="preserve"> </w:t>
      </w:r>
      <w:r w:rsidRPr="00742B66">
        <w:rPr>
          <w:i/>
          <w:sz w:val="20"/>
          <w:szCs w:val="20"/>
        </w:rPr>
        <w:t xml:space="preserve">The </w:t>
      </w:r>
      <w:r w:rsidRPr="00742B66">
        <w:rPr>
          <w:rFonts w:eastAsia="Times New Roman"/>
          <w:i/>
          <w:iCs/>
          <w:sz w:val="20"/>
          <w:szCs w:val="20"/>
        </w:rPr>
        <w:t>Civil Rights Cases</w:t>
      </w:r>
      <w:r w:rsidRPr="00742B66">
        <w:rPr>
          <w:rFonts w:eastAsia="Times New Roman"/>
          <w:sz w:val="20"/>
          <w:szCs w:val="20"/>
        </w:rPr>
        <w:t xml:space="preserve">, 109 U.S. 3, 53 (1883) </w:t>
      </w:r>
      <w:r>
        <w:rPr>
          <w:rFonts w:eastAsia="Times New Roman"/>
          <w:sz w:val="20"/>
          <w:szCs w:val="20"/>
        </w:rPr>
        <w:t xml:space="preserve">too big a leap to go unexplained: </w:t>
      </w:r>
      <w:r w:rsidRPr="00742B66">
        <w:rPr>
          <w:rFonts w:eastAsia="Times New Roman"/>
          <w:sz w:val="20"/>
          <w:szCs w:val="20"/>
        </w:rPr>
        <w:t>(Harlan, J., dissenting) (“I insist that the national legislature may, without transcending the limits of the Constitution, do for human liberty and the fundamental rights of American citizenship, what it did, with the sanction of this court, for the protection of slavery and the rights of the masters of fugitive slaves.).</w:t>
      </w:r>
    </w:p>
  </w:footnote>
  <w:footnote w:id="144">
    <w:p w14:paraId="2D8076AC"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Du Bois, Black Reconstruction</w:t>
      </w:r>
      <w:r>
        <w:rPr>
          <w:smallCaps/>
          <w:sz w:val="20"/>
          <w:szCs w:val="20"/>
        </w:rPr>
        <w:t>,</w:t>
      </w:r>
      <w:r w:rsidRPr="00742B66">
        <w:rPr>
          <w:smallCaps/>
          <w:sz w:val="20"/>
          <w:szCs w:val="20"/>
        </w:rPr>
        <w:t xml:space="preserve"> </w:t>
      </w:r>
      <w:r>
        <w:rPr>
          <w:i/>
          <w:sz w:val="20"/>
          <w:szCs w:val="20"/>
        </w:rPr>
        <w:t xml:space="preserve">supra </w:t>
      </w:r>
      <w:r>
        <w:rPr>
          <w:sz w:val="20"/>
          <w:szCs w:val="20"/>
        </w:rPr>
        <w:t xml:space="preserve">note </w:t>
      </w:r>
      <w:r>
        <w:rPr>
          <w:sz w:val="20"/>
          <w:szCs w:val="20"/>
        </w:rPr>
        <w:fldChar w:fldCharType="begin"/>
      </w:r>
      <w:r>
        <w:rPr>
          <w:sz w:val="20"/>
          <w:szCs w:val="20"/>
        </w:rPr>
        <w:instrText xml:space="preserve"> NOTEREF _Ref291717980 \h </w:instrText>
      </w:r>
      <w:r>
        <w:rPr>
          <w:sz w:val="20"/>
          <w:szCs w:val="20"/>
        </w:rPr>
      </w:r>
      <w:r>
        <w:rPr>
          <w:sz w:val="20"/>
          <w:szCs w:val="20"/>
        </w:rPr>
        <w:fldChar w:fldCharType="separate"/>
      </w:r>
      <w:r>
        <w:rPr>
          <w:sz w:val="20"/>
          <w:szCs w:val="20"/>
        </w:rPr>
        <w:t>142</w:t>
      </w:r>
      <w:r>
        <w:rPr>
          <w:sz w:val="20"/>
          <w:szCs w:val="20"/>
        </w:rPr>
        <w:fldChar w:fldCharType="end"/>
      </w:r>
      <w:r>
        <w:rPr>
          <w:sz w:val="20"/>
          <w:szCs w:val="20"/>
        </w:rPr>
        <w:t xml:space="preserve">, at </w:t>
      </w:r>
      <w:r w:rsidRPr="00742B66">
        <w:rPr>
          <w:sz w:val="20"/>
          <w:szCs w:val="20"/>
        </w:rPr>
        <w:t xml:space="preserve">638; </w:t>
      </w:r>
      <w:r w:rsidRPr="00742B66">
        <w:rPr>
          <w:i/>
          <w:sz w:val="20"/>
          <w:szCs w:val="20"/>
        </w:rPr>
        <w:t>see also</w:t>
      </w:r>
      <w:r w:rsidRPr="00742B66">
        <w:rPr>
          <w:smallCaps/>
          <w:sz w:val="20"/>
          <w:szCs w:val="20"/>
        </w:rPr>
        <w:t xml:space="preserve"> Anderson,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mallCaps/>
          <w:sz w:val="20"/>
          <w:szCs w:val="20"/>
        </w:rPr>
        <w:t xml:space="preserve">, </w:t>
      </w:r>
      <w:r w:rsidRPr="00742B66">
        <w:rPr>
          <w:sz w:val="20"/>
          <w:szCs w:val="20"/>
        </w:rPr>
        <w:t>at</w:t>
      </w:r>
      <w:r w:rsidRPr="00742B66">
        <w:rPr>
          <w:smallCaps/>
          <w:sz w:val="20"/>
          <w:szCs w:val="20"/>
        </w:rPr>
        <w:t xml:space="preserve"> 4 (“</w:t>
      </w:r>
      <w:r w:rsidRPr="00742B66">
        <w:rPr>
          <w:sz w:val="20"/>
          <w:szCs w:val="20"/>
        </w:rPr>
        <w:t>Former slaves were the first among native southerners to depart from the planters’ ideology of education and society and to campaign for universal, state-supported public education.”)</w:t>
      </w:r>
      <w:r w:rsidRPr="00742B66">
        <w:rPr>
          <w:smallCaps/>
          <w:sz w:val="20"/>
          <w:szCs w:val="20"/>
        </w:rPr>
        <w:t>;</w:t>
      </w:r>
      <w:r w:rsidRPr="00742B66">
        <w:rPr>
          <w:sz w:val="20"/>
          <w:szCs w:val="20"/>
        </w:rPr>
        <w:t xml:space="preserve"> </w:t>
      </w:r>
      <w:proofErr w:type="spellStart"/>
      <w:r w:rsidRPr="00742B66">
        <w:rPr>
          <w:smallCaps/>
          <w:sz w:val="20"/>
          <w:szCs w:val="20"/>
        </w:rPr>
        <w:t>Foner</w:t>
      </w:r>
      <w:proofErr w:type="spellEnd"/>
      <w:r w:rsidRPr="00742B66">
        <w:rPr>
          <w:smallCaps/>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_Ref291520820 \h </w:instrText>
      </w:r>
      <w:r w:rsidRPr="00742B66">
        <w:rPr>
          <w:sz w:val="20"/>
          <w:szCs w:val="20"/>
        </w:rPr>
      </w:r>
      <w:r w:rsidRPr="00742B66">
        <w:rPr>
          <w:sz w:val="20"/>
          <w:szCs w:val="20"/>
        </w:rPr>
        <w:fldChar w:fldCharType="separate"/>
      </w:r>
      <w:r>
        <w:rPr>
          <w:sz w:val="20"/>
          <w:szCs w:val="20"/>
        </w:rPr>
        <w:t>28</w:t>
      </w:r>
      <w:r w:rsidRPr="00742B66">
        <w:rPr>
          <w:sz w:val="20"/>
          <w:szCs w:val="20"/>
        </w:rPr>
        <w:fldChar w:fldCharType="end"/>
      </w:r>
      <w:r w:rsidRPr="00742B66">
        <w:rPr>
          <w:smallCaps/>
          <w:sz w:val="20"/>
          <w:szCs w:val="20"/>
        </w:rPr>
        <w:t xml:space="preserve">, </w:t>
      </w:r>
      <w:r w:rsidRPr="00742B66">
        <w:rPr>
          <w:sz w:val="20"/>
          <w:szCs w:val="20"/>
        </w:rPr>
        <w:t>at 97 (“Northern Benevolent societies, the Freedman’s Bureau, and, after 1868, state governments, provided most of the funding for black education during Reconstruction. But the initiative often lay with blacks themselves, a pattern established in the early days of the war.”).</w:t>
      </w:r>
    </w:p>
  </w:footnote>
  <w:footnote w:id="145">
    <w:p w14:paraId="34555DF5"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Anderson,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z w:val="20"/>
          <w:szCs w:val="20"/>
        </w:rPr>
        <w:t>, at</w:t>
      </w:r>
      <w:r w:rsidRPr="00742B66">
        <w:rPr>
          <w:smallCaps/>
          <w:sz w:val="20"/>
          <w:szCs w:val="20"/>
        </w:rPr>
        <w:t xml:space="preserve"> 19.</w:t>
      </w:r>
    </w:p>
  </w:footnote>
  <w:footnote w:id="146">
    <w:p w14:paraId="4A023FB1"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highlight w:val="yellow"/>
        </w:rPr>
        <w:t xml:space="preserve">See infra </w:t>
      </w:r>
      <w:r w:rsidRPr="00742B66">
        <w:rPr>
          <w:sz w:val="20"/>
          <w:szCs w:val="20"/>
          <w:highlight w:val="yellow"/>
        </w:rPr>
        <w:t>__.</w:t>
      </w:r>
    </w:p>
  </w:footnote>
  <w:footnote w:id="147">
    <w:p w14:paraId="53525246"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Anderson,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z w:val="20"/>
          <w:szCs w:val="20"/>
        </w:rPr>
        <w:t xml:space="preserve">, </w:t>
      </w:r>
      <w:r>
        <w:rPr>
          <w:sz w:val="20"/>
          <w:szCs w:val="20"/>
        </w:rPr>
        <w:t xml:space="preserve">at 19. </w:t>
      </w:r>
      <w:r w:rsidRPr="00742B66">
        <w:rPr>
          <w:sz w:val="20"/>
          <w:szCs w:val="20"/>
        </w:rPr>
        <w:t xml:space="preserve">Anderson continues: “Such a view of </w:t>
      </w:r>
      <w:proofErr w:type="spellStart"/>
      <w:r w:rsidRPr="00742B66">
        <w:rPr>
          <w:sz w:val="20"/>
          <w:szCs w:val="20"/>
        </w:rPr>
        <w:t>postbellum</w:t>
      </w:r>
      <w:proofErr w:type="spellEnd"/>
      <w:r w:rsidRPr="00742B66">
        <w:rPr>
          <w:sz w:val="20"/>
          <w:szCs w:val="20"/>
        </w:rPr>
        <w:t xml:space="preserve"> southern education acknowledges the important contribution of northerners but recognizes the ex-slaves as the principal challenge to the region’s longstanding resistance to free schooling.” </w:t>
      </w:r>
      <w:r w:rsidRPr="00742B66">
        <w:rPr>
          <w:i/>
          <w:sz w:val="20"/>
          <w:szCs w:val="20"/>
        </w:rPr>
        <w:t>Id.</w:t>
      </w:r>
    </w:p>
  </w:footnote>
  <w:footnote w:id="148">
    <w:p w14:paraId="182B33A1"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903315">
        <w:rPr>
          <w:i/>
          <w:iCs/>
          <w:sz w:val="20"/>
          <w:szCs w:val="20"/>
        </w:rPr>
        <w:t>Id.</w:t>
      </w:r>
    </w:p>
  </w:footnote>
  <w:footnote w:id="149">
    <w:p w14:paraId="4C68660E"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Mitchell</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_Ref290802137 \h </w:instrText>
      </w:r>
      <w:r w:rsidRPr="00742B66">
        <w:rPr>
          <w:sz w:val="20"/>
          <w:szCs w:val="20"/>
        </w:rPr>
      </w:r>
      <w:r w:rsidRPr="00742B66">
        <w:rPr>
          <w:sz w:val="20"/>
          <w:szCs w:val="20"/>
        </w:rPr>
        <w:fldChar w:fldCharType="separate"/>
      </w:r>
      <w:r>
        <w:rPr>
          <w:sz w:val="20"/>
          <w:szCs w:val="20"/>
        </w:rPr>
        <w:t>10</w:t>
      </w:r>
      <w:r w:rsidRPr="00742B66">
        <w:rPr>
          <w:sz w:val="20"/>
          <w:szCs w:val="20"/>
        </w:rPr>
        <w:fldChar w:fldCharType="end"/>
      </w:r>
      <w:r w:rsidRPr="00742B66">
        <w:rPr>
          <w:sz w:val="20"/>
          <w:szCs w:val="20"/>
        </w:rPr>
        <w:t>, at 194 and accompanying text.</w:t>
      </w:r>
    </w:p>
  </w:footnote>
  <w:footnote w:id="150">
    <w:p w14:paraId="5C1FF443"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Id.</w:t>
      </w:r>
      <w:r w:rsidRPr="00742B66">
        <w:rPr>
          <w:sz w:val="20"/>
          <w:szCs w:val="20"/>
        </w:rPr>
        <w:t xml:space="preserve"> at 198.</w:t>
      </w:r>
      <w:proofErr w:type="gramEnd"/>
    </w:p>
  </w:footnote>
  <w:footnote w:id="151">
    <w:p w14:paraId="50EA8BA0"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Id.</w:t>
      </w:r>
      <w:r w:rsidRPr="00742B66">
        <w:rPr>
          <w:sz w:val="20"/>
          <w:szCs w:val="20"/>
        </w:rPr>
        <w:t xml:space="preserve"> at 199.</w:t>
      </w:r>
      <w:proofErr w:type="gramEnd"/>
    </w:p>
  </w:footnote>
  <w:footnote w:id="152">
    <w:p w14:paraId="50FB586F"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 xml:space="preserve">Id. </w:t>
      </w:r>
      <w:r w:rsidRPr="00742B66">
        <w:rPr>
          <w:sz w:val="20"/>
          <w:szCs w:val="20"/>
        </w:rPr>
        <w:t>Even where the federal government, by wa</w:t>
      </w:r>
      <w:r>
        <w:rPr>
          <w:sz w:val="20"/>
          <w:szCs w:val="20"/>
        </w:rPr>
        <w:t>y</w:t>
      </w:r>
      <w:r w:rsidRPr="00742B66">
        <w:rPr>
          <w:sz w:val="20"/>
          <w:szCs w:val="20"/>
        </w:rPr>
        <w:t xml:space="preserve"> of the Union Army or Freedmen’s Bureau, w</w:t>
      </w:r>
      <w:r>
        <w:rPr>
          <w:sz w:val="20"/>
          <w:szCs w:val="20"/>
        </w:rPr>
        <w:t>as</w:t>
      </w:r>
      <w:r w:rsidRPr="00742B66">
        <w:rPr>
          <w:sz w:val="20"/>
          <w:szCs w:val="20"/>
        </w:rPr>
        <w:t xml:space="preserve"> involved in ensuring the refugees and freed blacks were able to receive an education in the near term, the long-term success of these efforts depended mainly on African Americans. </w:t>
      </w:r>
      <w:r w:rsidRPr="00742B66">
        <w:rPr>
          <w:smallCaps/>
          <w:sz w:val="20"/>
          <w:szCs w:val="20"/>
        </w:rPr>
        <w:t xml:space="preserve">Anderson,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z w:val="20"/>
          <w:szCs w:val="20"/>
        </w:rPr>
        <w:t>,</w:t>
      </w:r>
      <w:r w:rsidRPr="00742B66">
        <w:rPr>
          <w:smallCaps/>
          <w:sz w:val="20"/>
          <w:szCs w:val="20"/>
        </w:rPr>
        <w:t xml:space="preserve"> </w:t>
      </w:r>
      <w:r w:rsidRPr="00742B66">
        <w:rPr>
          <w:sz w:val="20"/>
          <w:szCs w:val="20"/>
        </w:rPr>
        <w:t>at</w:t>
      </w:r>
      <w:r>
        <w:rPr>
          <w:smallCaps/>
          <w:sz w:val="20"/>
          <w:szCs w:val="20"/>
        </w:rPr>
        <w:t xml:space="preserve"> 9</w:t>
      </w:r>
      <w:r w:rsidRPr="00742B66">
        <w:rPr>
          <w:smallCaps/>
          <w:sz w:val="20"/>
          <w:szCs w:val="20"/>
        </w:rPr>
        <w:t>.</w:t>
      </w:r>
    </w:p>
  </w:footnote>
  <w:footnote w:id="153">
    <w:p w14:paraId="557C75F6"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It was a system of “communal values and sanctions”—indeed a political consciousness—that grew up under the yoke of slavery</w:t>
      </w:r>
      <w:r>
        <w:rPr>
          <w:sz w:val="20"/>
          <w:szCs w:val="20"/>
        </w:rPr>
        <w:t xml:space="preserve"> that</w:t>
      </w:r>
      <w:r w:rsidRPr="00742B66">
        <w:rPr>
          <w:sz w:val="20"/>
          <w:szCs w:val="20"/>
        </w:rPr>
        <w:t xml:space="preserve"> made the education of their children possible. </w:t>
      </w:r>
      <w:proofErr w:type="spellStart"/>
      <w:r w:rsidRPr="00742B66">
        <w:rPr>
          <w:sz w:val="20"/>
          <w:szCs w:val="20"/>
        </w:rPr>
        <w:t>Gutman</w:t>
      </w:r>
      <w:proofErr w:type="spellEnd"/>
      <w:r w:rsidRPr="00742B66">
        <w:rPr>
          <w:sz w:val="20"/>
          <w:szCs w:val="20"/>
        </w:rPr>
        <w:t>,</w:t>
      </w:r>
      <w:r>
        <w:rPr>
          <w:sz w:val="20"/>
          <w:szCs w:val="20"/>
        </w:rPr>
        <w:t xml:space="preserve"> </w:t>
      </w:r>
      <w:r>
        <w:rPr>
          <w:i/>
          <w:sz w:val="20"/>
          <w:szCs w:val="20"/>
        </w:rPr>
        <w:t xml:space="preserve">supra </w:t>
      </w:r>
      <w:r>
        <w:rPr>
          <w:sz w:val="20"/>
          <w:szCs w:val="20"/>
        </w:rPr>
        <w:t>note</w:t>
      </w:r>
      <w:r w:rsidRPr="00742B66">
        <w:rPr>
          <w:sz w:val="20"/>
          <w:szCs w:val="20"/>
        </w:rPr>
        <w:t xml:space="preserve"> </w:t>
      </w:r>
      <w:r>
        <w:rPr>
          <w:sz w:val="20"/>
          <w:szCs w:val="20"/>
        </w:rPr>
        <w:fldChar w:fldCharType="begin"/>
      </w:r>
      <w:r>
        <w:rPr>
          <w:sz w:val="20"/>
          <w:szCs w:val="20"/>
        </w:rPr>
        <w:instrText xml:space="preserve"> NOTEREF _Ref291716057 \h </w:instrText>
      </w:r>
      <w:r>
        <w:rPr>
          <w:sz w:val="20"/>
          <w:szCs w:val="20"/>
        </w:rPr>
      </w:r>
      <w:r>
        <w:rPr>
          <w:sz w:val="20"/>
          <w:szCs w:val="20"/>
        </w:rPr>
        <w:fldChar w:fldCharType="separate"/>
      </w:r>
      <w:r>
        <w:rPr>
          <w:sz w:val="20"/>
          <w:szCs w:val="20"/>
        </w:rPr>
        <w:t>100</w:t>
      </w:r>
      <w:r>
        <w:rPr>
          <w:sz w:val="20"/>
          <w:szCs w:val="20"/>
        </w:rPr>
        <w:fldChar w:fldCharType="end"/>
      </w:r>
      <w:r>
        <w:rPr>
          <w:sz w:val="20"/>
          <w:szCs w:val="20"/>
        </w:rPr>
        <w:t xml:space="preserve">, at </w:t>
      </w:r>
      <w:r w:rsidRPr="00742B66">
        <w:rPr>
          <w:sz w:val="20"/>
          <w:szCs w:val="20"/>
        </w:rPr>
        <w:t xml:space="preserve">254; </w:t>
      </w:r>
      <w:r w:rsidRPr="00742B66">
        <w:rPr>
          <w:i/>
          <w:sz w:val="20"/>
          <w:szCs w:val="20"/>
        </w:rPr>
        <w:t>accord</w:t>
      </w:r>
      <w:r w:rsidRPr="004369B6">
        <w:rPr>
          <w:smallCaps/>
          <w:sz w:val="20"/>
          <w:szCs w:val="20"/>
        </w:rPr>
        <w:t xml:space="preserve"> </w:t>
      </w:r>
      <w:r w:rsidRPr="00742B66">
        <w:rPr>
          <w:smallCaps/>
          <w:sz w:val="20"/>
          <w:szCs w:val="20"/>
        </w:rPr>
        <w:t xml:space="preserve">Mitchell, </w:t>
      </w:r>
      <w:r w:rsidRPr="009A6B3C">
        <w:rPr>
          <w:i/>
          <w:sz w:val="20"/>
          <w:szCs w:val="20"/>
        </w:rPr>
        <w:t xml:space="preserve">supra </w:t>
      </w:r>
      <w:r w:rsidRPr="009A6B3C">
        <w:rPr>
          <w:sz w:val="20"/>
          <w:szCs w:val="20"/>
        </w:rPr>
        <w:t xml:space="preserve">note </w:t>
      </w:r>
      <w:r w:rsidRPr="009A6B3C">
        <w:rPr>
          <w:sz w:val="20"/>
          <w:szCs w:val="20"/>
        </w:rPr>
        <w:fldChar w:fldCharType="begin"/>
      </w:r>
      <w:r w:rsidRPr="009A6B3C">
        <w:rPr>
          <w:sz w:val="20"/>
          <w:szCs w:val="20"/>
        </w:rPr>
        <w:instrText xml:space="preserve"> NOTEREF _Ref290802137 \h </w:instrText>
      </w:r>
      <w:r w:rsidRPr="009A6B3C">
        <w:rPr>
          <w:sz w:val="20"/>
          <w:szCs w:val="20"/>
        </w:rPr>
      </w:r>
      <w:r w:rsidRPr="009A6B3C">
        <w:rPr>
          <w:sz w:val="20"/>
          <w:szCs w:val="20"/>
        </w:rPr>
        <w:fldChar w:fldCharType="separate"/>
      </w:r>
      <w:r>
        <w:rPr>
          <w:sz w:val="20"/>
          <w:szCs w:val="20"/>
        </w:rPr>
        <w:t>10</w:t>
      </w:r>
      <w:r w:rsidRPr="009A6B3C">
        <w:rPr>
          <w:sz w:val="20"/>
          <w:szCs w:val="20"/>
        </w:rPr>
        <w:fldChar w:fldCharType="end"/>
      </w:r>
      <w:r w:rsidRPr="009A6B3C">
        <w:rPr>
          <w:sz w:val="20"/>
          <w:szCs w:val="20"/>
        </w:rPr>
        <w:t xml:space="preserve">, </w:t>
      </w:r>
      <w:r>
        <w:rPr>
          <w:sz w:val="20"/>
          <w:szCs w:val="20"/>
        </w:rPr>
        <w:t>at 199</w:t>
      </w:r>
      <w:r w:rsidRPr="00742B66">
        <w:rPr>
          <w:sz w:val="20"/>
          <w:szCs w:val="20"/>
        </w:rPr>
        <w:t>. In South Carolina, “[</w:t>
      </w:r>
      <w:proofErr w:type="gramStart"/>
      <w:r w:rsidRPr="00742B66">
        <w:rPr>
          <w:sz w:val="20"/>
          <w:szCs w:val="20"/>
        </w:rPr>
        <w:t>h]e</w:t>
      </w:r>
      <w:proofErr w:type="gramEnd"/>
      <w:r w:rsidRPr="00742B66">
        <w:rPr>
          <w:sz w:val="20"/>
          <w:szCs w:val="20"/>
        </w:rPr>
        <w:t xml:space="preserve"> who makes himself prominent in opposing the establishment of a school . . . is looked upon as an enemy to the </w:t>
      </w:r>
      <w:r w:rsidRPr="00742B66">
        <w:rPr>
          <w:i/>
          <w:sz w:val="20"/>
          <w:szCs w:val="20"/>
        </w:rPr>
        <w:t>race</w:t>
      </w:r>
      <w:r w:rsidRPr="00742B66">
        <w:rPr>
          <w:sz w:val="20"/>
          <w:szCs w:val="20"/>
        </w:rPr>
        <w:t xml:space="preserve">, and worthy of suspicion, or ‘to be let alone’ when contracting is called for.” </w:t>
      </w:r>
      <w:proofErr w:type="spellStart"/>
      <w:r w:rsidRPr="00742B66">
        <w:rPr>
          <w:sz w:val="20"/>
          <w:szCs w:val="20"/>
        </w:rPr>
        <w:t>Gutman</w:t>
      </w:r>
      <w:proofErr w:type="spellEnd"/>
      <w:r w:rsidRPr="00742B66">
        <w:rPr>
          <w:sz w:val="20"/>
          <w:szCs w:val="20"/>
        </w:rPr>
        <w:t>,</w:t>
      </w:r>
      <w:r>
        <w:rPr>
          <w:sz w:val="20"/>
          <w:szCs w:val="20"/>
        </w:rPr>
        <w:t xml:space="preserve"> </w:t>
      </w:r>
      <w:r>
        <w:rPr>
          <w:i/>
          <w:sz w:val="20"/>
          <w:szCs w:val="20"/>
        </w:rPr>
        <w:t xml:space="preserve">supra </w:t>
      </w:r>
      <w:r>
        <w:rPr>
          <w:sz w:val="20"/>
          <w:szCs w:val="20"/>
        </w:rPr>
        <w:t>note</w:t>
      </w:r>
      <w:r w:rsidRPr="00742B66">
        <w:rPr>
          <w:sz w:val="20"/>
          <w:szCs w:val="20"/>
        </w:rPr>
        <w:t xml:space="preserve"> </w:t>
      </w:r>
      <w:r>
        <w:rPr>
          <w:sz w:val="20"/>
          <w:szCs w:val="20"/>
        </w:rPr>
        <w:fldChar w:fldCharType="begin"/>
      </w:r>
      <w:r>
        <w:rPr>
          <w:sz w:val="20"/>
          <w:szCs w:val="20"/>
        </w:rPr>
        <w:instrText xml:space="preserve"> NOTEREF _Ref291716057 \h </w:instrText>
      </w:r>
      <w:r>
        <w:rPr>
          <w:sz w:val="20"/>
          <w:szCs w:val="20"/>
        </w:rPr>
      </w:r>
      <w:r>
        <w:rPr>
          <w:sz w:val="20"/>
          <w:szCs w:val="20"/>
        </w:rPr>
        <w:fldChar w:fldCharType="separate"/>
      </w:r>
      <w:r>
        <w:rPr>
          <w:sz w:val="20"/>
          <w:szCs w:val="20"/>
        </w:rPr>
        <w:t>100</w:t>
      </w:r>
      <w:r>
        <w:rPr>
          <w:sz w:val="20"/>
          <w:szCs w:val="20"/>
        </w:rPr>
        <w:fldChar w:fldCharType="end"/>
      </w:r>
      <w:r>
        <w:rPr>
          <w:sz w:val="20"/>
          <w:szCs w:val="20"/>
        </w:rPr>
        <w:t>, at 254.</w:t>
      </w:r>
    </w:p>
  </w:footnote>
  <w:footnote w:id="154">
    <w:p w14:paraId="22C63DD4"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spellStart"/>
      <w:r w:rsidRPr="00742B66">
        <w:rPr>
          <w:smallCaps/>
          <w:sz w:val="20"/>
          <w:szCs w:val="20"/>
        </w:rPr>
        <w:t>Butchart</w:t>
      </w:r>
      <w:proofErr w:type="spellEnd"/>
      <w:r w:rsidRPr="00742B66">
        <w:rPr>
          <w:smallCaps/>
          <w:sz w:val="20"/>
          <w:szCs w:val="20"/>
        </w:rPr>
        <w:t>,</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_Ref291515864 \h </w:instrText>
      </w:r>
      <w:r w:rsidRPr="00742B66">
        <w:rPr>
          <w:sz w:val="20"/>
          <w:szCs w:val="20"/>
        </w:rPr>
      </w:r>
      <w:r w:rsidRPr="00742B66">
        <w:rPr>
          <w:sz w:val="20"/>
          <w:szCs w:val="20"/>
        </w:rPr>
        <w:fldChar w:fldCharType="separate"/>
      </w:r>
      <w:r>
        <w:rPr>
          <w:sz w:val="20"/>
          <w:szCs w:val="20"/>
        </w:rPr>
        <w:t>48</w:t>
      </w:r>
      <w:r w:rsidRPr="00742B66">
        <w:rPr>
          <w:sz w:val="20"/>
          <w:szCs w:val="20"/>
        </w:rPr>
        <w:fldChar w:fldCharType="end"/>
      </w:r>
      <w:r w:rsidRPr="00742B66">
        <w:rPr>
          <w:sz w:val="20"/>
          <w:szCs w:val="20"/>
        </w:rPr>
        <w:t xml:space="preserve">, </w:t>
      </w:r>
      <w:r>
        <w:rPr>
          <w:sz w:val="20"/>
          <w:szCs w:val="20"/>
        </w:rPr>
        <w:t>at 19</w:t>
      </w:r>
      <w:r w:rsidRPr="00742B66">
        <w:rPr>
          <w:sz w:val="20"/>
          <w:szCs w:val="20"/>
        </w:rPr>
        <w:t>.</w:t>
      </w:r>
    </w:p>
  </w:footnote>
  <w:footnote w:id="155">
    <w:p w14:paraId="2A3EB13A"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J.W. Alvord, First Semi-Annual Report on Schools and Finances of Freedmen</w:t>
      </w:r>
      <w:r w:rsidRPr="00742B66">
        <w:rPr>
          <w:sz w:val="20"/>
          <w:szCs w:val="20"/>
        </w:rPr>
        <w:t xml:space="preserve"> 9–10 (1866), </w:t>
      </w:r>
      <w:r w:rsidRPr="00742B66">
        <w:rPr>
          <w:i/>
          <w:sz w:val="20"/>
          <w:szCs w:val="20"/>
        </w:rPr>
        <w:t xml:space="preserve">reprinted in </w:t>
      </w:r>
      <w:r w:rsidRPr="00742B66">
        <w:rPr>
          <w:smallCaps/>
          <w:sz w:val="20"/>
          <w:szCs w:val="20"/>
        </w:rPr>
        <w:t xml:space="preserve">1 Freedmen’s Schools and Textbooks </w:t>
      </w:r>
      <w:r w:rsidRPr="00742B66">
        <w:rPr>
          <w:sz w:val="20"/>
          <w:szCs w:val="20"/>
        </w:rPr>
        <w:t xml:space="preserve">(Robert C. Morris ed., 1980) [hereinafter </w:t>
      </w:r>
      <w:r w:rsidRPr="00742B66">
        <w:rPr>
          <w:smallCaps/>
          <w:sz w:val="20"/>
          <w:szCs w:val="20"/>
        </w:rPr>
        <w:t xml:space="preserve">Semi-Annual Report] </w:t>
      </w:r>
      <w:r w:rsidRPr="00742B66">
        <w:rPr>
          <w:sz w:val="20"/>
          <w:szCs w:val="20"/>
        </w:rPr>
        <w:t>(“Throughout the entire south an effort is being made by the colored people to educate themselves. In the absence of other teaching they are determined to be self-taught; and everywhere some elementary text-book, or the fragment of one, may be seen in the hands of negroes.”).</w:t>
      </w:r>
    </w:p>
  </w:footnote>
  <w:footnote w:id="156">
    <w:p w14:paraId="4221D549"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gramStart"/>
      <w:r w:rsidRPr="00742B66">
        <w:rPr>
          <w:i/>
          <w:sz w:val="20"/>
          <w:szCs w:val="20"/>
        </w:rPr>
        <w:t xml:space="preserve">Id. </w:t>
      </w:r>
      <w:r w:rsidRPr="00742B66">
        <w:rPr>
          <w:sz w:val="20"/>
          <w:szCs w:val="20"/>
        </w:rPr>
        <w:t>at 10.</w:t>
      </w:r>
      <w:proofErr w:type="gramEnd"/>
    </w:p>
  </w:footnote>
  <w:footnote w:id="157">
    <w:p w14:paraId="27003BD8"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J.W. Alvord, First Semi-Annual Report </w:t>
      </w:r>
      <w:r w:rsidRPr="00742B66">
        <w:rPr>
          <w:i/>
          <w:sz w:val="20"/>
          <w:szCs w:val="20"/>
        </w:rPr>
        <w:t>supra</w:t>
      </w:r>
      <w:r w:rsidRPr="00742B66">
        <w:rPr>
          <w:sz w:val="20"/>
          <w:szCs w:val="20"/>
        </w:rPr>
        <w:t xml:space="preserve"> </w:t>
      </w:r>
      <w:proofErr w:type="gramStart"/>
      <w:r w:rsidRPr="00742B66">
        <w:rPr>
          <w:sz w:val="20"/>
          <w:szCs w:val="20"/>
        </w:rPr>
        <w:t>note</w:t>
      </w:r>
      <w:proofErr w:type="gramEnd"/>
      <w:r w:rsidRPr="00742B66">
        <w:rPr>
          <w:sz w:val="20"/>
          <w:szCs w:val="20"/>
        </w:rPr>
        <w:t xml:space="preserve"> </w:t>
      </w:r>
      <w:r w:rsidRPr="00742B66">
        <w:rPr>
          <w:sz w:val="20"/>
          <w:szCs w:val="20"/>
        </w:rPr>
        <w:fldChar w:fldCharType="begin"/>
      </w:r>
      <w:r w:rsidRPr="00742B66">
        <w:rPr>
          <w:sz w:val="20"/>
          <w:szCs w:val="20"/>
        </w:rPr>
        <w:instrText xml:space="preserve"> NOTEREF _Ref291708156 \h </w:instrText>
      </w:r>
      <w:r w:rsidRPr="00742B66">
        <w:rPr>
          <w:sz w:val="20"/>
          <w:szCs w:val="20"/>
        </w:rPr>
      </w:r>
      <w:r w:rsidRPr="00742B66">
        <w:rPr>
          <w:sz w:val="20"/>
          <w:szCs w:val="20"/>
        </w:rPr>
        <w:fldChar w:fldCharType="separate"/>
      </w:r>
      <w:r>
        <w:rPr>
          <w:sz w:val="20"/>
          <w:szCs w:val="20"/>
        </w:rPr>
        <w:t>155</w:t>
      </w:r>
      <w:r w:rsidRPr="00742B66">
        <w:rPr>
          <w:sz w:val="20"/>
          <w:szCs w:val="20"/>
        </w:rPr>
        <w:fldChar w:fldCharType="end"/>
      </w:r>
      <w:r w:rsidRPr="00742B66">
        <w:rPr>
          <w:sz w:val="20"/>
          <w:szCs w:val="20"/>
        </w:rPr>
        <w:t>, at 9.</w:t>
      </w:r>
    </w:p>
  </w:footnote>
  <w:footnote w:id="158">
    <w:p w14:paraId="4F049DA4" w14:textId="77777777" w:rsidR="00E667D7" w:rsidRPr="00742B66" w:rsidRDefault="00E667D7" w:rsidP="00742B66">
      <w:pPr>
        <w:pStyle w:val="FootnoteText"/>
        <w:spacing w:after="240"/>
        <w:rPr>
          <w:sz w:val="20"/>
          <w:szCs w:val="20"/>
        </w:rPr>
      </w:pPr>
      <w:r w:rsidRPr="00742B66">
        <w:rPr>
          <w:rStyle w:val="FootnoteReference"/>
          <w:sz w:val="20"/>
          <w:szCs w:val="20"/>
          <w:highlight w:val="yellow"/>
        </w:rPr>
        <w:footnoteRef/>
      </w:r>
      <w:r w:rsidRPr="00742B66">
        <w:rPr>
          <w:sz w:val="20"/>
          <w:szCs w:val="20"/>
          <w:highlight w:val="yellow"/>
        </w:rPr>
        <w:t xml:space="preserve"> </w:t>
      </w:r>
      <w:r w:rsidRPr="00742B66">
        <w:rPr>
          <w:i/>
          <w:sz w:val="20"/>
          <w:szCs w:val="20"/>
          <w:highlight w:val="yellow"/>
        </w:rPr>
        <w:t xml:space="preserve">See supra </w:t>
      </w:r>
      <w:r w:rsidRPr="00742B66">
        <w:rPr>
          <w:sz w:val="20"/>
          <w:szCs w:val="20"/>
          <w:highlight w:val="yellow"/>
        </w:rPr>
        <w:t>note __, at __.</w:t>
      </w:r>
    </w:p>
  </w:footnote>
  <w:footnote w:id="159">
    <w:p w14:paraId="7F20840D"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Chase, et al.,</w:t>
      </w:r>
      <w:r>
        <w:rPr>
          <w:smallCaps/>
          <w:sz w:val="20"/>
          <w:szCs w:val="20"/>
        </w:rPr>
        <w:t xml:space="preserve"> </w:t>
      </w:r>
      <w:r w:rsidRPr="00597785">
        <w:rPr>
          <w:i/>
          <w:sz w:val="20"/>
          <w:szCs w:val="20"/>
        </w:rPr>
        <w:t xml:space="preserve">supra </w:t>
      </w:r>
      <w:proofErr w:type="gramStart"/>
      <w:r w:rsidRPr="00597785">
        <w:rPr>
          <w:sz w:val="20"/>
          <w:szCs w:val="20"/>
        </w:rPr>
        <w:t>note</w:t>
      </w:r>
      <w:proofErr w:type="gramEnd"/>
      <w:r w:rsidRPr="00742B66">
        <w:rPr>
          <w:smallCaps/>
          <w:sz w:val="20"/>
          <w:szCs w:val="20"/>
        </w:rPr>
        <w:t xml:space="preserve"> </w:t>
      </w:r>
      <w:r>
        <w:rPr>
          <w:smallCaps/>
          <w:sz w:val="20"/>
          <w:szCs w:val="20"/>
        </w:rPr>
        <w:fldChar w:fldCharType="begin"/>
      </w:r>
      <w:r>
        <w:rPr>
          <w:smallCaps/>
          <w:sz w:val="20"/>
          <w:szCs w:val="20"/>
        </w:rPr>
        <w:instrText xml:space="preserve"> NOTEREF _Ref291597951 \h </w:instrText>
      </w:r>
      <w:r>
        <w:rPr>
          <w:smallCaps/>
          <w:sz w:val="20"/>
          <w:szCs w:val="20"/>
        </w:rPr>
      </w:r>
      <w:r>
        <w:rPr>
          <w:smallCaps/>
          <w:sz w:val="20"/>
          <w:szCs w:val="20"/>
        </w:rPr>
        <w:fldChar w:fldCharType="separate"/>
      </w:r>
      <w:r>
        <w:rPr>
          <w:smallCaps/>
          <w:sz w:val="20"/>
          <w:szCs w:val="20"/>
        </w:rPr>
        <w:t>50</w:t>
      </w:r>
      <w:r>
        <w:rPr>
          <w:smallCaps/>
          <w:sz w:val="20"/>
          <w:szCs w:val="20"/>
        </w:rPr>
        <w:fldChar w:fldCharType="end"/>
      </w:r>
      <w:r>
        <w:rPr>
          <w:smallCaps/>
          <w:sz w:val="20"/>
          <w:szCs w:val="20"/>
        </w:rPr>
        <w:t xml:space="preserve">, </w:t>
      </w:r>
      <w:r w:rsidRPr="00050735">
        <w:rPr>
          <w:sz w:val="20"/>
          <w:szCs w:val="20"/>
        </w:rPr>
        <w:t>at</w:t>
      </w:r>
      <w:r>
        <w:rPr>
          <w:smallCaps/>
          <w:sz w:val="20"/>
          <w:szCs w:val="20"/>
        </w:rPr>
        <w:t xml:space="preserve"> </w:t>
      </w:r>
      <w:r w:rsidRPr="00742B66">
        <w:rPr>
          <w:sz w:val="20"/>
          <w:szCs w:val="20"/>
        </w:rPr>
        <w:t>31.</w:t>
      </w:r>
    </w:p>
  </w:footnote>
  <w:footnote w:id="160">
    <w:p w14:paraId="1D76E102"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Id.</w:t>
      </w:r>
    </w:p>
  </w:footnote>
  <w:footnote w:id="161">
    <w:p w14:paraId="74A2CDFC" w14:textId="77777777" w:rsidR="00E667D7" w:rsidRPr="00742B66" w:rsidRDefault="00E667D7" w:rsidP="00742B66">
      <w:pPr>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J.W. Alvord, First Semi-Annual Report </w:t>
      </w:r>
      <w:r w:rsidRPr="00742B66">
        <w:rPr>
          <w:i/>
          <w:sz w:val="20"/>
          <w:szCs w:val="20"/>
        </w:rPr>
        <w:t>supra</w:t>
      </w:r>
      <w:r w:rsidRPr="00742B66">
        <w:rPr>
          <w:sz w:val="20"/>
          <w:szCs w:val="20"/>
        </w:rPr>
        <w:t xml:space="preserve"> </w:t>
      </w:r>
      <w:proofErr w:type="gramStart"/>
      <w:r w:rsidRPr="00742B66">
        <w:rPr>
          <w:sz w:val="20"/>
          <w:szCs w:val="20"/>
        </w:rPr>
        <w:t>note</w:t>
      </w:r>
      <w:proofErr w:type="gramEnd"/>
      <w:r w:rsidRPr="00742B66">
        <w:rPr>
          <w:sz w:val="20"/>
          <w:szCs w:val="20"/>
        </w:rPr>
        <w:t xml:space="preserve"> </w:t>
      </w:r>
      <w:r w:rsidRPr="00742B66">
        <w:rPr>
          <w:sz w:val="20"/>
          <w:szCs w:val="20"/>
        </w:rPr>
        <w:fldChar w:fldCharType="begin"/>
      </w:r>
      <w:r w:rsidRPr="00742B66">
        <w:rPr>
          <w:sz w:val="20"/>
          <w:szCs w:val="20"/>
        </w:rPr>
        <w:instrText xml:space="preserve"> NOTEREF _Ref291708156 \h </w:instrText>
      </w:r>
      <w:r w:rsidRPr="00742B66">
        <w:rPr>
          <w:sz w:val="20"/>
          <w:szCs w:val="20"/>
        </w:rPr>
      </w:r>
      <w:r w:rsidRPr="00742B66">
        <w:rPr>
          <w:sz w:val="20"/>
          <w:szCs w:val="20"/>
        </w:rPr>
        <w:fldChar w:fldCharType="separate"/>
      </w:r>
      <w:r>
        <w:rPr>
          <w:sz w:val="20"/>
          <w:szCs w:val="20"/>
        </w:rPr>
        <w:t>155</w:t>
      </w:r>
      <w:r w:rsidRPr="00742B66">
        <w:rPr>
          <w:sz w:val="20"/>
          <w:szCs w:val="20"/>
        </w:rPr>
        <w:fldChar w:fldCharType="end"/>
      </w:r>
      <w:r w:rsidRPr="00742B66">
        <w:rPr>
          <w:sz w:val="20"/>
          <w:szCs w:val="20"/>
        </w:rPr>
        <w:t xml:space="preserve">, at 9. The plea </w:t>
      </w:r>
      <w:r>
        <w:rPr>
          <w:sz w:val="20"/>
          <w:szCs w:val="20"/>
        </w:rPr>
        <w:t xml:space="preserve">for </w:t>
      </w:r>
      <w:r w:rsidRPr="00742B66">
        <w:rPr>
          <w:sz w:val="20"/>
          <w:szCs w:val="20"/>
        </w:rPr>
        <w:t xml:space="preserve">self-actualization of which Alvord gives account also demonstrates the inalienability of the political franchise from the constitutional personhood of the </w:t>
      </w:r>
      <w:proofErr w:type="spellStart"/>
      <w:r w:rsidRPr="00742B66">
        <w:rPr>
          <w:sz w:val="20"/>
          <w:szCs w:val="20"/>
        </w:rPr>
        <w:t>Freepeople</w:t>
      </w:r>
      <w:proofErr w:type="spellEnd"/>
      <w:r w:rsidRPr="00742B66">
        <w:rPr>
          <w:sz w:val="20"/>
          <w:szCs w:val="20"/>
        </w:rPr>
        <w:t xml:space="preserve">. In 1867, the black Equal Rights Association of Macon, Georgia, declared: “That a Free school system is a great need of our state, and that we will do all in our power by voice and by vote to secure adoption of a system.” </w:t>
      </w:r>
      <w:proofErr w:type="gramStart"/>
      <w:r w:rsidRPr="00742B66">
        <w:rPr>
          <w:smallCaps/>
          <w:sz w:val="20"/>
          <w:szCs w:val="20"/>
          <w:highlight w:val="yellow"/>
        </w:rPr>
        <w:t>The Loyal Georgian</w:t>
      </w:r>
      <w:r w:rsidRPr="00742B66">
        <w:rPr>
          <w:sz w:val="20"/>
          <w:szCs w:val="20"/>
          <w:highlight w:val="yellow"/>
        </w:rPr>
        <w:t>, May 16, 1867, at 19.</w:t>
      </w:r>
      <w:proofErr w:type="gramEnd"/>
      <w:r w:rsidRPr="00742B66">
        <w:rPr>
          <w:sz w:val="20"/>
          <w:szCs w:val="20"/>
        </w:rPr>
        <w:t xml:space="preserve"> There was also no easy division between enfranchisement and the </w:t>
      </w:r>
      <w:proofErr w:type="spellStart"/>
      <w:r w:rsidRPr="00742B66">
        <w:rPr>
          <w:sz w:val="20"/>
          <w:szCs w:val="20"/>
        </w:rPr>
        <w:t>Freepeople’s</w:t>
      </w:r>
      <w:proofErr w:type="spellEnd"/>
      <w:r w:rsidRPr="00742B66">
        <w:rPr>
          <w:sz w:val="20"/>
          <w:szCs w:val="20"/>
        </w:rPr>
        <w:t xml:space="preserve"> impulse to gain literacy.</w:t>
      </w:r>
      <w:r w:rsidRPr="00742B66">
        <w:rPr>
          <w:smallCaps/>
          <w:sz w:val="20"/>
          <w:szCs w:val="20"/>
        </w:rPr>
        <w:t xml:space="preserve"> Anderson,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mallCaps/>
          <w:sz w:val="20"/>
          <w:szCs w:val="20"/>
        </w:rPr>
        <w:t xml:space="preserve">, </w:t>
      </w:r>
      <w:r w:rsidRPr="00742B66">
        <w:rPr>
          <w:sz w:val="20"/>
          <w:szCs w:val="20"/>
        </w:rPr>
        <w:t>at</w:t>
      </w:r>
      <w:r w:rsidRPr="00742B66">
        <w:rPr>
          <w:smallCaps/>
          <w:sz w:val="20"/>
          <w:szCs w:val="20"/>
        </w:rPr>
        <w:t xml:space="preserve"> 18. </w:t>
      </w:r>
      <w:r w:rsidRPr="00742B66">
        <w:rPr>
          <w:sz w:val="20"/>
          <w:szCs w:val="20"/>
        </w:rPr>
        <w:t>Alvord reported, “At the place of voting they look at the ballot-box and then at the printed ticket in their hands, wishing they could read it.”</w:t>
      </w:r>
      <w:r>
        <w:rPr>
          <w:smallCaps/>
          <w:sz w:val="20"/>
          <w:szCs w:val="20"/>
        </w:rPr>
        <w:t xml:space="preserve"> </w:t>
      </w:r>
      <w:r w:rsidRPr="00742B66">
        <w:rPr>
          <w:smallCaps/>
          <w:sz w:val="20"/>
          <w:szCs w:val="20"/>
        </w:rPr>
        <w:t xml:space="preserve">Alvord, Fourth Semi-Annual Report </w:t>
      </w:r>
      <w:r w:rsidRPr="00742B66">
        <w:rPr>
          <w:i/>
          <w:sz w:val="20"/>
          <w:szCs w:val="20"/>
        </w:rPr>
        <w:t>supra</w:t>
      </w:r>
      <w:r w:rsidRPr="00742B66">
        <w:rPr>
          <w:sz w:val="20"/>
          <w:szCs w:val="20"/>
        </w:rPr>
        <w:t xml:space="preserve"> </w:t>
      </w:r>
      <w:proofErr w:type="gramStart"/>
      <w:r w:rsidRPr="00742B66">
        <w:rPr>
          <w:sz w:val="20"/>
          <w:szCs w:val="20"/>
        </w:rPr>
        <w:t>note</w:t>
      </w:r>
      <w:proofErr w:type="gramEnd"/>
      <w:r w:rsidRPr="00742B66">
        <w:rPr>
          <w:sz w:val="20"/>
          <w:szCs w:val="20"/>
        </w:rPr>
        <w:t xml:space="preserve"> </w:t>
      </w:r>
      <w:r w:rsidRPr="00742B66">
        <w:rPr>
          <w:sz w:val="20"/>
          <w:szCs w:val="20"/>
        </w:rPr>
        <w:fldChar w:fldCharType="begin"/>
      </w:r>
      <w:r w:rsidRPr="00742B66">
        <w:rPr>
          <w:sz w:val="20"/>
          <w:szCs w:val="20"/>
        </w:rPr>
        <w:instrText xml:space="preserve"> NOTEREF _Ref291708156 \h </w:instrText>
      </w:r>
      <w:r w:rsidRPr="00742B66">
        <w:rPr>
          <w:sz w:val="20"/>
          <w:szCs w:val="20"/>
        </w:rPr>
      </w:r>
      <w:r w:rsidRPr="00742B66">
        <w:rPr>
          <w:sz w:val="20"/>
          <w:szCs w:val="20"/>
        </w:rPr>
        <w:fldChar w:fldCharType="separate"/>
      </w:r>
      <w:r>
        <w:rPr>
          <w:sz w:val="20"/>
          <w:szCs w:val="20"/>
        </w:rPr>
        <w:t>155</w:t>
      </w:r>
      <w:r w:rsidRPr="00742B66">
        <w:rPr>
          <w:sz w:val="20"/>
          <w:szCs w:val="20"/>
        </w:rPr>
        <w:fldChar w:fldCharType="end"/>
      </w:r>
      <w:r w:rsidRPr="00742B66">
        <w:rPr>
          <w:sz w:val="20"/>
          <w:szCs w:val="20"/>
        </w:rPr>
        <w:t xml:space="preserve">, at 79; </w:t>
      </w:r>
      <w:r w:rsidRPr="00742B66">
        <w:rPr>
          <w:i/>
          <w:sz w:val="20"/>
          <w:szCs w:val="20"/>
        </w:rPr>
        <w:t>see also</w:t>
      </w:r>
      <w:r w:rsidRPr="00742B66">
        <w:rPr>
          <w:sz w:val="20"/>
          <w:szCs w:val="20"/>
        </w:rPr>
        <w:t xml:space="preserve"> </w:t>
      </w:r>
      <w:r w:rsidRPr="00742B66">
        <w:rPr>
          <w:smallCaps/>
          <w:sz w:val="20"/>
          <w:szCs w:val="20"/>
        </w:rPr>
        <w:t xml:space="preserve">Mitchell, </w:t>
      </w:r>
      <w:r w:rsidRPr="009A6B3C">
        <w:rPr>
          <w:i/>
          <w:sz w:val="20"/>
          <w:szCs w:val="20"/>
        </w:rPr>
        <w:t xml:space="preserve">supra </w:t>
      </w:r>
      <w:r w:rsidRPr="009A6B3C">
        <w:rPr>
          <w:sz w:val="20"/>
          <w:szCs w:val="20"/>
        </w:rPr>
        <w:t xml:space="preserve">note </w:t>
      </w:r>
      <w:r w:rsidRPr="009A6B3C">
        <w:rPr>
          <w:sz w:val="20"/>
          <w:szCs w:val="20"/>
        </w:rPr>
        <w:fldChar w:fldCharType="begin"/>
      </w:r>
      <w:r w:rsidRPr="009A6B3C">
        <w:rPr>
          <w:sz w:val="20"/>
          <w:szCs w:val="20"/>
        </w:rPr>
        <w:instrText xml:space="preserve"> NOTEREF _Ref290802137 \h </w:instrText>
      </w:r>
      <w:r w:rsidRPr="009A6B3C">
        <w:rPr>
          <w:sz w:val="20"/>
          <w:szCs w:val="20"/>
        </w:rPr>
      </w:r>
      <w:r w:rsidRPr="009A6B3C">
        <w:rPr>
          <w:sz w:val="20"/>
          <w:szCs w:val="20"/>
        </w:rPr>
        <w:fldChar w:fldCharType="separate"/>
      </w:r>
      <w:r>
        <w:rPr>
          <w:sz w:val="20"/>
          <w:szCs w:val="20"/>
        </w:rPr>
        <w:t>10</w:t>
      </w:r>
      <w:r w:rsidRPr="009A6B3C">
        <w:rPr>
          <w:sz w:val="20"/>
          <w:szCs w:val="20"/>
        </w:rPr>
        <w:fldChar w:fldCharType="end"/>
      </w:r>
      <w:r w:rsidRPr="009A6B3C">
        <w:rPr>
          <w:sz w:val="20"/>
          <w:szCs w:val="20"/>
        </w:rPr>
        <w:t xml:space="preserve">, </w:t>
      </w:r>
      <w:r w:rsidRPr="00027A6F">
        <w:rPr>
          <w:sz w:val="20"/>
          <w:szCs w:val="20"/>
        </w:rPr>
        <w:t>at</w:t>
      </w:r>
      <w:r>
        <w:rPr>
          <w:smallCaps/>
          <w:sz w:val="20"/>
          <w:szCs w:val="20"/>
        </w:rPr>
        <w:t xml:space="preserve"> </w:t>
      </w:r>
      <w:r w:rsidRPr="00742B66">
        <w:rPr>
          <w:smallCaps/>
          <w:sz w:val="20"/>
          <w:szCs w:val="20"/>
        </w:rPr>
        <w:t>201</w:t>
      </w:r>
      <w:r w:rsidRPr="00742B66">
        <w:rPr>
          <w:i/>
          <w:sz w:val="20"/>
          <w:szCs w:val="20"/>
        </w:rPr>
        <w:t xml:space="preserve"> </w:t>
      </w:r>
      <w:r w:rsidRPr="00742B66">
        <w:rPr>
          <w:sz w:val="20"/>
          <w:szCs w:val="20"/>
        </w:rPr>
        <w:t>(noting that white people, regardless of class, united in opposition to the education of the black child and the freeman’s vote to prevent black equality form becoming reality)</w:t>
      </w:r>
      <w:r>
        <w:rPr>
          <w:sz w:val="20"/>
          <w:szCs w:val="20"/>
        </w:rPr>
        <w:t xml:space="preserve">. Against this backdrop, Justice Marshall, dissenting in </w:t>
      </w:r>
      <w:r>
        <w:rPr>
          <w:i/>
          <w:sz w:val="20"/>
          <w:szCs w:val="20"/>
        </w:rPr>
        <w:t>Rodriguez</w:t>
      </w:r>
      <w:r>
        <w:rPr>
          <w:sz w:val="20"/>
          <w:szCs w:val="20"/>
        </w:rPr>
        <w:t xml:space="preserve">, recognized the convergence of civil, political, and social rights as mutually reinforcing of bedrock principles of the reconstructed Constitution. </w:t>
      </w:r>
      <w:r>
        <w:rPr>
          <w:i/>
          <w:sz w:val="20"/>
          <w:szCs w:val="20"/>
        </w:rPr>
        <w:t>See</w:t>
      </w:r>
      <w:r w:rsidRPr="00742B66">
        <w:rPr>
          <w:sz w:val="20"/>
          <w:szCs w:val="20"/>
        </w:rPr>
        <w:t xml:space="preserve"> </w:t>
      </w:r>
      <w:r w:rsidRPr="00742B66">
        <w:rPr>
          <w:iCs/>
          <w:sz w:val="20"/>
          <w:szCs w:val="20"/>
        </w:rPr>
        <w:t xml:space="preserve">San Antonio </w:t>
      </w:r>
      <w:proofErr w:type="spellStart"/>
      <w:r w:rsidRPr="00742B66">
        <w:rPr>
          <w:iCs/>
          <w:sz w:val="20"/>
          <w:szCs w:val="20"/>
        </w:rPr>
        <w:t>Indep</w:t>
      </w:r>
      <w:proofErr w:type="spellEnd"/>
      <w:r w:rsidRPr="00742B66">
        <w:rPr>
          <w:iCs/>
          <w:sz w:val="20"/>
          <w:szCs w:val="20"/>
        </w:rPr>
        <w:t>. Sch. Dist. v. Rodriguez</w:t>
      </w:r>
      <w:r w:rsidRPr="00742B66">
        <w:rPr>
          <w:sz w:val="20"/>
          <w:szCs w:val="20"/>
        </w:rPr>
        <w:t xml:space="preserve">, 411 U.S. 1, 102-03 (1973) (Marshall, J., dissenting) (“As the nexus between the specific constitutional guarantee and the </w:t>
      </w:r>
      <w:proofErr w:type="spellStart"/>
      <w:r w:rsidRPr="00742B66">
        <w:rPr>
          <w:sz w:val="20"/>
          <w:szCs w:val="20"/>
        </w:rPr>
        <w:t>nonconstitutional</w:t>
      </w:r>
      <w:proofErr w:type="spellEnd"/>
      <w:r w:rsidRPr="00742B66">
        <w:rPr>
          <w:sz w:val="20"/>
          <w:szCs w:val="20"/>
        </w:rPr>
        <w:t xml:space="preserve"> interest draws closer, the </w:t>
      </w:r>
      <w:proofErr w:type="spellStart"/>
      <w:r w:rsidRPr="00742B66">
        <w:rPr>
          <w:sz w:val="20"/>
          <w:szCs w:val="20"/>
        </w:rPr>
        <w:t>nonconstitutional</w:t>
      </w:r>
      <w:proofErr w:type="spellEnd"/>
      <w:r w:rsidRPr="00742B66">
        <w:rPr>
          <w:sz w:val="20"/>
          <w:szCs w:val="20"/>
        </w:rPr>
        <w:t xml:space="preserve"> interest becomes more fundamental and the degree of judicial scrutiny applied when the interest is infringed on a discriminatory basis must be adjusted accordingly.).</w:t>
      </w:r>
    </w:p>
  </w:footnote>
  <w:footnote w:id="162">
    <w:p w14:paraId="24C52898"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Cf.</w:t>
      </w:r>
      <w:r w:rsidRPr="00742B66">
        <w:rPr>
          <w:sz w:val="20"/>
          <w:szCs w:val="20"/>
        </w:rPr>
        <w:t xml:space="preserve"> </w:t>
      </w:r>
      <w:r w:rsidRPr="00742B66">
        <w:rPr>
          <w:i/>
          <w:sz w:val="20"/>
          <w:szCs w:val="20"/>
        </w:rPr>
        <w:t xml:space="preserve">The </w:t>
      </w:r>
      <w:r w:rsidRPr="00742B66">
        <w:rPr>
          <w:i/>
          <w:iCs/>
          <w:sz w:val="20"/>
          <w:szCs w:val="20"/>
        </w:rPr>
        <w:t>Civil Rights Cases</w:t>
      </w:r>
      <w:r w:rsidRPr="00742B66">
        <w:rPr>
          <w:sz w:val="20"/>
          <w:szCs w:val="20"/>
        </w:rPr>
        <w:t xml:space="preserve">, 109 U.S. 3, 61 (1883) (Harlan, J., dissenting) (“The difficulty has been to compel a recognition of the legal right of the black race to take that rank of citizens, and to secure the enjoyment of privileges belonging, under the law, to them . . </w:t>
      </w:r>
      <w:proofErr w:type="gramStart"/>
      <w:r w:rsidRPr="00742B66">
        <w:rPr>
          <w:sz w:val="20"/>
          <w:szCs w:val="20"/>
        </w:rPr>
        <w:t>. .</w:t>
      </w:r>
      <w:proofErr w:type="gramEnd"/>
      <w:r w:rsidRPr="00742B66">
        <w:rPr>
          <w:sz w:val="20"/>
          <w:szCs w:val="20"/>
        </w:rPr>
        <w:t>”).</w:t>
      </w:r>
    </w:p>
  </w:footnote>
  <w:footnote w:id="163">
    <w:p w14:paraId="3AB3265C"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R</w:t>
      </w:r>
      <w:r w:rsidRPr="00742B66">
        <w:rPr>
          <w:smallCaps/>
          <w:sz w:val="20"/>
          <w:szCs w:val="20"/>
        </w:rPr>
        <w:t>ichard R. Wright, A Brief Historical Sketch of Negro Education in Georgia</w:t>
      </w:r>
      <w:r w:rsidRPr="00742B66">
        <w:rPr>
          <w:sz w:val="20"/>
          <w:szCs w:val="20"/>
        </w:rPr>
        <w:t xml:space="preserve"> 16 (Savannah, Ga., 1894) (“Considered by many as property illegally taken from those among whom his lot was to be cas</w:t>
      </w:r>
      <w:r>
        <w:rPr>
          <w:sz w:val="20"/>
          <w:szCs w:val="20"/>
        </w:rPr>
        <w:t>t</w:t>
      </w:r>
      <w:r w:rsidRPr="00742B66">
        <w:rPr>
          <w:sz w:val="20"/>
          <w:szCs w:val="20"/>
        </w:rPr>
        <w:t xml:space="preserve"> hereafter as a citizen, he was looked upon as an intruder in the body politic.”); </w:t>
      </w:r>
      <w:proofErr w:type="spellStart"/>
      <w:r w:rsidRPr="00742B66">
        <w:rPr>
          <w:smallCaps/>
          <w:sz w:val="20"/>
          <w:szCs w:val="20"/>
        </w:rPr>
        <w:t>Butchart</w:t>
      </w:r>
      <w:proofErr w:type="spellEnd"/>
      <w:r w:rsidRPr="00742B66">
        <w:rPr>
          <w:smallCaps/>
          <w:sz w:val="20"/>
          <w:szCs w:val="20"/>
        </w:rPr>
        <w:t>,</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_Ref291515864 \h </w:instrText>
      </w:r>
      <w:r w:rsidRPr="00742B66">
        <w:rPr>
          <w:sz w:val="20"/>
          <w:szCs w:val="20"/>
        </w:rPr>
      </w:r>
      <w:r w:rsidRPr="00742B66">
        <w:rPr>
          <w:sz w:val="20"/>
          <w:szCs w:val="20"/>
        </w:rPr>
        <w:fldChar w:fldCharType="separate"/>
      </w:r>
      <w:r>
        <w:rPr>
          <w:sz w:val="20"/>
          <w:szCs w:val="20"/>
        </w:rPr>
        <w:t>48</w:t>
      </w:r>
      <w:r w:rsidRPr="00742B66">
        <w:rPr>
          <w:sz w:val="20"/>
          <w:szCs w:val="20"/>
        </w:rPr>
        <w:fldChar w:fldCharType="end"/>
      </w:r>
      <w:r w:rsidRPr="00742B66">
        <w:rPr>
          <w:sz w:val="20"/>
          <w:szCs w:val="20"/>
        </w:rPr>
        <w:t>, at 177 (noting the stubborn southern worldview and its vehement opposition to “Negro Rule.”).</w:t>
      </w:r>
    </w:p>
  </w:footnote>
  <w:footnote w:id="164">
    <w:p w14:paraId="05D37AC8" w14:textId="77777777" w:rsidR="00E667D7" w:rsidRPr="00CA6897"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Wright, </w:t>
      </w:r>
      <w:r w:rsidRPr="00CA6897">
        <w:rPr>
          <w:i/>
          <w:sz w:val="20"/>
          <w:szCs w:val="20"/>
        </w:rPr>
        <w:t xml:space="preserve">supra </w:t>
      </w:r>
      <w:r w:rsidRPr="00CA6897">
        <w:rPr>
          <w:sz w:val="20"/>
          <w:szCs w:val="20"/>
        </w:rPr>
        <w:t xml:space="preserve">note </w:t>
      </w:r>
      <w:r w:rsidRPr="00CA6897">
        <w:rPr>
          <w:sz w:val="20"/>
          <w:szCs w:val="20"/>
        </w:rPr>
        <w:fldChar w:fldCharType="begin"/>
      </w:r>
      <w:r w:rsidRPr="00CA6897">
        <w:rPr>
          <w:sz w:val="20"/>
          <w:szCs w:val="20"/>
        </w:rPr>
        <w:instrText xml:space="preserve"> NOTEREF _Ref291717170 \h </w:instrText>
      </w:r>
      <w:r w:rsidRPr="00CA6897">
        <w:rPr>
          <w:sz w:val="20"/>
          <w:szCs w:val="20"/>
        </w:rPr>
      </w:r>
      <w:r w:rsidRPr="00CA6897">
        <w:rPr>
          <w:sz w:val="20"/>
          <w:szCs w:val="20"/>
        </w:rPr>
        <w:fldChar w:fldCharType="separate"/>
      </w:r>
      <w:r>
        <w:rPr>
          <w:sz w:val="20"/>
          <w:szCs w:val="20"/>
        </w:rPr>
        <w:t>163</w:t>
      </w:r>
      <w:r w:rsidRPr="00CA6897">
        <w:rPr>
          <w:sz w:val="20"/>
          <w:szCs w:val="20"/>
        </w:rPr>
        <w:fldChar w:fldCharType="end"/>
      </w:r>
      <w:r w:rsidRPr="00CA6897">
        <w:rPr>
          <w:sz w:val="20"/>
          <w:szCs w:val="20"/>
        </w:rPr>
        <w:t>, at 16.</w:t>
      </w:r>
    </w:p>
  </w:footnote>
  <w:footnote w:id="165">
    <w:p w14:paraId="1D19F897"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C.T. Wright, The Development of Education for Blacks in Georgia, 1865–1900, at 71 (1977) (unpublished Ph.D., Boston University) (on file with the author).</w:t>
      </w:r>
    </w:p>
  </w:footnote>
  <w:footnote w:id="166">
    <w:p w14:paraId="08627999"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Wright, </w:t>
      </w:r>
      <w:r w:rsidRPr="00CA6897">
        <w:rPr>
          <w:i/>
          <w:sz w:val="20"/>
          <w:szCs w:val="20"/>
        </w:rPr>
        <w:t xml:space="preserve">supra </w:t>
      </w:r>
      <w:r w:rsidRPr="00CA6897">
        <w:rPr>
          <w:sz w:val="20"/>
          <w:szCs w:val="20"/>
        </w:rPr>
        <w:t xml:space="preserve">note </w:t>
      </w:r>
      <w:r w:rsidRPr="00CA6897">
        <w:rPr>
          <w:sz w:val="20"/>
          <w:szCs w:val="20"/>
        </w:rPr>
        <w:fldChar w:fldCharType="begin"/>
      </w:r>
      <w:r w:rsidRPr="00CA6897">
        <w:rPr>
          <w:sz w:val="20"/>
          <w:szCs w:val="20"/>
        </w:rPr>
        <w:instrText xml:space="preserve"> NOTEREF _Ref291717170 \h </w:instrText>
      </w:r>
      <w:r w:rsidRPr="00CA6897">
        <w:rPr>
          <w:sz w:val="20"/>
          <w:szCs w:val="20"/>
        </w:rPr>
      </w:r>
      <w:r w:rsidRPr="00CA6897">
        <w:rPr>
          <w:sz w:val="20"/>
          <w:szCs w:val="20"/>
        </w:rPr>
        <w:fldChar w:fldCharType="separate"/>
      </w:r>
      <w:r>
        <w:rPr>
          <w:sz w:val="20"/>
          <w:szCs w:val="20"/>
        </w:rPr>
        <w:t>163</w:t>
      </w:r>
      <w:r w:rsidRPr="00CA6897">
        <w:rPr>
          <w:sz w:val="20"/>
          <w:szCs w:val="20"/>
        </w:rPr>
        <w:fldChar w:fldCharType="end"/>
      </w:r>
      <w:r w:rsidRPr="00CA6897">
        <w:rPr>
          <w:sz w:val="20"/>
          <w:szCs w:val="20"/>
        </w:rPr>
        <w:t xml:space="preserve">, </w:t>
      </w:r>
      <w:r>
        <w:rPr>
          <w:sz w:val="20"/>
          <w:szCs w:val="20"/>
        </w:rPr>
        <w:t xml:space="preserve">at </w:t>
      </w:r>
      <w:r w:rsidRPr="00742B66">
        <w:rPr>
          <w:sz w:val="20"/>
          <w:szCs w:val="20"/>
        </w:rPr>
        <w:t>18.</w:t>
      </w:r>
    </w:p>
  </w:footnote>
  <w:footnote w:id="167">
    <w:p w14:paraId="44DF93A9"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C.T. Wright, The Development of Education for Blacks in Georgia, 1865–1900, at 71 (1977) (unpublished Ph.D., Boston University) (on file with the author). The Savanna Educational Association was also known as the Georgia Educational Association. </w:t>
      </w:r>
      <w:r w:rsidRPr="00742B66">
        <w:rPr>
          <w:smallCaps/>
          <w:sz w:val="20"/>
          <w:szCs w:val="20"/>
        </w:rPr>
        <w:t xml:space="preserve">Anderson,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z w:val="20"/>
          <w:szCs w:val="20"/>
        </w:rPr>
        <w:t>, at</w:t>
      </w:r>
      <w:r>
        <w:rPr>
          <w:smallCaps/>
          <w:sz w:val="20"/>
          <w:szCs w:val="20"/>
        </w:rPr>
        <w:t xml:space="preserve"> 11</w:t>
      </w:r>
      <w:r w:rsidRPr="00742B66">
        <w:rPr>
          <w:smallCaps/>
          <w:sz w:val="20"/>
          <w:szCs w:val="20"/>
        </w:rPr>
        <w:t xml:space="preserve">. </w:t>
      </w:r>
    </w:p>
  </w:footnote>
  <w:footnote w:id="168">
    <w:p w14:paraId="50309342"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Alvord, Fifth Semi-Annual Report </w:t>
      </w:r>
      <w:r w:rsidRPr="00742B66">
        <w:rPr>
          <w:i/>
          <w:sz w:val="20"/>
          <w:szCs w:val="20"/>
        </w:rPr>
        <w:t>supra</w:t>
      </w:r>
      <w:r w:rsidRPr="00742B66">
        <w:rPr>
          <w:sz w:val="20"/>
          <w:szCs w:val="20"/>
        </w:rPr>
        <w:t xml:space="preserve"> </w:t>
      </w:r>
      <w:proofErr w:type="gramStart"/>
      <w:r w:rsidRPr="00742B66">
        <w:rPr>
          <w:sz w:val="20"/>
          <w:szCs w:val="20"/>
        </w:rPr>
        <w:t>note</w:t>
      </w:r>
      <w:proofErr w:type="gramEnd"/>
      <w:r w:rsidRPr="00742B66">
        <w:rPr>
          <w:sz w:val="20"/>
          <w:szCs w:val="20"/>
        </w:rPr>
        <w:t xml:space="preserve"> </w:t>
      </w:r>
      <w:r w:rsidRPr="00742B66">
        <w:rPr>
          <w:sz w:val="20"/>
          <w:szCs w:val="20"/>
        </w:rPr>
        <w:fldChar w:fldCharType="begin"/>
      </w:r>
      <w:r w:rsidRPr="00742B66">
        <w:rPr>
          <w:sz w:val="20"/>
          <w:szCs w:val="20"/>
        </w:rPr>
        <w:instrText xml:space="preserve"> NOTEREF _Ref291708156 \h </w:instrText>
      </w:r>
      <w:r w:rsidRPr="00742B66">
        <w:rPr>
          <w:sz w:val="20"/>
          <w:szCs w:val="20"/>
        </w:rPr>
      </w:r>
      <w:r w:rsidRPr="00742B66">
        <w:rPr>
          <w:sz w:val="20"/>
          <w:szCs w:val="20"/>
        </w:rPr>
        <w:fldChar w:fldCharType="separate"/>
      </w:r>
      <w:r>
        <w:rPr>
          <w:sz w:val="20"/>
          <w:szCs w:val="20"/>
        </w:rPr>
        <w:t>155</w:t>
      </w:r>
      <w:r w:rsidRPr="00742B66">
        <w:rPr>
          <w:sz w:val="20"/>
          <w:szCs w:val="20"/>
        </w:rPr>
        <w:fldChar w:fldCharType="end"/>
      </w:r>
      <w:r w:rsidRPr="00742B66">
        <w:rPr>
          <w:sz w:val="20"/>
          <w:szCs w:val="20"/>
        </w:rPr>
        <w:t>, at 28.</w:t>
      </w:r>
    </w:p>
  </w:footnote>
  <w:footnote w:id="169">
    <w:p w14:paraId="728E3526"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Anderson,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z w:val="20"/>
          <w:szCs w:val="20"/>
        </w:rPr>
        <w:t>, at</w:t>
      </w:r>
      <w:r>
        <w:rPr>
          <w:smallCaps/>
          <w:sz w:val="20"/>
          <w:szCs w:val="20"/>
        </w:rPr>
        <w:t xml:space="preserve"> 11</w:t>
      </w:r>
      <w:r w:rsidRPr="00742B66">
        <w:rPr>
          <w:smallCaps/>
          <w:sz w:val="20"/>
          <w:szCs w:val="20"/>
        </w:rPr>
        <w:t xml:space="preserve">. </w:t>
      </w:r>
      <w:r w:rsidRPr="00742B66">
        <w:rPr>
          <w:sz w:val="20"/>
          <w:szCs w:val="20"/>
        </w:rPr>
        <w:t>In autumn of 1866, the Association financed entirely or in part</w:t>
      </w:r>
      <w:r>
        <w:rPr>
          <w:sz w:val="20"/>
          <w:szCs w:val="20"/>
        </w:rPr>
        <w:t>,</w:t>
      </w:r>
      <w:r w:rsidRPr="00742B66">
        <w:rPr>
          <w:sz w:val="20"/>
          <w:szCs w:val="20"/>
        </w:rPr>
        <w:t xml:space="preserve"> 96 of the </w:t>
      </w:r>
      <w:proofErr w:type="gramStart"/>
      <w:r w:rsidRPr="00742B66">
        <w:rPr>
          <w:sz w:val="20"/>
          <w:szCs w:val="20"/>
        </w:rPr>
        <w:t>123 day</w:t>
      </w:r>
      <w:proofErr w:type="gramEnd"/>
      <w:r w:rsidRPr="00742B66">
        <w:rPr>
          <w:sz w:val="20"/>
          <w:szCs w:val="20"/>
        </w:rPr>
        <w:t xml:space="preserve"> </w:t>
      </w:r>
      <w:r>
        <w:rPr>
          <w:sz w:val="20"/>
          <w:szCs w:val="20"/>
        </w:rPr>
        <w:t xml:space="preserve">schools </w:t>
      </w:r>
      <w:r w:rsidRPr="00742B66">
        <w:rPr>
          <w:sz w:val="20"/>
          <w:szCs w:val="20"/>
        </w:rPr>
        <w:t xml:space="preserve">(for children) and evening schools (for adults) and owned outright 57 of the school buildings. </w:t>
      </w:r>
      <w:r w:rsidRPr="00742B66">
        <w:rPr>
          <w:i/>
          <w:sz w:val="20"/>
          <w:szCs w:val="20"/>
        </w:rPr>
        <w:t>Id.</w:t>
      </w:r>
    </w:p>
  </w:footnote>
  <w:footnote w:id="170">
    <w:p w14:paraId="5499DB67"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Alvord, Fifth Semi-Annual Report </w:t>
      </w:r>
      <w:r w:rsidRPr="00742B66">
        <w:rPr>
          <w:i/>
          <w:sz w:val="20"/>
          <w:szCs w:val="20"/>
        </w:rPr>
        <w:t>supra</w:t>
      </w:r>
      <w:r w:rsidRPr="00742B66">
        <w:rPr>
          <w:sz w:val="20"/>
          <w:szCs w:val="20"/>
        </w:rPr>
        <w:t xml:space="preserve"> </w:t>
      </w:r>
      <w:proofErr w:type="gramStart"/>
      <w:r w:rsidRPr="00742B66">
        <w:rPr>
          <w:sz w:val="20"/>
          <w:szCs w:val="20"/>
        </w:rPr>
        <w:t>note</w:t>
      </w:r>
      <w:proofErr w:type="gramEnd"/>
      <w:r w:rsidRPr="00742B66">
        <w:rPr>
          <w:sz w:val="20"/>
          <w:szCs w:val="20"/>
        </w:rPr>
        <w:t xml:space="preserve"> </w:t>
      </w:r>
      <w:r w:rsidRPr="00742B66">
        <w:rPr>
          <w:sz w:val="20"/>
          <w:szCs w:val="20"/>
        </w:rPr>
        <w:fldChar w:fldCharType="begin"/>
      </w:r>
      <w:r w:rsidRPr="00742B66">
        <w:rPr>
          <w:sz w:val="20"/>
          <w:szCs w:val="20"/>
        </w:rPr>
        <w:instrText xml:space="preserve"> NOTEREF _Ref291708156 \h </w:instrText>
      </w:r>
      <w:r w:rsidRPr="00742B66">
        <w:rPr>
          <w:sz w:val="20"/>
          <w:szCs w:val="20"/>
        </w:rPr>
      </w:r>
      <w:r w:rsidRPr="00742B66">
        <w:rPr>
          <w:sz w:val="20"/>
          <w:szCs w:val="20"/>
        </w:rPr>
        <w:fldChar w:fldCharType="separate"/>
      </w:r>
      <w:r>
        <w:rPr>
          <w:sz w:val="20"/>
          <w:szCs w:val="20"/>
        </w:rPr>
        <w:t>155</w:t>
      </w:r>
      <w:r w:rsidRPr="00742B66">
        <w:rPr>
          <w:sz w:val="20"/>
          <w:szCs w:val="20"/>
        </w:rPr>
        <w:fldChar w:fldCharType="end"/>
      </w:r>
      <w:r w:rsidRPr="00742B66">
        <w:rPr>
          <w:sz w:val="20"/>
          <w:szCs w:val="20"/>
        </w:rPr>
        <w:t>, at 28.</w:t>
      </w:r>
    </w:p>
  </w:footnote>
  <w:footnote w:id="171">
    <w:p w14:paraId="2D82EE23"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Anderson,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z w:val="20"/>
          <w:szCs w:val="20"/>
        </w:rPr>
        <w:t>, at</w:t>
      </w:r>
      <w:r>
        <w:rPr>
          <w:smallCaps/>
          <w:sz w:val="20"/>
          <w:szCs w:val="20"/>
        </w:rPr>
        <w:t xml:space="preserve"> 12</w:t>
      </w:r>
      <w:r w:rsidRPr="00742B66">
        <w:rPr>
          <w:smallCaps/>
          <w:sz w:val="20"/>
          <w:szCs w:val="20"/>
        </w:rPr>
        <w:t>.</w:t>
      </w:r>
    </w:p>
  </w:footnote>
  <w:footnote w:id="172">
    <w:p w14:paraId="12F687E3"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Wright, </w:t>
      </w:r>
      <w:r w:rsidRPr="00CA6897">
        <w:rPr>
          <w:i/>
          <w:sz w:val="20"/>
          <w:szCs w:val="20"/>
        </w:rPr>
        <w:t xml:space="preserve">supra </w:t>
      </w:r>
      <w:r w:rsidRPr="00CA6897">
        <w:rPr>
          <w:sz w:val="20"/>
          <w:szCs w:val="20"/>
        </w:rPr>
        <w:t xml:space="preserve">note </w:t>
      </w:r>
      <w:r w:rsidRPr="00CA6897">
        <w:rPr>
          <w:sz w:val="20"/>
          <w:szCs w:val="20"/>
        </w:rPr>
        <w:fldChar w:fldCharType="begin"/>
      </w:r>
      <w:r w:rsidRPr="00CA6897">
        <w:rPr>
          <w:sz w:val="20"/>
          <w:szCs w:val="20"/>
        </w:rPr>
        <w:instrText xml:space="preserve"> NOTEREF _Ref291717170 \h </w:instrText>
      </w:r>
      <w:r w:rsidRPr="00CA6897">
        <w:rPr>
          <w:sz w:val="20"/>
          <w:szCs w:val="20"/>
        </w:rPr>
      </w:r>
      <w:r w:rsidRPr="00CA6897">
        <w:rPr>
          <w:sz w:val="20"/>
          <w:szCs w:val="20"/>
        </w:rPr>
        <w:fldChar w:fldCharType="separate"/>
      </w:r>
      <w:r>
        <w:rPr>
          <w:sz w:val="20"/>
          <w:szCs w:val="20"/>
        </w:rPr>
        <w:t>163</w:t>
      </w:r>
      <w:r w:rsidRPr="00CA6897">
        <w:rPr>
          <w:sz w:val="20"/>
          <w:szCs w:val="20"/>
        </w:rPr>
        <w:fldChar w:fldCharType="end"/>
      </w:r>
      <w:r w:rsidRPr="00CA6897">
        <w:rPr>
          <w:sz w:val="20"/>
          <w:szCs w:val="20"/>
        </w:rPr>
        <w:t xml:space="preserve">, </w:t>
      </w:r>
      <w:r>
        <w:rPr>
          <w:sz w:val="20"/>
          <w:szCs w:val="20"/>
        </w:rPr>
        <w:t xml:space="preserve">at </w:t>
      </w:r>
      <w:r w:rsidRPr="00742B66">
        <w:rPr>
          <w:sz w:val="20"/>
          <w:szCs w:val="20"/>
        </w:rPr>
        <w:t>18.</w:t>
      </w:r>
    </w:p>
  </w:footnote>
  <w:footnote w:id="173">
    <w:p w14:paraId="16C7DAC5"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Reconstruction Acts, </w:t>
      </w:r>
      <w:proofErr w:type="spellStart"/>
      <w:r w:rsidRPr="00742B66">
        <w:rPr>
          <w:sz w:val="20"/>
          <w:szCs w:val="20"/>
        </w:rPr>
        <w:t>ch.</w:t>
      </w:r>
      <w:proofErr w:type="spellEnd"/>
      <w:r w:rsidRPr="00742B66">
        <w:rPr>
          <w:sz w:val="20"/>
          <w:szCs w:val="20"/>
        </w:rPr>
        <w:t xml:space="preserve"> 152, sec. 5, 14 Stat. 428, 429 (Mar. 2, 1867); </w:t>
      </w:r>
      <w:r w:rsidRPr="00742B66">
        <w:rPr>
          <w:i/>
          <w:sz w:val="20"/>
          <w:szCs w:val="20"/>
        </w:rPr>
        <w:t>see also</w:t>
      </w:r>
      <w:r w:rsidRPr="00742B66">
        <w:rPr>
          <w:sz w:val="20"/>
          <w:szCs w:val="20"/>
        </w:rPr>
        <w:t xml:space="preserve"> </w:t>
      </w:r>
      <w:proofErr w:type="spellStart"/>
      <w:r w:rsidRPr="00742B66">
        <w:rPr>
          <w:sz w:val="20"/>
          <w:szCs w:val="20"/>
        </w:rPr>
        <w:t>ch.</w:t>
      </w:r>
      <w:proofErr w:type="spellEnd"/>
      <w:r w:rsidRPr="00742B66">
        <w:rPr>
          <w:sz w:val="20"/>
          <w:szCs w:val="20"/>
        </w:rPr>
        <w:t xml:space="preserve"> 6, 15 Stat. 2 (Mar. 23, 1867); </w:t>
      </w:r>
      <w:proofErr w:type="spellStart"/>
      <w:r w:rsidRPr="00742B66">
        <w:rPr>
          <w:sz w:val="20"/>
          <w:szCs w:val="20"/>
        </w:rPr>
        <w:t>ch.</w:t>
      </w:r>
      <w:proofErr w:type="spellEnd"/>
      <w:r w:rsidRPr="00742B66">
        <w:rPr>
          <w:sz w:val="20"/>
          <w:szCs w:val="20"/>
        </w:rPr>
        <w:t xml:space="preserve"> 30, 15 Stat. 14 (July 19, 1867); </w:t>
      </w:r>
      <w:proofErr w:type="spellStart"/>
      <w:r w:rsidRPr="00742B66">
        <w:rPr>
          <w:sz w:val="20"/>
          <w:szCs w:val="20"/>
        </w:rPr>
        <w:t>ch.</w:t>
      </w:r>
      <w:proofErr w:type="spellEnd"/>
      <w:r w:rsidRPr="00742B66">
        <w:rPr>
          <w:sz w:val="20"/>
          <w:szCs w:val="20"/>
        </w:rPr>
        <w:t xml:space="preserve"> 25, 15 Stat. 41 (Mar. 11, 1968); </w:t>
      </w:r>
      <w:proofErr w:type="spellStart"/>
      <w:r w:rsidRPr="00742B66">
        <w:rPr>
          <w:sz w:val="20"/>
          <w:szCs w:val="20"/>
        </w:rPr>
        <w:t>ch.</w:t>
      </w:r>
      <w:proofErr w:type="spellEnd"/>
      <w:r w:rsidRPr="00742B66">
        <w:rPr>
          <w:sz w:val="20"/>
          <w:szCs w:val="20"/>
        </w:rPr>
        <w:t xml:space="preserve"> 3, 16 Stat. 59 (Dec. 22, 1869). The Enforcement Acts, while mainly aimed at the waxing influence of the Ku Klux Klan, further protected the enfranchisement of the </w:t>
      </w:r>
      <w:proofErr w:type="spellStart"/>
      <w:r w:rsidRPr="00742B66">
        <w:rPr>
          <w:sz w:val="20"/>
          <w:szCs w:val="20"/>
        </w:rPr>
        <w:t>Freepeople</w:t>
      </w:r>
      <w:proofErr w:type="spellEnd"/>
      <w:r w:rsidRPr="00742B66">
        <w:rPr>
          <w:sz w:val="20"/>
          <w:szCs w:val="20"/>
        </w:rPr>
        <w:t xml:space="preserve"> by providing for criminal liability for any person, who “by force, bribery, threats, intimidation, or other unlawful means,” deprives a person of their ability to vote. </w:t>
      </w:r>
      <w:proofErr w:type="gramStart"/>
      <w:r w:rsidRPr="00742B66">
        <w:rPr>
          <w:sz w:val="20"/>
          <w:szCs w:val="20"/>
        </w:rPr>
        <w:t xml:space="preserve">Enforcement Act of 1870, </w:t>
      </w:r>
      <w:proofErr w:type="spellStart"/>
      <w:r w:rsidRPr="00742B66">
        <w:rPr>
          <w:sz w:val="20"/>
          <w:szCs w:val="20"/>
        </w:rPr>
        <w:t>ch.</w:t>
      </w:r>
      <w:proofErr w:type="spellEnd"/>
      <w:r w:rsidRPr="00742B66">
        <w:rPr>
          <w:sz w:val="20"/>
          <w:szCs w:val="20"/>
        </w:rPr>
        <w:t xml:space="preserve"> 114, sec. 4, 16 Stat. 140; </w:t>
      </w:r>
      <w:r w:rsidRPr="00742B66">
        <w:rPr>
          <w:i/>
          <w:sz w:val="20"/>
          <w:szCs w:val="20"/>
        </w:rPr>
        <w:t>see also</w:t>
      </w:r>
      <w:r w:rsidRPr="00742B66">
        <w:rPr>
          <w:sz w:val="20"/>
          <w:szCs w:val="20"/>
        </w:rPr>
        <w:t xml:space="preserve"> Enforcement Act of 1871, </w:t>
      </w:r>
      <w:proofErr w:type="spellStart"/>
      <w:r w:rsidRPr="00742B66">
        <w:rPr>
          <w:sz w:val="20"/>
          <w:szCs w:val="20"/>
        </w:rPr>
        <w:t>ch.</w:t>
      </w:r>
      <w:proofErr w:type="spellEnd"/>
      <w:r w:rsidRPr="00742B66">
        <w:rPr>
          <w:sz w:val="20"/>
          <w:szCs w:val="20"/>
        </w:rPr>
        <w:t xml:space="preserve"> 99, 16 Stat. 433; Ku Klux Klan Act, </w:t>
      </w:r>
      <w:proofErr w:type="spellStart"/>
      <w:r w:rsidRPr="00742B66">
        <w:rPr>
          <w:sz w:val="20"/>
          <w:szCs w:val="20"/>
        </w:rPr>
        <w:t>ch.</w:t>
      </w:r>
      <w:proofErr w:type="spellEnd"/>
      <w:r w:rsidRPr="00742B66">
        <w:rPr>
          <w:sz w:val="20"/>
          <w:szCs w:val="20"/>
        </w:rPr>
        <w:t xml:space="preserve"> 22, 17 Stat. 13 (1871).</w:t>
      </w:r>
      <w:proofErr w:type="gramEnd"/>
      <w:r w:rsidRPr="00742B66">
        <w:rPr>
          <w:sz w:val="20"/>
          <w:szCs w:val="20"/>
        </w:rPr>
        <w:t xml:space="preserve"> </w:t>
      </w:r>
    </w:p>
  </w:footnote>
  <w:footnote w:id="174">
    <w:p w14:paraId="0C20801A"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spellStart"/>
      <w:r w:rsidRPr="00742B66">
        <w:rPr>
          <w:smallCaps/>
          <w:sz w:val="20"/>
          <w:szCs w:val="20"/>
        </w:rPr>
        <w:t>Butchart</w:t>
      </w:r>
      <w:proofErr w:type="spellEnd"/>
      <w:r w:rsidRPr="00742B66">
        <w:rPr>
          <w:smallCaps/>
          <w:sz w:val="20"/>
          <w:szCs w:val="20"/>
        </w:rPr>
        <w:t>,</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_Ref291515864 \h </w:instrText>
      </w:r>
      <w:r w:rsidRPr="00742B66">
        <w:rPr>
          <w:sz w:val="20"/>
          <w:szCs w:val="20"/>
        </w:rPr>
      </w:r>
      <w:r w:rsidRPr="00742B66">
        <w:rPr>
          <w:sz w:val="20"/>
          <w:szCs w:val="20"/>
        </w:rPr>
        <w:fldChar w:fldCharType="separate"/>
      </w:r>
      <w:r>
        <w:rPr>
          <w:sz w:val="20"/>
          <w:szCs w:val="20"/>
        </w:rPr>
        <w:t>48</w:t>
      </w:r>
      <w:r w:rsidRPr="00742B66">
        <w:rPr>
          <w:sz w:val="20"/>
          <w:szCs w:val="20"/>
        </w:rPr>
        <w:fldChar w:fldCharType="end"/>
      </w:r>
      <w:r w:rsidRPr="00742B66">
        <w:rPr>
          <w:sz w:val="20"/>
          <w:szCs w:val="20"/>
        </w:rPr>
        <w:t xml:space="preserve">, at 154 (2010). Once in power, the Redeemers, unilaterally slashed state funding for public schools across black and white schools though maintained some semblance of public funding, thus honoring the letter of their promise, but they nearly dismantled the bureaucratic bodies created under Reconstruction to administer public education. </w:t>
      </w:r>
      <w:r w:rsidRPr="00742B66">
        <w:rPr>
          <w:i/>
          <w:sz w:val="20"/>
          <w:szCs w:val="20"/>
        </w:rPr>
        <w:t>Id.</w:t>
      </w:r>
      <w:r w:rsidRPr="00742B66">
        <w:rPr>
          <w:sz w:val="20"/>
          <w:szCs w:val="20"/>
        </w:rPr>
        <w:t xml:space="preserve"> Only after the birth of Jim Crow disfranchisement campaigns of the 1880s and 1890s did southern Legislatures devise means to tip the balance in favor of white schools. </w:t>
      </w:r>
      <w:r w:rsidRPr="00742B66">
        <w:rPr>
          <w:i/>
          <w:sz w:val="20"/>
          <w:szCs w:val="20"/>
        </w:rPr>
        <w:t>Id.</w:t>
      </w:r>
      <w:r w:rsidRPr="00742B66">
        <w:rPr>
          <w:sz w:val="20"/>
          <w:szCs w:val="20"/>
        </w:rPr>
        <w:t xml:space="preserve">; </w:t>
      </w:r>
      <w:r w:rsidRPr="00742B66">
        <w:rPr>
          <w:i/>
          <w:sz w:val="20"/>
          <w:szCs w:val="20"/>
        </w:rPr>
        <w:t>see also</w:t>
      </w:r>
      <w:r w:rsidRPr="00742B66">
        <w:rPr>
          <w:sz w:val="20"/>
          <w:szCs w:val="20"/>
        </w:rPr>
        <w:t xml:space="preserve"> </w:t>
      </w:r>
      <w:proofErr w:type="gramStart"/>
      <w:r w:rsidRPr="00742B66">
        <w:rPr>
          <w:smallCaps/>
          <w:sz w:val="20"/>
          <w:szCs w:val="20"/>
        </w:rPr>
        <w:t>Anderson,</w:t>
      </w:r>
      <w:proofErr w:type="gramEnd"/>
      <w:r w:rsidRPr="00742B66">
        <w:rPr>
          <w:smallCaps/>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z w:val="20"/>
          <w:szCs w:val="20"/>
        </w:rPr>
        <w:t>, at 23 (describing how planters, with state authority and extralegal mean</w:t>
      </w:r>
      <w:r>
        <w:rPr>
          <w:sz w:val="20"/>
          <w:szCs w:val="20"/>
        </w:rPr>
        <w:t>s</w:t>
      </w:r>
      <w:r w:rsidRPr="00742B66">
        <w:rPr>
          <w:sz w:val="20"/>
          <w:szCs w:val="20"/>
        </w:rPr>
        <w:t xml:space="preserve">, “though unable to eradicate earlier gains, kept universal schooling underdeveloped”). It is important to note, however, that the political difficulties of Reconstruction existed in the long shadow </w:t>
      </w:r>
      <w:r>
        <w:rPr>
          <w:sz w:val="20"/>
          <w:szCs w:val="20"/>
        </w:rPr>
        <w:t xml:space="preserve">of </w:t>
      </w:r>
      <w:r w:rsidRPr="00742B66">
        <w:rPr>
          <w:sz w:val="20"/>
          <w:szCs w:val="20"/>
        </w:rPr>
        <w:t>economic devastation in the South. With the Thirteenth Amendment, overnight the South lost one of its principal financial assets—slaves—and years of war had wiped out bank stocks and railroads in which school funds had been invested, at least with respect to areas that had publically funded education i</w:t>
      </w:r>
      <w:r>
        <w:rPr>
          <w:sz w:val="20"/>
          <w:szCs w:val="20"/>
        </w:rPr>
        <w:t xml:space="preserve">n the antebellum world. </w:t>
      </w:r>
      <w:r w:rsidRPr="00742B66">
        <w:rPr>
          <w:sz w:val="20"/>
          <w:szCs w:val="20"/>
        </w:rPr>
        <w:t xml:space="preserve">Liu, </w:t>
      </w:r>
      <w:r>
        <w:rPr>
          <w:i/>
          <w:sz w:val="20"/>
          <w:szCs w:val="20"/>
        </w:rPr>
        <w:t xml:space="preserve">supra </w:t>
      </w:r>
      <w:r>
        <w:rPr>
          <w:sz w:val="20"/>
          <w:szCs w:val="20"/>
        </w:rPr>
        <w:t xml:space="preserve">note </w:t>
      </w:r>
      <w:r>
        <w:rPr>
          <w:sz w:val="20"/>
          <w:szCs w:val="20"/>
        </w:rPr>
        <w:fldChar w:fldCharType="begin"/>
      </w:r>
      <w:r>
        <w:rPr>
          <w:sz w:val="20"/>
          <w:szCs w:val="20"/>
        </w:rPr>
        <w:instrText xml:space="preserve"> NOTEREF _Ref291716776 \h </w:instrText>
      </w:r>
      <w:r>
        <w:rPr>
          <w:sz w:val="20"/>
          <w:szCs w:val="20"/>
        </w:rPr>
      </w:r>
      <w:r>
        <w:rPr>
          <w:sz w:val="20"/>
          <w:szCs w:val="20"/>
        </w:rPr>
        <w:fldChar w:fldCharType="separate"/>
      </w:r>
      <w:r>
        <w:rPr>
          <w:sz w:val="20"/>
          <w:szCs w:val="20"/>
        </w:rPr>
        <w:t>116</w:t>
      </w:r>
      <w:r>
        <w:rPr>
          <w:sz w:val="20"/>
          <w:szCs w:val="20"/>
        </w:rPr>
        <w:fldChar w:fldCharType="end"/>
      </w:r>
      <w:r>
        <w:rPr>
          <w:sz w:val="20"/>
          <w:szCs w:val="20"/>
        </w:rPr>
        <w:t>, at 2056</w:t>
      </w:r>
      <w:r w:rsidRPr="00742B66">
        <w:rPr>
          <w:sz w:val="20"/>
          <w:szCs w:val="20"/>
        </w:rPr>
        <w:t xml:space="preserve">; </w:t>
      </w:r>
      <w:r w:rsidRPr="00742B66">
        <w:rPr>
          <w:i/>
          <w:sz w:val="20"/>
          <w:szCs w:val="20"/>
        </w:rPr>
        <w:t xml:space="preserve">see also </w:t>
      </w:r>
      <w:r w:rsidRPr="00742B66">
        <w:rPr>
          <w:smallCaps/>
          <w:sz w:val="20"/>
          <w:szCs w:val="20"/>
        </w:rPr>
        <w:t xml:space="preserve">Ellwood P. </w:t>
      </w:r>
      <w:proofErr w:type="spellStart"/>
      <w:r w:rsidRPr="00742B66">
        <w:rPr>
          <w:smallCaps/>
          <w:sz w:val="20"/>
          <w:szCs w:val="20"/>
        </w:rPr>
        <w:t>Cubberley</w:t>
      </w:r>
      <w:proofErr w:type="spellEnd"/>
      <w:r w:rsidRPr="00742B66">
        <w:rPr>
          <w:smallCaps/>
          <w:sz w:val="20"/>
          <w:szCs w:val="20"/>
        </w:rPr>
        <w:t>, Public Education in the United States: A Study and Interpretation of American Educational History</w:t>
      </w:r>
      <w:r w:rsidRPr="00742B66">
        <w:rPr>
          <w:sz w:val="20"/>
          <w:szCs w:val="20"/>
        </w:rPr>
        <w:t xml:space="preserve"> 97 (1934) (providing a comparative analysis of conditions in the south vis-à-vis the rest of country in 1900). While school finance is beyond the scope </w:t>
      </w:r>
      <w:r>
        <w:rPr>
          <w:sz w:val="20"/>
          <w:szCs w:val="20"/>
        </w:rPr>
        <w:t xml:space="preserve">of </w:t>
      </w:r>
      <w:r w:rsidRPr="00742B66">
        <w:rPr>
          <w:sz w:val="20"/>
          <w:szCs w:val="20"/>
        </w:rPr>
        <w:t xml:space="preserve">this essay, some data points are helpful to illustrate the point. Twenty years </w:t>
      </w:r>
      <w:r>
        <w:rPr>
          <w:sz w:val="20"/>
          <w:szCs w:val="20"/>
        </w:rPr>
        <w:t>a</w:t>
      </w:r>
      <w:r w:rsidRPr="00742B66">
        <w:rPr>
          <w:sz w:val="20"/>
          <w:szCs w:val="20"/>
        </w:rPr>
        <w:t>f</w:t>
      </w:r>
      <w:r>
        <w:rPr>
          <w:sz w:val="20"/>
          <w:szCs w:val="20"/>
        </w:rPr>
        <w:t>ter</w:t>
      </w:r>
      <w:r w:rsidRPr="00742B66">
        <w:rPr>
          <w:sz w:val="20"/>
          <w:szCs w:val="20"/>
        </w:rPr>
        <w:t xml:space="preserve"> the end of the Civil War, the comparative value of taxable property per student was stark, with Western states spending $3446, Northern states spending $3382, North Central states spending $1803, South Atlantic states spending $1037, and South Central states spending a mere $605. Liu, </w:t>
      </w:r>
      <w:r>
        <w:rPr>
          <w:i/>
          <w:sz w:val="20"/>
          <w:szCs w:val="20"/>
        </w:rPr>
        <w:t xml:space="preserve">supra </w:t>
      </w:r>
      <w:r>
        <w:rPr>
          <w:sz w:val="20"/>
          <w:szCs w:val="20"/>
        </w:rPr>
        <w:t xml:space="preserve">note </w:t>
      </w:r>
      <w:r>
        <w:rPr>
          <w:sz w:val="20"/>
          <w:szCs w:val="20"/>
        </w:rPr>
        <w:fldChar w:fldCharType="begin"/>
      </w:r>
      <w:r>
        <w:rPr>
          <w:sz w:val="20"/>
          <w:szCs w:val="20"/>
        </w:rPr>
        <w:instrText xml:space="preserve"> NOTEREF _Ref291716776 \h </w:instrText>
      </w:r>
      <w:r>
        <w:rPr>
          <w:sz w:val="20"/>
          <w:szCs w:val="20"/>
        </w:rPr>
      </w:r>
      <w:r>
        <w:rPr>
          <w:sz w:val="20"/>
          <w:szCs w:val="20"/>
        </w:rPr>
        <w:fldChar w:fldCharType="separate"/>
      </w:r>
      <w:r>
        <w:rPr>
          <w:sz w:val="20"/>
          <w:szCs w:val="20"/>
        </w:rPr>
        <w:t>116</w:t>
      </w:r>
      <w:r>
        <w:rPr>
          <w:sz w:val="20"/>
          <w:szCs w:val="20"/>
        </w:rPr>
        <w:fldChar w:fldCharType="end"/>
      </w:r>
      <w:r>
        <w:rPr>
          <w:sz w:val="20"/>
          <w:szCs w:val="20"/>
        </w:rPr>
        <w:t xml:space="preserve">, </w:t>
      </w:r>
      <w:r w:rsidRPr="00742B66">
        <w:rPr>
          <w:sz w:val="20"/>
          <w:szCs w:val="20"/>
        </w:rPr>
        <w:t xml:space="preserve">at 2056 (citing </w:t>
      </w:r>
      <w:r w:rsidRPr="003C6FB6">
        <w:rPr>
          <w:smallCaps/>
          <w:sz w:val="20"/>
          <w:szCs w:val="20"/>
        </w:rPr>
        <w:t>David Tyack et al., Law and the Shaping of Public Education</w:t>
      </w:r>
      <w:r w:rsidRPr="00742B66">
        <w:rPr>
          <w:sz w:val="20"/>
          <w:szCs w:val="20"/>
        </w:rPr>
        <w:t>, 1785–1957, at 60 tbl.2.3). “[</w:t>
      </w:r>
      <w:proofErr w:type="gramStart"/>
      <w:r w:rsidRPr="00742B66">
        <w:rPr>
          <w:sz w:val="20"/>
          <w:szCs w:val="20"/>
        </w:rPr>
        <w:t>T]he</w:t>
      </w:r>
      <w:proofErr w:type="gramEnd"/>
      <w:r w:rsidRPr="00742B66">
        <w:rPr>
          <w:sz w:val="20"/>
          <w:szCs w:val="20"/>
        </w:rPr>
        <w:t xml:space="preserve"> South was so poor, and with so many children in proportion to productive adults, that with the best of legal frameworks for schooling and without the curse of racial supremacy, it would still have lagged far behind the rest of the country.” </w:t>
      </w:r>
      <w:proofErr w:type="gramStart"/>
      <w:r w:rsidRPr="00742B66">
        <w:rPr>
          <w:i/>
          <w:sz w:val="20"/>
          <w:szCs w:val="20"/>
        </w:rPr>
        <w:t>Id.</w:t>
      </w:r>
      <w:r w:rsidRPr="00742B66">
        <w:rPr>
          <w:sz w:val="20"/>
          <w:szCs w:val="20"/>
        </w:rPr>
        <w:t xml:space="preserve"> at 2057 (internal quotation marks omitted).</w:t>
      </w:r>
      <w:proofErr w:type="gramEnd"/>
      <w:r w:rsidRPr="00742B66">
        <w:rPr>
          <w:sz w:val="20"/>
          <w:szCs w:val="20"/>
        </w:rPr>
        <w:t xml:space="preserve"> Regional disparities in tax capacity with respect to public education persist to the present day. </w:t>
      </w:r>
      <w:r w:rsidRPr="00742B66">
        <w:rPr>
          <w:i/>
          <w:sz w:val="20"/>
          <w:szCs w:val="20"/>
        </w:rPr>
        <w:t xml:space="preserve">See </w:t>
      </w:r>
      <w:proofErr w:type="gramStart"/>
      <w:r w:rsidRPr="00742B66">
        <w:rPr>
          <w:sz w:val="20"/>
          <w:szCs w:val="20"/>
        </w:rPr>
        <w:t>Liu,</w:t>
      </w:r>
      <w:proofErr w:type="gramEnd"/>
      <w:r w:rsidRPr="00742B66">
        <w:rPr>
          <w:sz w:val="20"/>
          <w:szCs w:val="20"/>
        </w:rPr>
        <w:t xml:space="preserve"> </w:t>
      </w:r>
      <w:r>
        <w:rPr>
          <w:i/>
          <w:sz w:val="20"/>
          <w:szCs w:val="20"/>
        </w:rPr>
        <w:t xml:space="preserve">supra </w:t>
      </w:r>
      <w:r>
        <w:rPr>
          <w:sz w:val="20"/>
          <w:szCs w:val="20"/>
        </w:rPr>
        <w:t xml:space="preserve">note </w:t>
      </w:r>
      <w:r>
        <w:rPr>
          <w:sz w:val="20"/>
          <w:szCs w:val="20"/>
        </w:rPr>
        <w:fldChar w:fldCharType="begin"/>
      </w:r>
      <w:r>
        <w:rPr>
          <w:sz w:val="20"/>
          <w:szCs w:val="20"/>
        </w:rPr>
        <w:instrText xml:space="preserve"> NOTEREF _Ref291716776 \h </w:instrText>
      </w:r>
      <w:r>
        <w:rPr>
          <w:sz w:val="20"/>
          <w:szCs w:val="20"/>
        </w:rPr>
      </w:r>
      <w:r>
        <w:rPr>
          <w:sz w:val="20"/>
          <w:szCs w:val="20"/>
        </w:rPr>
        <w:fldChar w:fldCharType="separate"/>
      </w:r>
      <w:r>
        <w:rPr>
          <w:sz w:val="20"/>
          <w:szCs w:val="20"/>
        </w:rPr>
        <w:t>116</w:t>
      </w:r>
      <w:r>
        <w:rPr>
          <w:sz w:val="20"/>
          <w:szCs w:val="20"/>
        </w:rPr>
        <w:fldChar w:fldCharType="end"/>
      </w:r>
      <w:r>
        <w:rPr>
          <w:sz w:val="20"/>
          <w:szCs w:val="20"/>
        </w:rPr>
        <w:t xml:space="preserve">, </w:t>
      </w:r>
      <w:r w:rsidRPr="00742B66">
        <w:rPr>
          <w:sz w:val="20"/>
          <w:szCs w:val="20"/>
        </w:rPr>
        <w:t>at 2062 (noting that current interstate disparities in education resources are more strongly associated with capacity of states to finance education rather than effort to do so).</w:t>
      </w:r>
    </w:p>
  </w:footnote>
  <w:footnote w:id="175">
    <w:p w14:paraId="55DF1254" w14:textId="77777777" w:rsidR="00E667D7" w:rsidRPr="00742B66" w:rsidRDefault="00E667D7" w:rsidP="00742B66">
      <w:pPr>
        <w:pStyle w:val="FootnoteText"/>
        <w:spacing w:after="240"/>
        <w:rPr>
          <w:sz w:val="20"/>
          <w:szCs w:val="20"/>
        </w:rPr>
      </w:pPr>
      <w:r w:rsidRPr="00742B66">
        <w:rPr>
          <w:rStyle w:val="FootnoteReference"/>
          <w:sz w:val="20"/>
          <w:szCs w:val="20"/>
          <w:highlight w:val="yellow"/>
        </w:rPr>
        <w:footnoteRef/>
      </w:r>
      <w:r w:rsidRPr="00742B66">
        <w:rPr>
          <w:sz w:val="20"/>
          <w:szCs w:val="20"/>
          <w:highlight w:val="yellow"/>
        </w:rPr>
        <w:t xml:space="preserve"> </w:t>
      </w:r>
      <w:r w:rsidRPr="00742B66">
        <w:rPr>
          <w:smallCaps/>
          <w:sz w:val="20"/>
          <w:szCs w:val="20"/>
          <w:highlight w:val="yellow"/>
        </w:rPr>
        <w:t xml:space="preserve">Herbert G. </w:t>
      </w:r>
      <w:proofErr w:type="spellStart"/>
      <w:r w:rsidRPr="00742B66">
        <w:rPr>
          <w:smallCaps/>
          <w:sz w:val="20"/>
          <w:szCs w:val="20"/>
          <w:highlight w:val="yellow"/>
        </w:rPr>
        <w:t>Gutman</w:t>
      </w:r>
      <w:proofErr w:type="spellEnd"/>
      <w:r w:rsidRPr="00742B66">
        <w:rPr>
          <w:smallCaps/>
          <w:sz w:val="20"/>
          <w:szCs w:val="20"/>
          <w:highlight w:val="yellow"/>
        </w:rPr>
        <w:t xml:space="preserve">, Slavery and the Numbers Game </w:t>
      </w:r>
      <w:r w:rsidRPr="00742B66">
        <w:rPr>
          <w:sz w:val="20"/>
          <w:szCs w:val="20"/>
          <w:highlight w:val="yellow"/>
        </w:rPr>
        <w:t>171–73 (1975).</w:t>
      </w:r>
    </w:p>
  </w:footnote>
  <w:footnote w:id="176">
    <w:p w14:paraId="69CEF2C9"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proofErr w:type="spellStart"/>
      <w:r w:rsidRPr="00742B66">
        <w:rPr>
          <w:smallCaps/>
          <w:sz w:val="20"/>
          <w:szCs w:val="20"/>
        </w:rPr>
        <w:t>Butchart</w:t>
      </w:r>
      <w:proofErr w:type="spellEnd"/>
      <w:r w:rsidRPr="00742B66">
        <w:rPr>
          <w:smallCaps/>
          <w:sz w:val="20"/>
          <w:szCs w:val="20"/>
        </w:rPr>
        <w:t>,</w:t>
      </w:r>
      <w:r w:rsidRPr="00742B66">
        <w:rPr>
          <w:sz w:val="20"/>
          <w:szCs w:val="20"/>
        </w:rPr>
        <w:t xml:space="preserve">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_Ref291515864 \h </w:instrText>
      </w:r>
      <w:r w:rsidRPr="00742B66">
        <w:rPr>
          <w:sz w:val="20"/>
          <w:szCs w:val="20"/>
        </w:rPr>
      </w:r>
      <w:r w:rsidRPr="00742B66">
        <w:rPr>
          <w:sz w:val="20"/>
          <w:szCs w:val="20"/>
        </w:rPr>
        <w:fldChar w:fldCharType="separate"/>
      </w:r>
      <w:r>
        <w:rPr>
          <w:sz w:val="20"/>
          <w:szCs w:val="20"/>
        </w:rPr>
        <w:t>48</w:t>
      </w:r>
      <w:r w:rsidRPr="00742B66">
        <w:rPr>
          <w:sz w:val="20"/>
          <w:szCs w:val="20"/>
        </w:rPr>
        <w:fldChar w:fldCharType="end"/>
      </w:r>
      <w:r w:rsidRPr="00742B66">
        <w:rPr>
          <w:sz w:val="20"/>
          <w:szCs w:val="20"/>
        </w:rPr>
        <w:t>, at 162.</w:t>
      </w:r>
    </w:p>
  </w:footnote>
  <w:footnote w:id="177">
    <w:p w14:paraId="4344F3CB"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Albert, </w:t>
      </w:r>
      <w:r w:rsidRPr="0072169B">
        <w:rPr>
          <w:i/>
          <w:sz w:val="20"/>
          <w:szCs w:val="20"/>
        </w:rPr>
        <w:t xml:space="preserve">supra </w:t>
      </w:r>
      <w:r w:rsidRPr="0072169B">
        <w:rPr>
          <w:sz w:val="20"/>
          <w:szCs w:val="20"/>
        </w:rPr>
        <w:t>note</w:t>
      </w:r>
      <w:r>
        <w:rPr>
          <w:sz w:val="20"/>
          <w:szCs w:val="20"/>
        </w:rPr>
        <w:t xml:space="preserve"> </w:t>
      </w:r>
      <w:r>
        <w:rPr>
          <w:sz w:val="20"/>
          <w:szCs w:val="20"/>
        </w:rPr>
        <w:fldChar w:fldCharType="begin"/>
      </w:r>
      <w:r>
        <w:rPr>
          <w:sz w:val="20"/>
          <w:szCs w:val="20"/>
        </w:rPr>
        <w:instrText xml:space="preserve"> NOTEREF _Ref291616864 \h </w:instrText>
      </w:r>
      <w:r>
        <w:rPr>
          <w:sz w:val="20"/>
          <w:szCs w:val="20"/>
        </w:rPr>
      </w:r>
      <w:r>
        <w:rPr>
          <w:sz w:val="20"/>
          <w:szCs w:val="20"/>
        </w:rPr>
        <w:fldChar w:fldCharType="separate"/>
      </w:r>
      <w:r>
        <w:rPr>
          <w:sz w:val="20"/>
          <w:szCs w:val="20"/>
        </w:rPr>
        <w:t>63</w:t>
      </w:r>
      <w:r>
        <w:rPr>
          <w:sz w:val="20"/>
          <w:szCs w:val="20"/>
        </w:rPr>
        <w:fldChar w:fldCharType="end"/>
      </w:r>
      <w:r w:rsidRPr="0072169B">
        <w:rPr>
          <w:sz w:val="20"/>
          <w:szCs w:val="20"/>
        </w:rPr>
        <w:t xml:space="preserve">, </w:t>
      </w:r>
      <w:r>
        <w:rPr>
          <w:sz w:val="20"/>
          <w:szCs w:val="20"/>
        </w:rPr>
        <w:t xml:space="preserve">at </w:t>
      </w:r>
      <w:r w:rsidRPr="00742B66">
        <w:rPr>
          <w:sz w:val="20"/>
          <w:szCs w:val="20"/>
        </w:rPr>
        <w:t>140.</w:t>
      </w:r>
    </w:p>
  </w:footnote>
  <w:footnote w:id="178">
    <w:p w14:paraId="4749865E" w14:textId="77777777" w:rsidR="00E667D7" w:rsidRPr="00742B66" w:rsidRDefault="00E667D7" w:rsidP="00742B66">
      <w:pPr>
        <w:pStyle w:val="FootnoteText"/>
        <w:spacing w:after="240"/>
        <w:rPr>
          <w:b/>
          <w:sz w:val="20"/>
          <w:szCs w:val="20"/>
        </w:rPr>
      </w:pPr>
      <w:r w:rsidRPr="00742B66">
        <w:rPr>
          <w:rStyle w:val="FootnoteReference"/>
          <w:sz w:val="20"/>
          <w:szCs w:val="20"/>
        </w:rPr>
        <w:footnoteRef/>
      </w:r>
      <w:r w:rsidRPr="00742B66">
        <w:rPr>
          <w:sz w:val="20"/>
          <w:szCs w:val="20"/>
        </w:rPr>
        <w:t xml:space="preserve"> </w:t>
      </w:r>
      <w:r w:rsidRPr="00742B66">
        <w:rPr>
          <w:i/>
          <w:sz w:val="20"/>
          <w:szCs w:val="20"/>
        </w:rPr>
        <w:t xml:space="preserve">Id. </w:t>
      </w:r>
      <w:r w:rsidRPr="00742B66">
        <w:rPr>
          <w:sz w:val="20"/>
          <w:szCs w:val="20"/>
        </w:rPr>
        <w:t xml:space="preserve">at </w:t>
      </w:r>
      <w:r w:rsidRPr="00742B66">
        <w:rPr>
          <w:iCs/>
          <w:sz w:val="20"/>
          <w:szCs w:val="20"/>
        </w:rPr>
        <w:t xml:space="preserve">140–41; </w:t>
      </w:r>
      <w:r w:rsidRPr="00742B66">
        <w:rPr>
          <w:i/>
          <w:iCs/>
          <w:sz w:val="20"/>
          <w:szCs w:val="20"/>
        </w:rPr>
        <w:t>see also</w:t>
      </w:r>
      <w:r w:rsidRPr="00742B66">
        <w:rPr>
          <w:iCs/>
          <w:sz w:val="20"/>
          <w:szCs w:val="20"/>
        </w:rPr>
        <w:t xml:space="preserve"> </w:t>
      </w:r>
      <w:r w:rsidRPr="00742B66">
        <w:rPr>
          <w:sz w:val="20"/>
          <w:szCs w:val="20"/>
        </w:rPr>
        <w:t xml:space="preserve">Davis, </w:t>
      </w:r>
      <w:r w:rsidRPr="00742B66">
        <w:rPr>
          <w:i/>
          <w:sz w:val="20"/>
          <w:szCs w:val="20"/>
        </w:rPr>
        <w:t>supra</w:t>
      </w:r>
      <w:r w:rsidRPr="00742B66">
        <w:rPr>
          <w:sz w:val="20"/>
          <w:szCs w:val="20"/>
        </w:rPr>
        <w:t xml:space="preserve"> note </w:t>
      </w:r>
      <w:r w:rsidRPr="00742B66">
        <w:rPr>
          <w:sz w:val="20"/>
          <w:szCs w:val="20"/>
        </w:rPr>
        <w:fldChar w:fldCharType="begin"/>
      </w:r>
      <w:r w:rsidRPr="00742B66">
        <w:rPr>
          <w:sz w:val="20"/>
          <w:szCs w:val="20"/>
        </w:rPr>
        <w:instrText xml:space="preserve"> NOTEREF _Ref262323324 \h </w:instrText>
      </w:r>
      <w:r w:rsidRPr="00742B66">
        <w:rPr>
          <w:sz w:val="20"/>
          <w:szCs w:val="20"/>
        </w:rPr>
      </w:r>
      <w:r w:rsidRPr="00742B66">
        <w:rPr>
          <w:sz w:val="20"/>
          <w:szCs w:val="20"/>
        </w:rPr>
        <w:fldChar w:fldCharType="separate"/>
      </w:r>
      <w:r>
        <w:rPr>
          <w:sz w:val="20"/>
          <w:szCs w:val="20"/>
        </w:rPr>
        <w:t>87</w:t>
      </w:r>
      <w:r w:rsidRPr="00742B66">
        <w:rPr>
          <w:sz w:val="20"/>
          <w:szCs w:val="20"/>
        </w:rPr>
        <w:fldChar w:fldCharType="end"/>
      </w:r>
      <w:r w:rsidRPr="00742B66">
        <w:rPr>
          <w:sz w:val="20"/>
          <w:szCs w:val="20"/>
        </w:rPr>
        <w:t xml:space="preserve">, at 1348–49 (arguing that the U.S. constitutional system, as amended during Reconstruction, is grounded in antislavery traditions of human dignity that informed the conceptions of liberty and citizenship enshrined in the Fourteenth Amendment); Arthur </w:t>
      </w:r>
      <w:proofErr w:type="spellStart"/>
      <w:r w:rsidRPr="00742B66">
        <w:rPr>
          <w:sz w:val="20"/>
          <w:szCs w:val="20"/>
        </w:rPr>
        <w:t>Kinoy</w:t>
      </w:r>
      <w:proofErr w:type="spellEnd"/>
      <w:r w:rsidRPr="00742B66">
        <w:rPr>
          <w:sz w:val="20"/>
          <w:szCs w:val="20"/>
        </w:rPr>
        <w:t xml:space="preserve">, </w:t>
      </w:r>
      <w:r w:rsidRPr="00742B66">
        <w:rPr>
          <w:i/>
          <w:sz w:val="20"/>
          <w:szCs w:val="20"/>
        </w:rPr>
        <w:t>The Constitutional Right of Negro Freedom</w:t>
      </w:r>
      <w:r w:rsidRPr="00742B66">
        <w:rPr>
          <w:sz w:val="20"/>
          <w:szCs w:val="20"/>
        </w:rPr>
        <w:t xml:space="preserve">, 21 </w:t>
      </w:r>
      <w:r w:rsidRPr="00742B66">
        <w:rPr>
          <w:smallCaps/>
          <w:sz w:val="20"/>
          <w:szCs w:val="20"/>
        </w:rPr>
        <w:t>Rutgers L. Rev.</w:t>
      </w:r>
      <w:r w:rsidRPr="00742B66">
        <w:rPr>
          <w:sz w:val="20"/>
          <w:szCs w:val="20"/>
        </w:rPr>
        <w:t xml:space="preserve"> 387, 394 (1967) (“Anything less [than national citizenship] was not the status of freedom and equality enacted by the constitutional amendments to replace the ante-bellum status of slavery and inferiority.”).</w:t>
      </w:r>
      <w:r w:rsidRPr="00742B66">
        <w:rPr>
          <w:b/>
          <w:sz w:val="20"/>
          <w:szCs w:val="20"/>
        </w:rPr>
        <w:t>[</w:t>
      </w:r>
      <w:r>
        <w:rPr>
          <w:b/>
          <w:sz w:val="20"/>
          <w:szCs w:val="20"/>
        </w:rPr>
        <w:t>C</w:t>
      </w:r>
      <w:r w:rsidRPr="00742B66">
        <w:rPr>
          <w:b/>
          <w:sz w:val="20"/>
          <w:szCs w:val="20"/>
        </w:rPr>
        <w:t>ite other’s who write about national citizenship</w:t>
      </w:r>
      <w:r>
        <w:rPr>
          <w:b/>
          <w:sz w:val="20"/>
          <w:szCs w:val="20"/>
        </w:rPr>
        <w:t>.</w:t>
      </w:r>
      <w:r w:rsidRPr="00742B66">
        <w:rPr>
          <w:b/>
          <w:sz w:val="20"/>
          <w:szCs w:val="20"/>
        </w:rPr>
        <w:t>]</w:t>
      </w:r>
    </w:p>
  </w:footnote>
  <w:footnote w:id="179">
    <w:p w14:paraId="6AB492E5"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Anderson, </w:t>
      </w:r>
      <w:r w:rsidRPr="00742B66">
        <w:rPr>
          <w:i/>
          <w:sz w:val="20"/>
          <w:szCs w:val="20"/>
        </w:rPr>
        <w:t xml:space="preserve">supra </w:t>
      </w:r>
      <w:r w:rsidRPr="00742B66">
        <w:rPr>
          <w:sz w:val="20"/>
          <w:szCs w:val="20"/>
        </w:rPr>
        <w:t xml:space="preserve">note </w:t>
      </w:r>
      <w:r w:rsidRPr="00742B66">
        <w:rPr>
          <w:sz w:val="20"/>
          <w:szCs w:val="20"/>
        </w:rPr>
        <w:fldChar w:fldCharType="begin"/>
      </w:r>
      <w:r w:rsidRPr="00742B66">
        <w:rPr>
          <w:sz w:val="20"/>
          <w:szCs w:val="20"/>
        </w:rPr>
        <w:instrText xml:space="preserve"> NOTEREF _Ref291600109 \h </w:instrText>
      </w:r>
      <w:r w:rsidRPr="00742B66">
        <w:rPr>
          <w:sz w:val="20"/>
          <w:szCs w:val="20"/>
        </w:rPr>
      </w:r>
      <w:r w:rsidRPr="00742B66">
        <w:rPr>
          <w:sz w:val="20"/>
          <w:szCs w:val="20"/>
        </w:rPr>
        <w:fldChar w:fldCharType="separate"/>
      </w:r>
      <w:r>
        <w:rPr>
          <w:sz w:val="20"/>
          <w:szCs w:val="20"/>
        </w:rPr>
        <w:t>70</w:t>
      </w:r>
      <w:r w:rsidRPr="00742B66">
        <w:rPr>
          <w:sz w:val="20"/>
          <w:szCs w:val="20"/>
        </w:rPr>
        <w:fldChar w:fldCharType="end"/>
      </w:r>
      <w:r w:rsidRPr="00742B66">
        <w:rPr>
          <w:sz w:val="20"/>
          <w:szCs w:val="20"/>
        </w:rPr>
        <w:t>, at 21.</w:t>
      </w:r>
    </w:p>
  </w:footnote>
  <w:footnote w:id="180">
    <w:p w14:paraId="2C7457B9" w14:textId="77777777" w:rsidR="00E667D7" w:rsidRPr="003C6FB6" w:rsidRDefault="00E667D7" w:rsidP="003C6FB6">
      <w:pPr>
        <w:pStyle w:val="FootnoteText"/>
        <w:spacing w:after="240"/>
        <w:rPr>
          <w:b/>
          <w:sz w:val="20"/>
          <w:szCs w:val="20"/>
        </w:rPr>
      </w:pPr>
      <w:r w:rsidRPr="003C6FB6">
        <w:rPr>
          <w:rStyle w:val="FootnoteReference"/>
          <w:sz w:val="20"/>
          <w:szCs w:val="20"/>
        </w:rPr>
        <w:footnoteRef/>
      </w:r>
      <w:r w:rsidRPr="003C6FB6">
        <w:rPr>
          <w:sz w:val="20"/>
          <w:szCs w:val="20"/>
        </w:rPr>
        <w:t xml:space="preserve"> </w:t>
      </w:r>
      <w:r>
        <w:rPr>
          <w:b/>
          <w:sz w:val="20"/>
          <w:szCs w:val="20"/>
        </w:rPr>
        <w:t>[Alvord?]</w:t>
      </w:r>
    </w:p>
  </w:footnote>
  <w:footnote w:id="181">
    <w:p w14:paraId="065629B4"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J.W. Alvord, Inspector’s Report </w:t>
      </w:r>
      <w:r w:rsidRPr="00742B66">
        <w:rPr>
          <w:sz w:val="20"/>
          <w:szCs w:val="20"/>
        </w:rPr>
        <w:t xml:space="preserve">(1966), </w:t>
      </w:r>
      <w:r w:rsidRPr="00742B66">
        <w:rPr>
          <w:i/>
          <w:sz w:val="20"/>
          <w:szCs w:val="20"/>
        </w:rPr>
        <w:t xml:space="preserve">reprinted in </w:t>
      </w:r>
      <w:r w:rsidRPr="00742B66">
        <w:rPr>
          <w:sz w:val="20"/>
          <w:szCs w:val="20"/>
        </w:rPr>
        <w:t xml:space="preserve">1 </w:t>
      </w:r>
      <w:r w:rsidRPr="00742B66">
        <w:rPr>
          <w:smallCaps/>
          <w:sz w:val="20"/>
          <w:szCs w:val="20"/>
        </w:rPr>
        <w:t>Freemen’s Schools and Textbooks</w:t>
      </w:r>
      <w:r w:rsidRPr="00742B66">
        <w:rPr>
          <w:sz w:val="20"/>
          <w:szCs w:val="20"/>
        </w:rPr>
        <w:t xml:space="preserve"> 13 (Robert C. Morris ed., 1980); </w:t>
      </w:r>
      <w:r w:rsidRPr="00742B66">
        <w:rPr>
          <w:smallCaps/>
          <w:sz w:val="20"/>
          <w:szCs w:val="20"/>
        </w:rPr>
        <w:t xml:space="preserve">J.W. Alvord, Fourth Semi-Annual Report </w:t>
      </w:r>
      <w:r w:rsidRPr="00742B66">
        <w:rPr>
          <w:i/>
          <w:sz w:val="20"/>
          <w:szCs w:val="20"/>
        </w:rPr>
        <w:t>supra</w:t>
      </w:r>
      <w:r w:rsidRPr="00742B66">
        <w:rPr>
          <w:sz w:val="20"/>
          <w:szCs w:val="20"/>
        </w:rPr>
        <w:t xml:space="preserve"> note </w:t>
      </w:r>
      <w:r w:rsidRPr="00742B66">
        <w:rPr>
          <w:sz w:val="20"/>
          <w:szCs w:val="20"/>
        </w:rPr>
        <w:fldChar w:fldCharType="begin"/>
      </w:r>
      <w:r w:rsidRPr="00742B66">
        <w:rPr>
          <w:sz w:val="20"/>
          <w:szCs w:val="20"/>
        </w:rPr>
        <w:instrText xml:space="preserve"> NOTEREF _Ref291708156 \h </w:instrText>
      </w:r>
      <w:r w:rsidRPr="00742B66">
        <w:rPr>
          <w:sz w:val="20"/>
          <w:szCs w:val="20"/>
        </w:rPr>
      </w:r>
      <w:r w:rsidRPr="00742B66">
        <w:rPr>
          <w:sz w:val="20"/>
          <w:szCs w:val="20"/>
        </w:rPr>
        <w:fldChar w:fldCharType="separate"/>
      </w:r>
      <w:r>
        <w:rPr>
          <w:sz w:val="20"/>
          <w:szCs w:val="20"/>
        </w:rPr>
        <w:t>155</w:t>
      </w:r>
      <w:r w:rsidRPr="00742B66">
        <w:rPr>
          <w:sz w:val="20"/>
          <w:szCs w:val="20"/>
        </w:rPr>
        <w:fldChar w:fldCharType="end"/>
      </w:r>
      <w:r>
        <w:rPr>
          <w:sz w:val="20"/>
          <w:szCs w:val="20"/>
        </w:rPr>
        <w:t>,</w:t>
      </w:r>
      <w:r w:rsidRPr="00742B66">
        <w:rPr>
          <w:sz w:val="20"/>
          <w:szCs w:val="20"/>
        </w:rPr>
        <w:t xml:space="preserve"> at 49 (“Many of the freedmen made it a special clause of their contract this year, that they should have the benefit of schools”); </w:t>
      </w:r>
      <w:r w:rsidRPr="00742B66">
        <w:rPr>
          <w:i/>
          <w:sz w:val="20"/>
          <w:szCs w:val="20"/>
        </w:rPr>
        <w:t xml:space="preserve">id. </w:t>
      </w:r>
      <w:proofErr w:type="gramStart"/>
      <w:r w:rsidRPr="00742B66">
        <w:rPr>
          <w:sz w:val="20"/>
          <w:szCs w:val="20"/>
        </w:rPr>
        <w:t>at</w:t>
      </w:r>
      <w:proofErr w:type="gramEnd"/>
      <w:r w:rsidRPr="00742B66">
        <w:rPr>
          <w:sz w:val="20"/>
          <w:szCs w:val="20"/>
        </w:rPr>
        <w:t xml:space="preserve"> 83 (“The idea of good crops . . . greatly favors the educational clause in the contracts, and its insertion is rapidly becoming universal. . . . [</w:t>
      </w:r>
      <w:proofErr w:type="gramStart"/>
      <w:r w:rsidRPr="00742B66">
        <w:rPr>
          <w:sz w:val="20"/>
          <w:szCs w:val="20"/>
        </w:rPr>
        <w:t>T]</w:t>
      </w:r>
      <w:proofErr w:type="spellStart"/>
      <w:r w:rsidRPr="00742B66">
        <w:rPr>
          <w:sz w:val="20"/>
          <w:szCs w:val="20"/>
        </w:rPr>
        <w:t>hus</w:t>
      </w:r>
      <w:proofErr w:type="spellEnd"/>
      <w:proofErr w:type="gramEnd"/>
      <w:r w:rsidRPr="00742B66">
        <w:rPr>
          <w:sz w:val="20"/>
          <w:szCs w:val="20"/>
        </w:rPr>
        <w:t xml:space="preserve"> schools are everywhere springing up from the soil itself at the demand of those who till it . . . .”).</w:t>
      </w:r>
    </w:p>
  </w:footnote>
  <w:footnote w:id="182">
    <w:p w14:paraId="328A9B89"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smallCaps/>
          <w:sz w:val="20"/>
          <w:szCs w:val="20"/>
        </w:rPr>
        <w:t xml:space="preserve">Eric </w:t>
      </w:r>
      <w:proofErr w:type="spellStart"/>
      <w:r w:rsidRPr="00742B66">
        <w:rPr>
          <w:smallCaps/>
          <w:sz w:val="20"/>
          <w:szCs w:val="20"/>
        </w:rPr>
        <w:t>Foner</w:t>
      </w:r>
      <w:proofErr w:type="spellEnd"/>
      <w:r w:rsidRPr="00742B66">
        <w:rPr>
          <w:smallCaps/>
          <w:sz w:val="20"/>
          <w:szCs w:val="20"/>
        </w:rPr>
        <w:t>, Reconstruction: America’s Unfinished Revolution,</w:t>
      </w:r>
      <w:r w:rsidRPr="00742B66">
        <w:rPr>
          <w:sz w:val="20"/>
          <w:szCs w:val="20"/>
        </w:rPr>
        <w:t xml:space="preserve"> 1863–1877, at 604 (Perennial Classics 2002) (1988).</w:t>
      </w:r>
    </w:p>
  </w:footnote>
  <w:footnote w:id="183">
    <w:p w14:paraId="0A7D92A4" w14:textId="77777777" w:rsidR="00E667D7" w:rsidRPr="00F4763C" w:rsidRDefault="00E667D7" w:rsidP="00F4763C">
      <w:pPr>
        <w:spacing w:after="240"/>
        <w:rPr>
          <w:rFonts w:eastAsia="Times New Roman"/>
          <w:sz w:val="20"/>
          <w:szCs w:val="20"/>
        </w:rPr>
      </w:pPr>
      <w:r w:rsidRPr="00742B66">
        <w:rPr>
          <w:rStyle w:val="FootnoteReference"/>
          <w:sz w:val="20"/>
          <w:szCs w:val="20"/>
        </w:rPr>
        <w:footnoteRef/>
      </w:r>
      <w:r w:rsidRPr="00742B66">
        <w:rPr>
          <w:sz w:val="20"/>
          <w:szCs w:val="20"/>
        </w:rPr>
        <w:t xml:space="preserve"> </w:t>
      </w:r>
      <w:r>
        <w:rPr>
          <w:i/>
          <w:sz w:val="20"/>
          <w:szCs w:val="20"/>
        </w:rPr>
        <w:t xml:space="preserve">See </w:t>
      </w:r>
      <w:r w:rsidRPr="00742B66">
        <w:rPr>
          <w:rFonts w:eastAsia="Times New Roman"/>
          <w:iCs/>
          <w:sz w:val="20"/>
          <w:szCs w:val="20"/>
        </w:rPr>
        <w:t xml:space="preserve">Washington v. </w:t>
      </w:r>
      <w:proofErr w:type="spellStart"/>
      <w:r w:rsidRPr="00742B66">
        <w:rPr>
          <w:rFonts w:eastAsia="Times New Roman"/>
          <w:iCs/>
          <w:sz w:val="20"/>
          <w:szCs w:val="20"/>
        </w:rPr>
        <w:t>Glucksberg</w:t>
      </w:r>
      <w:proofErr w:type="spellEnd"/>
      <w:r w:rsidRPr="00742B66">
        <w:rPr>
          <w:rFonts w:eastAsia="Times New Roman"/>
          <w:sz w:val="20"/>
          <w:szCs w:val="20"/>
        </w:rPr>
        <w:t xml:space="preserve">, 521 U.S. 702, 758 (1997); </w:t>
      </w:r>
      <w:r w:rsidRPr="00742B66">
        <w:rPr>
          <w:rFonts w:eastAsia="Times New Roman"/>
          <w:i/>
          <w:sz w:val="20"/>
          <w:szCs w:val="20"/>
        </w:rPr>
        <w:t xml:space="preserve">see also </w:t>
      </w:r>
      <w:r w:rsidRPr="00742B66">
        <w:rPr>
          <w:rFonts w:eastAsia="Times New Roman"/>
          <w:smallCaps/>
          <w:sz w:val="20"/>
          <w:szCs w:val="20"/>
        </w:rPr>
        <w:t>U.S. Const.</w:t>
      </w:r>
      <w:r w:rsidRPr="00742B66">
        <w:rPr>
          <w:rFonts w:eastAsia="Times New Roman"/>
          <w:sz w:val="20"/>
          <w:szCs w:val="20"/>
        </w:rPr>
        <w:t xml:space="preserve"> amend. </w:t>
      </w:r>
      <w:proofErr w:type="gramStart"/>
      <w:r w:rsidRPr="00742B66">
        <w:rPr>
          <w:rFonts w:eastAsia="Times New Roman"/>
          <w:sz w:val="20"/>
          <w:szCs w:val="20"/>
        </w:rPr>
        <w:t>XIV, § 1 (“All persons born or naturalized in the United States, and subject to the jurisdiction thereof, are citizens of the United States and of the state wherein they reside.”).</w:t>
      </w:r>
      <w:proofErr w:type="gramEnd"/>
    </w:p>
  </w:footnote>
  <w:footnote w:id="184">
    <w:p w14:paraId="0E6F5614" w14:textId="77777777" w:rsidR="00E667D7" w:rsidRPr="00742B66" w:rsidRDefault="00E667D7" w:rsidP="00742B66">
      <w:pPr>
        <w:pStyle w:val="FootnoteText"/>
        <w:spacing w:after="240"/>
        <w:rPr>
          <w:sz w:val="20"/>
          <w:szCs w:val="20"/>
        </w:rPr>
      </w:pPr>
      <w:r w:rsidRPr="00742B66">
        <w:rPr>
          <w:rStyle w:val="FootnoteReference"/>
          <w:sz w:val="20"/>
          <w:szCs w:val="20"/>
        </w:rPr>
        <w:footnoteRef/>
      </w:r>
      <w:r w:rsidRPr="00742B66">
        <w:rPr>
          <w:sz w:val="20"/>
          <w:szCs w:val="20"/>
        </w:rPr>
        <w:t xml:space="preserve"> </w:t>
      </w:r>
      <w:r w:rsidRPr="00742B66">
        <w:rPr>
          <w:i/>
          <w:sz w:val="20"/>
          <w:szCs w:val="20"/>
        </w:rPr>
        <w:t xml:space="preserve">Cf. </w:t>
      </w:r>
      <w:r w:rsidRPr="00742B66">
        <w:rPr>
          <w:smallCaps/>
          <w:sz w:val="20"/>
          <w:szCs w:val="20"/>
        </w:rPr>
        <w:t>Khalil Gibran Muhammad, The Condemnation of Blackness: Race, Crime, and the Making of Modern Urban America</w:t>
      </w:r>
      <w:r w:rsidRPr="00742B66">
        <w:rPr>
          <w:sz w:val="20"/>
          <w:szCs w:val="20"/>
        </w:rPr>
        <w:t xml:space="preserve"> 277 (2010) (making an analogous argument about the interpretation of crime statistics).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1DD54" w14:textId="77777777" w:rsidR="00E667D7" w:rsidRDefault="00E667D7">
    <w:pPr>
      <w:pStyle w:val="Header"/>
    </w:pPr>
    <w:r>
      <w:t xml:space="preserve">Joshua </w:t>
    </w:r>
    <w:proofErr w:type="spellStart"/>
    <w:r>
      <w:t>Riegel</w:t>
    </w:r>
    <w:proofErr w:type="spell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05D20" w14:textId="77777777" w:rsidR="00E667D7" w:rsidRDefault="00E667D7">
    <w:pPr>
      <w:pStyle w:val="Header"/>
    </w:pPr>
    <w:r>
      <w:t>Draft, April 2015</w:t>
    </w:r>
  </w:p>
  <w:p w14:paraId="75816AA4" w14:textId="77777777" w:rsidR="00E667D7" w:rsidRDefault="00E667D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3588"/>
    <w:multiLevelType w:val="hybridMultilevel"/>
    <w:tmpl w:val="D9123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2387B"/>
    <w:multiLevelType w:val="multilevel"/>
    <w:tmpl w:val="C65C31B0"/>
    <w:styleLink w:val="RiegelStyle"/>
    <w:lvl w:ilvl="0">
      <w:start w:val="1"/>
      <w:numFmt w:val="upperRoman"/>
      <w:lvlText w:val="%1."/>
      <w:lvlJc w:val="left"/>
      <w:pPr>
        <w:ind w:left="360" w:hanging="360"/>
      </w:pPr>
      <w:rPr>
        <w:rFonts w:ascii="Times New Roman" w:hAnsi="Times New Roman" w:hint="default"/>
        <w:b w:val="0"/>
        <w:bCs w:val="0"/>
        <w:i w:val="0"/>
        <w:iCs w:val="0"/>
        <w:caps/>
        <w:sz w:val="22"/>
        <w:szCs w:val="22"/>
      </w:rPr>
    </w:lvl>
    <w:lvl w:ilvl="1">
      <w:start w:val="1"/>
      <w:numFmt w:val="upperLetter"/>
      <w:lvlText w:val="%2."/>
      <w:lvlJc w:val="left"/>
      <w:pPr>
        <w:ind w:left="720" w:hanging="360"/>
      </w:pPr>
      <w:rPr>
        <w:rFonts w:ascii="Times New Roman" w:hAnsi="Times New Roman" w:hint="default"/>
        <w:b w:val="0"/>
        <w:bCs w:val="0"/>
        <w:i w:val="0"/>
        <w:iCs w:val="0"/>
        <w:sz w:val="24"/>
        <w:szCs w:val="24"/>
      </w:rPr>
    </w:lvl>
    <w:lvl w:ilvl="2">
      <w:start w:val="1"/>
      <w:numFmt w:val="decimal"/>
      <w:lvlText w:val="%3."/>
      <w:lvlJc w:val="left"/>
      <w:pPr>
        <w:ind w:left="1080" w:hanging="360"/>
      </w:pPr>
      <w:rPr>
        <w:rFonts w:ascii="Times New Roman" w:hAnsi="Times New Roman" w:hint="default"/>
        <w:b w:val="0"/>
        <w:bCs w:val="0"/>
        <w:i w:val="0"/>
        <w:iCs w:val="0"/>
        <w:sz w:val="24"/>
        <w:szCs w:val="24"/>
      </w:rPr>
    </w:lvl>
    <w:lvl w:ilvl="3">
      <w:start w:val="1"/>
      <w:numFmt w:val="lowerLetter"/>
      <w:lvlText w:val="%4."/>
      <w:lvlJc w:val="left"/>
      <w:pPr>
        <w:ind w:left="1440" w:hanging="360"/>
      </w:pPr>
      <w:rPr>
        <w:rFonts w:ascii="Times New Roman" w:hAnsi="Times New Roman" w:hint="default"/>
        <w:b w:val="0"/>
        <w:bCs w:val="0"/>
        <w:i w:val="0"/>
        <w:iCs w:val="0"/>
        <w:sz w:val="24"/>
        <w:szCs w:val="24"/>
      </w:rPr>
    </w:lvl>
    <w:lvl w:ilvl="4">
      <w:start w:val="1"/>
      <w:numFmt w:val="decimal"/>
      <w:lvlText w:val="(%5)"/>
      <w:lvlJc w:val="left"/>
      <w:pPr>
        <w:ind w:left="1800" w:hanging="360"/>
      </w:pPr>
      <w:rPr>
        <w:rFonts w:ascii="Times" w:hAnsi="Times" w:hint="default"/>
        <w:b w:val="0"/>
        <w:bCs w:val="0"/>
        <w:i w:val="0"/>
        <w:iCs w:val="0"/>
        <w:sz w:val="24"/>
        <w:szCs w:val="24"/>
      </w:rPr>
    </w:lvl>
    <w:lvl w:ilvl="5">
      <w:start w:val="1"/>
      <w:numFmt w:val="lowerRoman"/>
      <w:lvlText w:val="(%6)"/>
      <w:lvlJc w:val="left"/>
      <w:pPr>
        <w:ind w:left="2160" w:hanging="360"/>
      </w:pPr>
      <w:rPr>
        <w:rFonts w:ascii="Times" w:hAnsi="Times" w:hint="default"/>
        <w:b w:val="0"/>
        <w:bCs w:val="0"/>
        <w:i w:val="0"/>
        <w:iCs w:val="0"/>
        <w:sz w:val="24"/>
        <w:szCs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2F61838"/>
    <w:multiLevelType w:val="hybridMultilevel"/>
    <w:tmpl w:val="18A4C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B12FB6"/>
    <w:multiLevelType w:val="multilevel"/>
    <w:tmpl w:val="AA7E4AE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912F6"/>
    <w:multiLevelType w:val="multilevel"/>
    <w:tmpl w:val="921CDA9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E867B0"/>
    <w:multiLevelType w:val="hybridMultilevel"/>
    <w:tmpl w:val="22DCAD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0797C"/>
    <w:multiLevelType w:val="multilevel"/>
    <w:tmpl w:val="894E1300"/>
    <w:styleLink w:val="JRStandard"/>
    <w:lvl w:ilvl="0">
      <w:start w:val="1"/>
      <w:numFmt w:val="upperRoman"/>
      <w:lvlText w:val="%1."/>
      <w:lvlJc w:val="left"/>
      <w:pPr>
        <w:ind w:left="720" w:hanging="360"/>
      </w:pPr>
      <w:rPr>
        <w:rFonts w:ascii="Times New Roman" w:hAnsi="Times New Roman" w:hint="default"/>
        <w:b/>
        <w:bCs/>
        <w:i w:val="0"/>
        <w:iCs w:val="0"/>
        <w:caps/>
        <w:color w:val="auto"/>
        <w:sz w:val="24"/>
        <w:szCs w:val="24"/>
      </w:rPr>
    </w:lvl>
    <w:lvl w:ilvl="1">
      <w:start w:val="1"/>
      <w:numFmt w:val="upperLetter"/>
      <w:lvlText w:val="%2."/>
      <w:lvlJc w:val="left"/>
      <w:pPr>
        <w:ind w:left="1440" w:hanging="360"/>
      </w:pPr>
      <w:rPr>
        <w:rFonts w:ascii="Times New Roman" w:hAnsi="Times New Roman" w:hint="default"/>
        <w:b/>
        <w:bCs/>
        <w:i w:val="0"/>
        <w:iCs w:val="0"/>
        <w:sz w:val="24"/>
        <w:szCs w:val="24"/>
      </w:rPr>
    </w:lvl>
    <w:lvl w:ilvl="2">
      <w:start w:val="1"/>
      <w:numFmt w:val="decimal"/>
      <w:lvlText w:val="%3."/>
      <w:lvlJc w:val="right"/>
      <w:pPr>
        <w:ind w:left="2160" w:hanging="180"/>
      </w:pPr>
      <w:rPr>
        <w:rFonts w:ascii="Times New Roman" w:hAnsi="Times New Roman" w:hint="default"/>
        <w:b/>
        <w:bCs/>
        <w:i w:val="0"/>
        <w:iCs w:val="0"/>
        <w:sz w:val="24"/>
        <w:szCs w:val="24"/>
      </w:rPr>
    </w:lvl>
    <w:lvl w:ilvl="3">
      <w:start w:val="1"/>
      <w:numFmt w:val="lowerLetter"/>
      <w:lvlText w:val="%4."/>
      <w:lvlJc w:val="left"/>
      <w:pPr>
        <w:ind w:left="2880" w:hanging="360"/>
      </w:pPr>
      <w:rPr>
        <w:rFonts w:ascii="Times New Roman" w:hAnsi="Times New Roman" w:hint="default"/>
        <w:b/>
        <w:bCs/>
        <w:i w:val="0"/>
        <w:iCs w:val="0"/>
        <w:sz w:val="24"/>
        <w:szCs w:val="24"/>
      </w:rPr>
    </w:lvl>
    <w:lvl w:ilvl="4">
      <w:start w:val="1"/>
      <w:numFmt w:val="lowerRoman"/>
      <w:lvlText w:val="%5."/>
      <w:lvlJc w:val="left"/>
      <w:pPr>
        <w:ind w:left="3600" w:hanging="360"/>
      </w:pPr>
      <w:rPr>
        <w:rFonts w:ascii="Times New Roman" w:hAnsi="Times New Roman" w:hint="default"/>
        <w:b/>
        <w:bCs/>
        <w:i w:val="0"/>
        <w:iCs w:val="0"/>
        <w:sz w:val="24"/>
        <w:szCs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6540CDD"/>
    <w:multiLevelType w:val="hybridMultilevel"/>
    <w:tmpl w:val="53D6B4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626B04"/>
    <w:multiLevelType w:val="hybridMultilevel"/>
    <w:tmpl w:val="89867960"/>
    <w:lvl w:ilvl="0" w:tplc="0409001B">
      <w:start w:val="1"/>
      <w:numFmt w:val="lowerRoman"/>
      <w:lvlText w:val="%1."/>
      <w:lvlJc w:val="righ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9">
    <w:nsid w:val="3B735DE4"/>
    <w:multiLevelType w:val="multilevel"/>
    <w:tmpl w:val="B1269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F8C1F16"/>
    <w:multiLevelType w:val="hybridMultilevel"/>
    <w:tmpl w:val="DD302A68"/>
    <w:lvl w:ilvl="0" w:tplc="04090013">
      <w:start w:val="1"/>
      <w:numFmt w:val="upperRoman"/>
      <w:lvlText w:val="%1."/>
      <w:lvlJc w:val="right"/>
      <w:pPr>
        <w:ind w:left="540" w:hanging="180"/>
      </w:pPr>
    </w:lvl>
    <w:lvl w:ilvl="1" w:tplc="1C28997C">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FE29B6"/>
    <w:multiLevelType w:val="hybridMultilevel"/>
    <w:tmpl w:val="4864999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7D2871"/>
    <w:multiLevelType w:val="hybridMultilevel"/>
    <w:tmpl w:val="4B0A2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45BCD"/>
    <w:multiLevelType w:val="hybridMultilevel"/>
    <w:tmpl w:val="062E9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5A593D"/>
    <w:multiLevelType w:val="hybridMultilevel"/>
    <w:tmpl w:val="96E2D956"/>
    <w:lvl w:ilvl="0" w:tplc="DA1050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12"/>
  </w:num>
  <w:num w:numId="5">
    <w:abstractNumId w:val="11"/>
  </w:num>
  <w:num w:numId="6">
    <w:abstractNumId w:val="3"/>
  </w:num>
  <w:num w:numId="7">
    <w:abstractNumId w:val="14"/>
  </w:num>
  <w:num w:numId="8">
    <w:abstractNumId w:val="5"/>
  </w:num>
  <w:num w:numId="9">
    <w:abstractNumId w:val="13"/>
  </w:num>
  <w:num w:numId="10">
    <w:abstractNumId w:val="10"/>
  </w:num>
  <w:num w:numId="11">
    <w:abstractNumId w:val="9"/>
  </w:num>
  <w:num w:numId="12">
    <w:abstractNumId w:val="8"/>
  </w:num>
  <w:num w:numId="13">
    <w:abstractNumId w:val="7"/>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61"/>
    <w:rsid w:val="000001EB"/>
    <w:rsid w:val="0000270A"/>
    <w:rsid w:val="0000302B"/>
    <w:rsid w:val="00003752"/>
    <w:rsid w:val="0000758B"/>
    <w:rsid w:val="00007AA4"/>
    <w:rsid w:val="00007BC8"/>
    <w:rsid w:val="00010C7A"/>
    <w:rsid w:val="00010F0D"/>
    <w:rsid w:val="000116E0"/>
    <w:rsid w:val="00012B18"/>
    <w:rsid w:val="00013259"/>
    <w:rsid w:val="0001367A"/>
    <w:rsid w:val="0001490C"/>
    <w:rsid w:val="000154C6"/>
    <w:rsid w:val="00017BC5"/>
    <w:rsid w:val="00021BC8"/>
    <w:rsid w:val="00022455"/>
    <w:rsid w:val="0002372B"/>
    <w:rsid w:val="0002441C"/>
    <w:rsid w:val="00024BD9"/>
    <w:rsid w:val="00025A05"/>
    <w:rsid w:val="00027A6F"/>
    <w:rsid w:val="000302F2"/>
    <w:rsid w:val="00032F16"/>
    <w:rsid w:val="00033454"/>
    <w:rsid w:val="00033E08"/>
    <w:rsid w:val="00033E9C"/>
    <w:rsid w:val="000349BE"/>
    <w:rsid w:val="00041176"/>
    <w:rsid w:val="00042121"/>
    <w:rsid w:val="00047BCE"/>
    <w:rsid w:val="00050735"/>
    <w:rsid w:val="00051338"/>
    <w:rsid w:val="00051B42"/>
    <w:rsid w:val="00055EEA"/>
    <w:rsid w:val="00057CC8"/>
    <w:rsid w:val="00060624"/>
    <w:rsid w:val="00060EFF"/>
    <w:rsid w:val="000652C5"/>
    <w:rsid w:val="000659AB"/>
    <w:rsid w:val="00065C3D"/>
    <w:rsid w:val="00067365"/>
    <w:rsid w:val="00070EAB"/>
    <w:rsid w:val="000739E4"/>
    <w:rsid w:val="0007544A"/>
    <w:rsid w:val="00075B4B"/>
    <w:rsid w:val="000776CD"/>
    <w:rsid w:val="00077B77"/>
    <w:rsid w:val="00077FDA"/>
    <w:rsid w:val="0008009C"/>
    <w:rsid w:val="00081A86"/>
    <w:rsid w:val="000854FC"/>
    <w:rsid w:val="00085BA5"/>
    <w:rsid w:val="00085E9F"/>
    <w:rsid w:val="0008668F"/>
    <w:rsid w:val="00087200"/>
    <w:rsid w:val="00090901"/>
    <w:rsid w:val="0009099A"/>
    <w:rsid w:val="0009156A"/>
    <w:rsid w:val="00093F68"/>
    <w:rsid w:val="0009539A"/>
    <w:rsid w:val="000959F4"/>
    <w:rsid w:val="00096F48"/>
    <w:rsid w:val="00097C7D"/>
    <w:rsid w:val="000A0A1D"/>
    <w:rsid w:val="000A0F54"/>
    <w:rsid w:val="000A1A33"/>
    <w:rsid w:val="000A2AD5"/>
    <w:rsid w:val="000A3249"/>
    <w:rsid w:val="000A421A"/>
    <w:rsid w:val="000A44FE"/>
    <w:rsid w:val="000A6D28"/>
    <w:rsid w:val="000B0D5B"/>
    <w:rsid w:val="000B10C8"/>
    <w:rsid w:val="000B119F"/>
    <w:rsid w:val="000B1C9B"/>
    <w:rsid w:val="000B4502"/>
    <w:rsid w:val="000B577C"/>
    <w:rsid w:val="000B79A2"/>
    <w:rsid w:val="000C0006"/>
    <w:rsid w:val="000C08B3"/>
    <w:rsid w:val="000C145C"/>
    <w:rsid w:val="000C16F7"/>
    <w:rsid w:val="000C3505"/>
    <w:rsid w:val="000C4BB6"/>
    <w:rsid w:val="000C5A0B"/>
    <w:rsid w:val="000C6A4A"/>
    <w:rsid w:val="000D09E7"/>
    <w:rsid w:val="000D1D72"/>
    <w:rsid w:val="000D2531"/>
    <w:rsid w:val="000D25A5"/>
    <w:rsid w:val="000D2AA0"/>
    <w:rsid w:val="000D3D91"/>
    <w:rsid w:val="000D4625"/>
    <w:rsid w:val="000D66EE"/>
    <w:rsid w:val="000D71B7"/>
    <w:rsid w:val="000E08A9"/>
    <w:rsid w:val="000E0E3A"/>
    <w:rsid w:val="000E1D4D"/>
    <w:rsid w:val="000E2319"/>
    <w:rsid w:val="000E3503"/>
    <w:rsid w:val="000E379F"/>
    <w:rsid w:val="000E686D"/>
    <w:rsid w:val="000F0324"/>
    <w:rsid w:val="000F04E5"/>
    <w:rsid w:val="000F0D0F"/>
    <w:rsid w:val="000F272D"/>
    <w:rsid w:val="000F353D"/>
    <w:rsid w:val="000F705B"/>
    <w:rsid w:val="000F7DF3"/>
    <w:rsid w:val="00103DC2"/>
    <w:rsid w:val="00107F7F"/>
    <w:rsid w:val="00111272"/>
    <w:rsid w:val="00111EBF"/>
    <w:rsid w:val="0011205E"/>
    <w:rsid w:val="001127FB"/>
    <w:rsid w:val="00115255"/>
    <w:rsid w:val="00115821"/>
    <w:rsid w:val="00115F72"/>
    <w:rsid w:val="001161D0"/>
    <w:rsid w:val="001166BC"/>
    <w:rsid w:val="001179C0"/>
    <w:rsid w:val="0012265C"/>
    <w:rsid w:val="00122719"/>
    <w:rsid w:val="001243D6"/>
    <w:rsid w:val="001334F6"/>
    <w:rsid w:val="00134B6B"/>
    <w:rsid w:val="001358D2"/>
    <w:rsid w:val="00136F04"/>
    <w:rsid w:val="001371FB"/>
    <w:rsid w:val="00137EE7"/>
    <w:rsid w:val="001400E8"/>
    <w:rsid w:val="00142B0C"/>
    <w:rsid w:val="00143E91"/>
    <w:rsid w:val="00143F31"/>
    <w:rsid w:val="001476F4"/>
    <w:rsid w:val="00150ECB"/>
    <w:rsid w:val="001522D3"/>
    <w:rsid w:val="00152428"/>
    <w:rsid w:val="00152A6B"/>
    <w:rsid w:val="00153A2C"/>
    <w:rsid w:val="001546DC"/>
    <w:rsid w:val="00154ABE"/>
    <w:rsid w:val="00162050"/>
    <w:rsid w:val="001628E8"/>
    <w:rsid w:val="0016299C"/>
    <w:rsid w:val="001635B4"/>
    <w:rsid w:val="00166BB8"/>
    <w:rsid w:val="00167279"/>
    <w:rsid w:val="00170D1A"/>
    <w:rsid w:val="00171622"/>
    <w:rsid w:val="0017359A"/>
    <w:rsid w:val="00173FFE"/>
    <w:rsid w:val="00175A27"/>
    <w:rsid w:val="00175F49"/>
    <w:rsid w:val="001774D6"/>
    <w:rsid w:val="00180646"/>
    <w:rsid w:val="00182AD6"/>
    <w:rsid w:val="001844DC"/>
    <w:rsid w:val="00184B77"/>
    <w:rsid w:val="00185706"/>
    <w:rsid w:val="0018769D"/>
    <w:rsid w:val="00187907"/>
    <w:rsid w:val="00187EBE"/>
    <w:rsid w:val="0019091E"/>
    <w:rsid w:val="00191982"/>
    <w:rsid w:val="0019350A"/>
    <w:rsid w:val="0019448C"/>
    <w:rsid w:val="00194AA2"/>
    <w:rsid w:val="00194FC7"/>
    <w:rsid w:val="00195D47"/>
    <w:rsid w:val="0019670C"/>
    <w:rsid w:val="00197D87"/>
    <w:rsid w:val="001A068B"/>
    <w:rsid w:val="001A0F0A"/>
    <w:rsid w:val="001A10E8"/>
    <w:rsid w:val="001A24AA"/>
    <w:rsid w:val="001A3127"/>
    <w:rsid w:val="001A3D2E"/>
    <w:rsid w:val="001A499C"/>
    <w:rsid w:val="001A4F77"/>
    <w:rsid w:val="001A69E4"/>
    <w:rsid w:val="001B0E21"/>
    <w:rsid w:val="001B3ADE"/>
    <w:rsid w:val="001B3F4B"/>
    <w:rsid w:val="001B493E"/>
    <w:rsid w:val="001B4B94"/>
    <w:rsid w:val="001B6B6B"/>
    <w:rsid w:val="001B6DDD"/>
    <w:rsid w:val="001B75D2"/>
    <w:rsid w:val="001C07DE"/>
    <w:rsid w:val="001C0E53"/>
    <w:rsid w:val="001C2EE0"/>
    <w:rsid w:val="001C698B"/>
    <w:rsid w:val="001D03E4"/>
    <w:rsid w:val="001D08BC"/>
    <w:rsid w:val="001D1066"/>
    <w:rsid w:val="001D2087"/>
    <w:rsid w:val="001D2BDF"/>
    <w:rsid w:val="001D3459"/>
    <w:rsid w:val="001D36A4"/>
    <w:rsid w:val="001D5046"/>
    <w:rsid w:val="001D5784"/>
    <w:rsid w:val="001D7B89"/>
    <w:rsid w:val="001E10AE"/>
    <w:rsid w:val="001E1A47"/>
    <w:rsid w:val="001E1E36"/>
    <w:rsid w:val="001E3871"/>
    <w:rsid w:val="001E3923"/>
    <w:rsid w:val="001E4649"/>
    <w:rsid w:val="001E58F4"/>
    <w:rsid w:val="001E73AC"/>
    <w:rsid w:val="001F06DE"/>
    <w:rsid w:val="001F280A"/>
    <w:rsid w:val="001F3DCC"/>
    <w:rsid w:val="001F408C"/>
    <w:rsid w:val="001F5BB6"/>
    <w:rsid w:val="001F5F42"/>
    <w:rsid w:val="001F6216"/>
    <w:rsid w:val="0020094E"/>
    <w:rsid w:val="00200FB8"/>
    <w:rsid w:val="002017FD"/>
    <w:rsid w:val="002033AF"/>
    <w:rsid w:val="00204AAD"/>
    <w:rsid w:val="002051DE"/>
    <w:rsid w:val="00212516"/>
    <w:rsid w:val="002128E0"/>
    <w:rsid w:val="00212CC1"/>
    <w:rsid w:val="0021387D"/>
    <w:rsid w:val="00214C7D"/>
    <w:rsid w:val="002153F8"/>
    <w:rsid w:val="00217176"/>
    <w:rsid w:val="00217B2A"/>
    <w:rsid w:val="00222BB8"/>
    <w:rsid w:val="0022313F"/>
    <w:rsid w:val="002236ED"/>
    <w:rsid w:val="0022392B"/>
    <w:rsid w:val="0022443D"/>
    <w:rsid w:val="002277E8"/>
    <w:rsid w:val="00230B73"/>
    <w:rsid w:val="00230F6C"/>
    <w:rsid w:val="00231133"/>
    <w:rsid w:val="002339BF"/>
    <w:rsid w:val="00234188"/>
    <w:rsid w:val="002344AC"/>
    <w:rsid w:val="00234577"/>
    <w:rsid w:val="00234EAE"/>
    <w:rsid w:val="00235793"/>
    <w:rsid w:val="00235DE4"/>
    <w:rsid w:val="00235F49"/>
    <w:rsid w:val="00237682"/>
    <w:rsid w:val="00240D23"/>
    <w:rsid w:val="00241574"/>
    <w:rsid w:val="002422A1"/>
    <w:rsid w:val="002426A1"/>
    <w:rsid w:val="00243719"/>
    <w:rsid w:val="002437A0"/>
    <w:rsid w:val="00243AAE"/>
    <w:rsid w:val="00243F61"/>
    <w:rsid w:val="0024518D"/>
    <w:rsid w:val="002462E6"/>
    <w:rsid w:val="00247297"/>
    <w:rsid w:val="00247D6A"/>
    <w:rsid w:val="00251C67"/>
    <w:rsid w:val="00252981"/>
    <w:rsid w:val="00254418"/>
    <w:rsid w:val="0025489F"/>
    <w:rsid w:val="00254DE7"/>
    <w:rsid w:val="00255FB7"/>
    <w:rsid w:val="00264883"/>
    <w:rsid w:val="00264FC0"/>
    <w:rsid w:val="00266560"/>
    <w:rsid w:val="002670F0"/>
    <w:rsid w:val="0026782D"/>
    <w:rsid w:val="002702AC"/>
    <w:rsid w:val="002705A6"/>
    <w:rsid w:val="002719FE"/>
    <w:rsid w:val="0027639F"/>
    <w:rsid w:val="00276680"/>
    <w:rsid w:val="00276BA1"/>
    <w:rsid w:val="00280EC0"/>
    <w:rsid w:val="0028114C"/>
    <w:rsid w:val="00281384"/>
    <w:rsid w:val="00283348"/>
    <w:rsid w:val="002836B3"/>
    <w:rsid w:val="002839D3"/>
    <w:rsid w:val="00283B70"/>
    <w:rsid w:val="00285657"/>
    <w:rsid w:val="00287427"/>
    <w:rsid w:val="00290A05"/>
    <w:rsid w:val="00290AFC"/>
    <w:rsid w:val="00290D23"/>
    <w:rsid w:val="00291377"/>
    <w:rsid w:val="002924BB"/>
    <w:rsid w:val="00293484"/>
    <w:rsid w:val="00294020"/>
    <w:rsid w:val="00295909"/>
    <w:rsid w:val="002967DE"/>
    <w:rsid w:val="002A1254"/>
    <w:rsid w:val="002A37CA"/>
    <w:rsid w:val="002A3A95"/>
    <w:rsid w:val="002A5105"/>
    <w:rsid w:val="002A55FA"/>
    <w:rsid w:val="002A6943"/>
    <w:rsid w:val="002A75F2"/>
    <w:rsid w:val="002B1696"/>
    <w:rsid w:val="002B1A48"/>
    <w:rsid w:val="002B4635"/>
    <w:rsid w:val="002B50CC"/>
    <w:rsid w:val="002B6C1E"/>
    <w:rsid w:val="002B6C2D"/>
    <w:rsid w:val="002C0A51"/>
    <w:rsid w:val="002C0E83"/>
    <w:rsid w:val="002C1701"/>
    <w:rsid w:val="002C3947"/>
    <w:rsid w:val="002C4C99"/>
    <w:rsid w:val="002C6F60"/>
    <w:rsid w:val="002D0636"/>
    <w:rsid w:val="002D13BA"/>
    <w:rsid w:val="002D271C"/>
    <w:rsid w:val="002D384A"/>
    <w:rsid w:val="002D3CE8"/>
    <w:rsid w:val="002D47D0"/>
    <w:rsid w:val="002D6650"/>
    <w:rsid w:val="002D6BE0"/>
    <w:rsid w:val="002E00E8"/>
    <w:rsid w:val="002E0D32"/>
    <w:rsid w:val="002E28A2"/>
    <w:rsid w:val="002E2B50"/>
    <w:rsid w:val="002E2C70"/>
    <w:rsid w:val="002E38B0"/>
    <w:rsid w:val="002E5C86"/>
    <w:rsid w:val="002E5E71"/>
    <w:rsid w:val="002E790B"/>
    <w:rsid w:val="002E7B55"/>
    <w:rsid w:val="002E7F3C"/>
    <w:rsid w:val="002F0413"/>
    <w:rsid w:val="002F127F"/>
    <w:rsid w:val="002F57E3"/>
    <w:rsid w:val="002F6389"/>
    <w:rsid w:val="002F741E"/>
    <w:rsid w:val="002F75EF"/>
    <w:rsid w:val="002F7D60"/>
    <w:rsid w:val="002F7E9B"/>
    <w:rsid w:val="0030143C"/>
    <w:rsid w:val="00301D8C"/>
    <w:rsid w:val="00303F87"/>
    <w:rsid w:val="00304996"/>
    <w:rsid w:val="00304C78"/>
    <w:rsid w:val="0030620E"/>
    <w:rsid w:val="00306A81"/>
    <w:rsid w:val="00306E6F"/>
    <w:rsid w:val="00307592"/>
    <w:rsid w:val="00311F97"/>
    <w:rsid w:val="0031220C"/>
    <w:rsid w:val="00314854"/>
    <w:rsid w:val="00314D91"/>
    <w:rsid w:val="003151C6"/>
    <w:rsid w:val="00315BE5"/>
    <w:rsid w:val="0032061F"/>
    <w:rsid w:val="0032119F"/>
    <w:rsid w:val="00321D10"/>
    <w:rsid w:val="003223F6"/>
    <w:rsid w:val="00323A20"/>
    <w:rsid w:val="00326C8C"/>
    <w:rsid w:val="00330624"/>
    <w:rsid w:val="00330836"/>
    <w:rsid w:val="00331F38"/>
    <w:rsid w:val="003321D1"/>
    <w:rsid w:val="0033310D"/>
    <w:rsid w:val="0033322A"/>
    <w:rsid w:val="0033496E"/>
    <w:rsid w:val="00334EA4"/>
    <w:rsid w:val="0033685D"/>
    <w:rsid w:val="003373E3"/>
    <w:rsid w:val="00337B09"/>
    <w:rsid w:val="00337F52"/>
    <w:rsid w:val="00340D93"/>
    <w:rsid w:val="00341695"/>
    <w:rsid w:val="003452A9"/>
    <w:rsid w:val="0034562E"/>
    <w:rsid w:val="00347B9C"/>
    <w:rsid w:val="00347DD8"/>
    <w:rsid w:val="003500A8"/>
    <w:rsid w:val="00351FC6"/>
    <w:rsid w:val="00355586"/>
    <w:rsid w:val="003560BE"/>
    <w:rsid w:val="00356B8A"/>
    <w:rsid w:val="0035712F"/>
    <w:rsid w:val="003579E8"/>
    <w:rsid w:val="00360183"/>
    <w:rsid w:val="00360521"/>
    <w:rsid w:val="003607A1"/>
    <w:rsid w:val="00360AC9"/>
    <w:rsid w:val="00365718"/>
    <w:rsid w:val="00365FE1"/>
    <w:rsid w:val="003665A0"/>
    <w:rsid w:val="00366FE8"/>
    <w:rsid w:val="003707FF"/>
    <w:rsid w:val="003715B8"/>
    <w:rsid w:val="00372CAD"/>
    <w:rsid w:val="00373328"/>
    <w:rsid w:val="00374342"/>
    <w:rsid w:val="003809DF"/>
    <w:rsid w:val="00381520"/>
    <w:rsid w:val="00383275"/>
    <w:rsid w:val="00383F52"/>
    <w:rsid w:val="00384430"/>
    <w:rsid w:val="00385A1C"/>
    <w:rsid w:val="00385E25"/>
    <w:rsid w:val="003866AE"/>
    <w:rsid w:val="00387991"/>
    <w:rsid w:val="00387F63"/>
    <w:rsid w:val="003907EF"/>
    <w:rsid w:val="00391BAA"/>
    <w:rsid w:val="00393090"/>
    <w:rsid w:val="00393A10"/>
    <w:rsid w:val="00393C2E"/>
    <w:rsid w:val="003A0E45"/>
    <w:rsid w:val="003A2A96"/>
    <w:rsid w:val="003A2AE3"/>
    <w:rsid w:val="003A2F29"/>
    <w:rsid w:val="003A3F04"/>
    <w:rsid w:val="003A5D6E"/>
    <w:rsid w:val="003A75DC"/>
    <w:rsid w:val="003B2541"/>
    <w:rsid w:val="003B2B40"/>
    <w:rsid w:val="003B2EC5"/>
    <w:rsid w:val="003B3A01"/>
    <w:rsid w:val="003B3ABE"/>
    <w:rsid w:val="003B41FE"/>
    <w:rsid w:val="003B5BBF"/>
    <w:rsid w:val="003B62CC"/>
    <w:rsid w:val="003B7295"/>
    <w:rsid w:val="003C02A0"/>
    <w:rsid w:val="003C0B41"/>
    <w:rsid w:val="003C19FC"/>
    <w:rsid w:val="003C329D"/>
    <w:rsid w:val="003C4B28"/>
    <w:rsid w:val="003C5706"/>
    <w:rsid w:val="003C624E"/>
    <w:rsid w:val="003C6D70"/>
    <w:rsid w:val="003C6FB6"/>
    <w:rsid w:val="003D0923"/>
    <w:rsid w:val="003D1AF3"/>
    <w:rsid w:val="003D26BB"/>
    <w:rsid w:val="003D2A6F"/>
    <w:rsid w:val="003D2BF6"/>
    <w:rsid w:val="003D6831"/>
    <w:rsid w:val="003D6BEE"/>
    <w:rsid w:val="003D74BA"/>
    <w:rsid w:val="003E042B"/>
    <w:rsid w:val="003E0E60"/>
    <w:rsid w:val="003E1AEC"/>
    <w:rsid w:val="003E22A6"/>
    <w:rsid w:val="003E5646"/>
    <w:rsid w:val="003E57F5"/>
    <w:rsid w:val="003F0068"/>
    <w:rsid w:val="003F1DF6"/>
    <w:rsid w:val="003F237F"/>
    <w:rsid w:val="003F2666"/>
    <w:rsid w:val="003F38A9"/>
    <w:rsid w:val="003F459B"/>
    <w:rsid w:val="00400A98"/>
    <w:rsid w:val="00400D1D"/>
    <w:rsid w:val="00401779"/>
    <w:rsid w:val="00401C90"/>
    <w:rsid w:val="00401D5E"/>
    <w:rsid w:val="00401F5B"/>
    <w:rsid w:val="0040251B"/>
    <w:rsid w:val="0040319B"/>
    <w:rsid w:val="004038FD"/>
    <w:rsid w:val="00404731"/>
    <w:rsid w:val="00404873"/>
    <w:rsid w:val="004067FC"/>
    <w:rsid w:val="00407BD2"/>
    <w:rsid w:val="004119B4"/>
    <w:rsid w:val="00412F32"/>
    <w:rsid w:val="00413C20"/>
    <w:rsid w:val="00414DE7"/>
    <w:rsid w:val="00415296"/>
    <w:rsid w:val="00415A3C"/>
    <w:rsid w:val="004165EB"/>
    <w:rsid w:val="00416C05"/>
    <w:rsid w:val="00422D3B"/>
    <w:rsid w:val="00425427"/>
    <w:rsid w:val="004261F8"/>
    <w:rsid w:val="004262F4"/>
    <w:rsid w:val="00427304"/>
    <w:rsid w:val="00427667"/>
    <w:rsid w:val="00431923"/>
    <w:rsid w:val="00432962"/>
    <w:rsid w:val="004364CA"/>
    <w:rsid w:val="004369B6"/>
    <w:rsid w:val="00436D71"/>
    <w:rsid w:val="00436DA9"/>
    <w:rsid w:val="00440114"/>
    <w:rsid w:val="004414B4"/>
    <w:rsid w:val="0044223E"/>
    <w:rsid w:val="0044280A"/>
    <w:rsid w:val="00442EDD"/>
    <w:rsid w:val="0044391A"/>
    <w:rsid w:val="00444750"/>
    <w:rsid w:val="00445425"/>
    <w:rsid w:val="00446339"/>
    <w:rsid w:val="00446B78"/>
    <w:rsid w:val="00447592"/>
    <w:rsid w:val="00451195"/>
    <w:rsid w:val="0045196B"/>
    <w:rsid w:val="0045270A"/>
    <w:rsid w:val="00454049"/>
    <w:rsid w:val="0045554F"/>
    <w:rsid w:val="00455A8F"/>
    <w:rsid w:val="00455E91"/>
    <w:rsid w:val="004609B7"/>
    <w:rsid w:val="00461502"/>
    <w:rsid w:val="004623DE"/>
    <w:rsid w:val="00464C8B"/>
    <w:rsid w:val="004663B9"/>
    <w:rsid w:val="00467AAC"/>
    <w:rsid w:val="00467B3E"/>
    <w:rsid w:val="00467FD8"/>
    <w:rsid w:val="004739E8"/>
    <w:rsid w:val="00475072"/>
    <w:rsid w:val="00475FA9"/>
    <w:rsid w:val="00480D5B"/>
    <w:rsid w:val="00481955"/>
    <w:rsid w:val="004820C9"/>
    <w:rsid w:val="004823AF"/>
    <w:rsid w:val="00482484"/>
    <w:rsid w:val="004840C5"/>
    <w:rsid w:val="00486925"/>
    <w:rsid w:val="00487438"/>
    <w:rsid w:val="004879AB"/>
    <w:rsid w:val="004900DA"/>
    <w:rsid w:val="004906B5"/>
    <w:rsid w:val="00490779"/>
    <w:rsid w:val="00492773"/>
    <w:rsid w:val="004941D2"/>
    <w:rsid w:val="00496C99"/>
    <w:rsid w:val="00497BA7"/>
    <w:rsid w:val="004A017B"/>
    <w:rsid w:val="004A0344"/>
    <w:rsid w:val="004A086C"/>
    <w:rsid w:val="004A0BCC"/>
    <w:rsid w:val="004A1480"/>
    <w:rsid w:val="004A1F34"/>
    <w:rsid w:val="004A2A6A"/>
    <w:rsid w:val="004A3DA1"/>
    <w:rsid w:val="004B00FF"/>
    <w:rsid w:val="004B027F"/>
    <w:rsid w:val="004B2206"/>
    <w:rsid w:val="004B26C2"/>
    <w:rsid w:val="004B35C4"/>
    <w:rsid w:val="004B66D8"/>
    <w:rsid w:val="004C01FD"/>
    <w:rsid w:val="004C05FD"/>
    <w:rsid w:val="004C089C"/>
    <w:rsid w:val="004C0AD4"/>
    <w:rsid w:val="004C3ED0"/>
    <w:rsid w:val="004C4152"/>
    <w:rsid w:val="004C44F0"/>
    <w:rsid w:val="004C4C48"/>
    <w:rsid w:val="004C5468"/>
    <w:rsid w:val="004C5F2A"/>
    <w:rsid w:val="004C6AF6"/>
    <w:rsid w:val="004C7E8D"/>
    <w:rsid w:val="004D1D7E"/>
    <w:rsid w:val="004D21B4"/>
    <w:rsid w:val="004D3BA4"/>
    <w:rsid w:val="004D432D"/>
    <w:rsid w:val="004D60A4"/>
    <w:rsid w:val="004D61F6"/>
    <w:rsid w:val="004D6FFA"/>
    <w:rsid w:val="004E0054"/>
    <w:rsid w:val="004E2862"/>
    <w:rsid w:val="004E3BB7"/>
    <w:rsid w:val="004E3CE4"/>
    <w:rsid w:val="004E784D"/>
    <w:rsid w:val="004F0C59"/>
    <w:rsid w:val="004F1A2F"/>
    <w:rsid w:val="004F20E8"/>
    <w:rsid w:val="004F2204"/>
    <w:rsid w:val="004F3397"/>
    <w:rsid w:val="004F5A00"/>
    <w:rsid w:val="004F7186"/>
    <w:rsid w:val="00500281"/>
    <w:rsid w:val="00502FF6"/>
    <w:rsid w:val="005045FA"/>
    <w:rsid w:val="005050F6"/>
    <w:rsid w:val="00505901"/>
    <w:rsid w:val="005059D7"/>
    <w:rsid w:val="00505C2C"/>
    <w:rsid w:val="00506AAF"/>
    <w:rsid w:val="005074F9"/>
    <w:rsid w:val="00510078"/>
    <w:rsid w:val="00510440"/>
    <w:rsid w:val="0051131C"/>
    <w:rsid w:val="00512D0E"/>
    <w:rsid w:val="005135D8"/>
    <w:rsid w:val="00514525"/>
    <w:rsid w:val="0051514D"/>
    <w:rsid w:val="00515635"/>
    <w:rsid w:val="00517D87"/>
    <w:rsid w:val="005210CC"/>
    <w:rsid w:val="00521991"/>
    <w:rsid w:val="005230B8"/>
    <w:rsid w:val="005313F4"/>
    <w:rsid w:val="00534027"/>
    <w:rsid w:val="0053510A"/>
    <w:rsid w:val="00535B21"/>
    <w:rsid w:val="00535EB6"/>
    <w:rsid w:val="005363AA"/>
    <w:rsid w:val="005363BE"/>
    <w:rsid w:val="00536F4B"/>
    <w:rsid w:val="005410EB"/>
    <w:rsid w:val="00543206"/>
    <w:rsid w:val="0054448D"/>
    <w:rsid w:val="00545589"/>
    <w:rsid w:val="00546963"/>
    <w:rsid w:val="00546AC1"/>
    <w:rsid w:val="005477F6"/>
    <w:rsid w:val="0055187D"/>
    <w:rsid w:val="00552C5C"/>
    <w:rsid w:val="005531B2"/>
    <w:rsid w:val="00553465"/>
    <w:rsid w:val="005539C9"/>
    <w:rsid w:val="00553C68"/>
    <w:rsid w:val="00556561"/>
    <w:rsid w:val="005566ED"/>
    <w:rsid w:val="00557A13"/>
    <w:rsid w:val="00561396"/>
    <w:rsid w:val="00562285"/>
    <w:rsid w:val="005637EB"/>
    <w:rsid w:val="005639D5"/>
    <w:rsid w:val="00563B27"/>
    <w:rsid w:val="00564E2A"/>
    <w:rsid w:val="00565992"/>
    <w:rsid w:val="00566CBF"/>
    <w:rsid w:val="005702F6"/>
    <w:rsid w:val="005704E6"/>
    <w:rsid w:val="00571DAE"/>
    <w:rsid w:val="00574BC2"/>
    <w:rsid w:val="00574E0F"/>
    <w:rsid w:val="00574F03"/>
    <w:rsid w:val="00576426"/>
    <w:rsid w:val="00580205"/>
    <w:rsid w:val="005803D0"/>
    <w:rsid w:val="005817C3"/>
    <w:rsid w:val="00581E34"/>
    <w:rsid w:val="00581E74"/>
    <w:rsid w:val="00582BB1"/>
    <w:rsid w:val="00585A8B"/>
    <w:rsid w:val="00585BCC"/>
    <w:rsid w:val="00585EF5"/>
    <w:rsid w:val="00586789"/>
    <w:rsid w:val="0058689B"/>
    <w:rsid w:val="00590BD3"/>
    <w:rsid w:val="00595CD1"/>
    <w:rsid w:val="00597785"/>
    <w:rsid w:val="005A12F1"/>
    <w:rsid w:val="005A1B97"/>
    <w:rsid w:val="005A37B3"/>
    <w:rsid w:val="005A3C5C"/>
    <w:rsid w:val="005A4414"/>
    <w:rsid w:val="005A773A"/>
    <w:rsid w:val="005A7E47"/>
    <w:rsid w:val="005B25C5"/>
    <w:rsid w:val="005B27EC"/>
    <w:rsid w:val="005B2934"/>
    <w:rsid w:val="005B4AD1"/>
    <w:rsid w:val="005B55D1"/>
    <w:rsid w:val="005B6367"/>
    <w:rsid w:val="005B679C"/>
    <w:rsid w:val="005B7CC5"/>
    <w:rsid w:val="005C1731"/>
    <w:rsid w:val="005C3857"/>
    <w:rsid w:val="005C4561"/>
    <w:rsid w:val="005C5F37"/>
    <w:rsid w:val="005C656A"/>
    <w:rsid w:val="005D044A"/>
    <w:rsid w:val="005D0903"/>
    <w:rsid w:val="005D24EB"/>
    <w:rsid w:val="005D27C1"/>
    <w:rsid w:val="005D376F"/>
    <w:rsid w:val="005D401A"/>
    <w:rsid w:val="005D64FB"/>
    <w:rsid w:val="005D719F"/>
    <w:rsid w:val="005E15BD"/>
    <w:rsid w:val="005E1873"/>
    <w:rsid w:val="005E1A29"/>
    <w:rsid w:val="005E1A75"/>
    <w:rsid w:val="005E2103"/>
    <w:rsid w:val="005E2875"/>
    <w:rsid w:val="005E30EE"/>
    <w:rsid w:val="005E3624"/>
    <w:rsid w:val="005E3F96"/>
    <w:rsid w:val="005E4D1A"/>
    <w:rsid w:val="005E4D9E"/>
    <w:rsid w:val="005E5435"/>
    <w:rsid w:val="005E54B0"/>
    <w:rsid w:val="005E5D10"/>
    <w:rsid w:val="005E6F3B"/>
    <w:rsid w:val="005E74D2"/>
    <w:rsid w:val="005F1554"/>
    <w:rsid w:val="005F70AF"/>
    <w:rsid w:val="0060043C"/>
    <w:rsid w:val="0060190F"/>
    <w:rsid w:val="0060196A"/>
    <w:rsid w:val="00601FD4"/>
    <w:rsid w:val="00603429"/>
    <w:rsid w:val="0060384F"/>
    <w:rsid w:val="00604CE8"/>
    <w:rsid w:val="006056A2"/>
    <w:rsid w:val="006058D4"/>
    <w:rsid w:val="0060603F"/>
    <w:rsid w:val="00607F40"/>
    <w:rsid w:val="006116BB"/>
    <w:rsid w:val="00614FDE"/>
    <w:rsid w:val="00616479"/>
    <w:rsid w:val="00617387"/>
    <w:rsid w:val="00620EC8"/>
    <w:rsid w:val="00621001"/>
    <w:rsid w:val="00621511"/>
    <w:rsid w:val="006222AD"/>
    <w:rsid w:val="006228FB"/>
    <w:rsid w:val="00623FA1"/>
    <w:rsid w:val="00626777"/>
    <w:rsid w:val="00626DDE"/>
    <w:rsid w:val="006319C1"/>
    <w:rsid w:val="00634621"/>
    <w:rsid w:val="006408BB"/>
    <w:rsid w:val="00640FAC"/>
    <w:rsid w:val="0064165C"/>
    <w:rsid w:val="00641E12"/>
    <w:rsid w:val="006420C7"/>
    <w:rsid w:val="006438AF"/>
    <w:rsid w:val="00644C24"/>
    <w:rsid w:val="00646714"/>
    <w:rsid w:val="00647D6E"/>
    <w:rsid w:val="00650593"/>
    <w:rsid w:val="0065063F"/>
    <w:rsid w:val="00650FCD"/>
    <w:rsid w:val="006577FA"/>
    <w:rsid w:val="00657F57"/>
    <w:rsid w:val="00662D5D"/>
    <w:rsid w:val="00663061"/>
    <w:rsid w:val="006658CA"/>
    <w:rsid w:val="00667B7C"/>
    <w:rsid w:val="00670B89"/>
    <w:rsid w:val="006732DB"/>
    <w:rsid w:val="0067338F"/>
    <w:rsid w:val="006733E1"/>
    <w:rsid w:val="00673E02"/>
    <w:rsid w:val="00674DF9"/>
    <w:rsid w:val="00676648"/>
    <w:rsid w:val="00677411"/>
    <w:rsid w:val="00680844"/>
    <w:rsid w:val="0068459E"/>
    <w:rsid w:val="00684F4B"/>
    <w:rsid w:val="00685E61"/>
    <w:rsid w:val="00686CF9"/>
    <w:rsid w:val="00687225"/>
    <w:rsid w:val="00690DF9"/>
    <w:rsid w:val="00692D6D"/>
    <w:rsid w:val="006953DA"/>
    <w:rsid w:val="006A00C1"/>
    <w:rsid w:val="006A2269"/>
    <w:rsid w:val="006A2320"/>
    <w:rsid w:val="006A23A9"/>
    <w:rsid w:val="006A337A"/>
    <w:rsid w:val="006A3BE8"/>
    <w:rsid w:val="006A5CB7"/>
    <w:rsid w:val="006A61FB"/>
    <w:rsid w:val="006A6B06"/>
    <w:rsid w:val="006A6B29"/>
    <w:rsid w:val="006A7BF4"/>
    <w:rsid w:val="006A7EE9"/>
    <w:rsid w:val="006B18C9"/>
    <w:rsid w:val="006B1B62"/>
    <w:rsid w:val="006B1F3A"/>
    <w:rsid w:val="006B4612"/>
    <w:rsid w:val="006B46BC"/>
    <w:rsid w:val="006B6AED"/>
    <w:rsid w:val="006B6E26"/>
    <w:rsid w:val="006B70F0"/>
    <w:rsid w:val="006B7D3D"/>
    <w:rsid w:val="006C09B4"/>
    <w:rsid w:val="006C21CD"/>
    <w:rsid w:val="006C44B1"/>
    <w:rsid w:val="006C6F45"/>
    <w:rsid w:val="006D006B"/>
    <w:rsid w:val="006D070F"/>
    <w:rsid w:val="006D1A7B"/>
    <w:rsid w:val="006D3844"/>
    <w:rsid w:val="006D4210"/>
    <w:rsid w:val="006D49B6"/>
    <w:rsid w:val="006D5EB2"/>
    <w:rsid w:val="006D6868"/>
    <w:rsid w:val="006E1936"/>
    <w:rsid w:val="006E1A01"/>
    <w:rsid w:val="006E1D6D"/>
    <w:rsid w:val="006E2926"/>
    <w:rsid w:val="006E3594"/>
    <w:rsid w:val="006F10D5"/>
    <w:rsid w:val="006F1D3B"/>
    <w:rsid w:val="006F40F7"/>
    <w:rsid w:val="006F51D3"/>
    <w:rsid w:val="006F5A98"/>
    <w:rsid w:val="006F5F8E"/>
    <w:rsid w:val="006F707B"/>
    <w:rsid w:val="006F714D"/>
    <w:rsid w:val="00701FC6"/>
    <w:rsid w:val="007042F9"/>
    <w:rsid w:val="00705167"/>
    <w:rsid w:val="00706216"/>
    <w:rsid w:val="007069F0"/>
    <w:rsid w:val="00707451"/>
    <w:rsid w:val="00710057"/>
    <w:rsid w:val="00710512"/>
    <w:rsid w:val="0071178E"/>
    <w:rsid w:val="00711FC1"/>
    <w:rsid w:val="00712EBE"/>
    <w:rsid w:val="0071384B"/>
    <w:rsid w:val="007139C9"/>
    <w:rsid w:val="00714599"/>
    <w:rsid w:val="007168F2"/>
    <w:rsid w:val="00716BE8"/>
    <w:rsid w:val="007209B2"/>
    <w:rsid w:val="00720FF7"/>
    <w:rsid w:val="0072169B"/>
    <w:rsid w:val="00722603"/>
    <w:rsid w:val="00722F6F"/>
    <w:rsid w:val="00723416"/>
    <w:rsid w:val="007243FB"/>
    <w:rsid w:val="007268DA"/>
    <w:rsid w:val="00727E9F"/>
    <w:rsid w:val="007302A9"/>
    <w:rsid w:val="007321C3"/>
    <w:rsid w:val="00734605"/>
    <w:rsid w:val="00734929"/>
    <w:rsid w:val="00735662"/>
    <w:rsid w:val="00735F1A"/>
    <w:rsid w:val="00736A9B"/>
    <w:rsid w:val="0073737F"/>
    <w:rsid w:val="00737845"/>
    <w:rsid w:val="00741871"/>
    <w:rsid w:val="00742B66"/>
    <w:rsid w:val="00743953"/>
    <w:rsid w:val="00743EC2"/>
    <w:rsid w:val="00744AA0"/>
    <w:rsid w:val="00745BC3"/>
    <w:rsid w:val="00745D75"/>
    <w:rsid w:val="00745E1D"/>
    <w:rsid w:val="00746E8C"/>
    <w:rsid w:val="00750D51"/>
    <w:rsid w:val="00751690"/>
    <w:rsid w:val="0075344A"/>
    <w:rsid w:val="00753B2C"/>
    <w:rsid w:val="007551EF"/>
    <w:rsid w:val="007551FE"/>
    <w:rsid w:val="00755985"/>
    <w:rsid w:val="00756648"/>
    <w:rsid w:val="007579DC"/>
    <w:rsid w:val="00757D1A"/>
    <w:rsid w:val="00760BF3"/>
    <w:rsid w:val="00762123"/>
    <w:rsid w:val="00762C12"/>
    <w:rsid w:val="0076341B"/>
    <w:rsid w:val="00764DB5"/>
    <w:rsid w:val="00765181"/>
    <w:rsid w:val="00765290"/>
    <w:rsid w:val="0076613D"/>
    <w:rsid w:val="00767B6D"/>
    <w:rsid w:val="007702FD"/>
    <w:rsid w:val="00770A8C"/>
    <w:rsid w:val="00770F54"/>
    <w:rsid w:val="0077231E"/>
    <w:rsid w:val="007726F9"/>
    <w:rsid w:val="007730C4"/>
    <w:rsid w:val="00773D4E"/>
    <w:rsid w:val="00775F85"/>
    <w:rsid w:val="007769E9"/>
    <w:rsid w:val="00776DBB"/>
    <w:rsid w:val="00781C47"/>
    <w:rsid w:val="00783A27"/>
    <w:rsid w:val="00783A49"/>
    <w:rsid w:val="00785345"/>
    <w:rsid w:val="00785CBE"/>
    <w:rsid w:val="00786AF9"/>
    <w:rsid w:val="0079123E"/>
    <w:rsid w:val="007916CA"/>
    <w:rsid w:val="00796780"/>
    <w:rsid w:val="00797294"/>
    <w:rsid w:val="007976A2"/>
    <w:rsid w:val="007A29C1"/>
    <w:rsid w:val="007A3CA4"/>
    <w:rsid w:val="007A3E1A"/>
    <w:rsid w:val="007A5762"/>
    <w:rsid w:val="007A57B0"/>
    <w:rsid w:val="007A58B7"/>
    <w:rsid w:val="007A6561"/>
    <w:rsid w:val="007B06E4"/>
    <w:rsid w:val="007B10A8"/>
    <w:rsid w:val="007B1EAA"/>
    <w:rsid w:val="007B493D"/>
    <w:rsid w:val="007B5D75"/>
    <w:rsid w:val="007B5ED5"/>
    <w:rsid w:val="007C19B0"/>
    <w:rsid w:val="007C2649"/>
    <w:rsid w:val="007C503C"/>
    <w:rsid w:val="007C6264"/>
    <w:rsid w:val="007C6686"/>
    <w:rsid w:val="007C7D14"/>
    <w:rsid w:val="007C7DB7"/>
    <w:rsid w:val="007D0116"/>
    <w:rsid w:val="007D04CC"/>
    <w:rsid w:val="007D061D"/>
    <w:rsid w:val="007D0966"/>
    <w:rsid w:val="007D24B8"/>
    <w:rsid w:val="007D54B8"/>
    <w:rsid w:val="007D6020"/>
    <w:rsid w:val="007D6BCC"/>
    <w:rsid w:val="007E1569"/>
    <w:rsid w:val="007E2CAE"/>
    <w:rsid w:val="007E3910"/>
    <w:rsid w:val="007E3B56"/>
    <w:rsid w:val="007E5448"/>
    <w:rsid w:val="007E75D5"/>
    <w:rsid w:val="007E78D4"/>
    <w:rsid w:val="007E7D36"/>
    <w:rsid w:val="007F24C8"/>
    <w:rsid w:val="007F33A9"/>
    <w:rsid w:val="007F352B"/>
    <w:rsid w:val="007F56C8"/>
    <w:rsid w:val="007F59B8"/>
    <w:rsid w:val="007F7972"/>
    <w:rsid w:val="0080003B"/>
    <w:rsid w:val="00801065"/>
    <w:rsid w:val="00802508"/>
    <w:rsid w:val="00802A28"/>
    <w:rsid w:val="00803FEA"/>
    <w:rsid w:val="00804145"/>
    <w:rsid w:val="00806D5B"/>
    <w:rsid w:val="008077CC"/>
    <w:rsid w:val="0081056F"/>
    <w:rsid w:val="00812C5C"/>
    <w:rsid w:val="00813B39"/>
    <w:rsid w:val="008145CD"/>
    <w:rsid w:val="0081532D"/>
    <w:rsid w:val="00820FF4"/>
    <w:rsid w:val="008218D6"/>
    <w:rsid w:val="00822935"/>
    <w:rsid w:val="00822C37"/>
    <w:rsid w:val="00825F5B"/>
    <w:rsid w:val="00826191"/>
    <w:rsid w:val="008264A1"/>
    <w:rsid w:val="00826DB9"/>
    <w:rsid w:val="0082744C"/>
    <w:rsid w:val="00827945"/>
    <w:rsid w:val="00831673"/>
    <w:rsid w:val="0083240A"/>
    <w:rsid w:val="00833FBD"/>
    <w:rsid w:val="008347DB"/>
    <w:rsid w:val="0083557F"/>
    <w:rsid w:val="00836A14"/>
    <w:rsid w:val="00836ADA"/>
    <w:rsid w:val="0084047D"/>
    <w:rsid w:val="008422B2"/>
    <w:rsid w:val="00843320"/>
    <w:rsid w:val="008448BE"/>
    <w:rsid w:val="00846C41"/>
    <w:rsid w:val="00850623"/>
    <w:rsid w:val="00850A71"/>
    <w:rsid w:val="008519CB"/>
    <w:rsid w:val="00851BFA"/>
    <w:rsid w:val="008522C3"/>
    <w:rsid w:val="00854353"/>
    <w:rsid w:val="0085442D"/>
    <w:rsid w:val="00855A08"/>
    <w:rsid w:val="00856613"/>
    <w:rsid w:val="00857D41"/>
    <w:rsid w:val="00861BA8"/>
    <w:rsid w:val="00862A0F"/>
    <w:rsid w:val="008648BD"/>
    <w:rsid w:val="00865F93"/>
    <w:rsid w:val="00866280"/>
    <w:rsid w:val="00867287"/>
    <w:rsid w:val="008705A6"/>
    <w:rsid w:val="00875007"/>
    <w:rsid w:val="0087507B"/>
    <w:rsid w:val="00875BFE"/>
    <w:rsid w:val="00876A1C"/>
    <w:rsid w:val="00876B49"/>
    <w:rsid w:val="0087772B"/>
    <w:rsid w:val="00877ECA"/>
    <w:rsid w:val="008811A9"/>
    <w:rsid w:val="00881992"/>
    <w:rsid w:val="00881F8E"/>
    <w:rsid w:val="0088206B"/>
    <w:rsid w:val="008839D5"/>
    <w:rsid w:val="0088606C"/>
    <w:rsid w:val="0088730F"/>
    <w:rsid w:val="0089043D"/>
    <w:rsid w:val="00890EEB"/>
    <w:rsid w:val="00892A23"/>
    <w:rsid w:val="00895E6E"/>
    <w:rsid w:val="008A33C0"/>
    <w:rsid w:val="008A3D73"/>
    <w:rsid w:val="008A4B58"/>
    <w:rsid w:val="008A4E3A"/>
    <w:rsid w:val="008A667F"/>
    <w:rsid w:val="008A6C06"/>
    <w:rsid w:val="008A7DEE"/>
    <w:rsid w:val="008B0795"/>
    <w:rsid w:val="008B0C31"/>
    <w:rsid w:val="008B24C5"/>
    <w:rsid w:val="008B4E66"/>
    <w:rsid w:val="008B5CD2"/>
    <w:rsid w:val="008C20F2"/>
    <w:rsid w:val="008C288E"/>
    <w:rsid w:val="008C2F62"/>
    <w:rsid w:val="008C44EE"/>
    <w:rsid w:val="008C661B"/>
    <w:rsid w:val="008D090B"/>
    <w:rsid w:val="008D0E11"/>
    <w:rsid w:val="008D11DD"/>
    <w:rsid w:val="008D1CDB"/>
    <w:rsid w:val="008D2F35"/>
    <w:rsid w:val="008D3151"/>
    <w:rsid w:val="008D340D"/>
    <w:rsid w:val="008D5842"/>
    <w:rsid w:val="008D5A91"/>
    <w:rsid w:val="008D5CBC"/>
    <w:rsid w:val="008D5E5E"/>
    <w:rsid w:val="008D6FDD"/>
    <w:rsid w:val="008D7827"/>
    <w:rsid w:val="008E065A"/>
    <w:rsid w:val="008E06EE"/>
    <w:rsid w:val="008E136B"/>
    <w:rsid w:val="008E21EE"/>
    <w:rsid w:val="008E3240"/>
    <w:rsid w:val="008E6717"/>
    <w:rsid w:val="008F20CF"/>
    <w:rsid w:val="008F2118"/>
    <w:rsid w:val="008F232A"/>
    <w:rsid w:val="008F428E"/>
    <w:rsid w:val="008F53FA"/>
    <w:rsid w:val="008F7145"/>
    <w:rsid w:val="009007AC"/>
    <w:rsid w:val="00902AC8"/>
    <w:rsid w:val="00902D9E"/>
    <w:rsid w:val="00903315"/>
    <w:rsid w:val="00903F01"/>
    <w:rsid w:val="009043E7"/>
    <w:rsid w:val="00906CE8"/>
    <w:rsid w:val="00910C63"/>
    <w:rsid w:val="009117AB"/>
    <w:rsid w:val="00911D4F"/>
    <w:rsid w:val="009126E6"/>
    <w:rsid w:val="00912F15"/>
    <w:rsid w:val="00913D5D"/>
    <w:rsid w:val="0091537A"/>
    <w:rsid w:val="009157AA"/>
    <w:rsid w:val="00915E3D"/>
    <w:rsid w:val="009204CF"/>
    <w:rsid w:val="00920596"/>
    <w:rsid w:val="0092236B"/>
    <w:rsid w:val="0092236D"/>
    <w:rsid w:val="00923433"/>
    <w:rsid w:val="009255F9"/>
    <w:rsid w:val="009258A8"/>
    <w:rsid w:val="00926B9F"/>
    <w:rsid w:val="00926BDD"/>
    <w:rsid w:val="0092719B"/>
    <w:rsid w:val="00933DAF"/>
    <w:rsid w:val="0093658F"/>
    <w:rsid w:val="00937059"/>
    <w:rsid w:val="00937994"/>
    <w:rsid w:val="00940C14"/>
    <w:rsid w:val="00941DF0"/>
    <w:rsid w:val="009422DC"/>
    <w:rsid w:val="00944908"/>
    <w:rsid w:val="00945192"/>
    <w:rsid w:val="0094580E"/>
    <w:rsid w:val="00945E47"/>
    <w:rsid w:val="00950ED8"/>
    <w:rsid w:val="009516BB"/>
    <w:rsid w:val="00951C7B"/>
    <w:rsid w:val="00951E89"/>
    <w:rsid w:val="0095259C"/>
    <w:rsid w:val="0095388E"/>
    <w:rsid w:val="0095426A"/>
    <w:rsid w:val="0095457C"/>
    <w:rsid w:val="0095602F"/>
    <w:rsid w:val="009567BC"/>
    <w:rsid w:val="00956CF8"/>
    <w:rsid w:val="00957368"/>
    <w:rsid w:val="00957A70"/>
    <w:rsid w:val="00960DF2"/>
    <w:rsid w:val="00960E2A"/>
    <w:rsid w:val="00961954"/>
    <w:rsid w:val="00961EA5"/>
    <w:rsid w:val="00962197"/>
    <w:rsid w:val="00963BBA"/>
    <w:rsid w:val="00964683"/>
    <w:rsid w:val="009655EB"/>
    <w:rsid w:val="009657E9"/>
    <w:rsid w:val="0096644A"/>
    <w:rsid w:val="00966C65"/>
    <w:rsid w:val="00967605"/>
    <w:rsid w:val="00967F06"/>
    <w:rsid w:val="00972921"/>
    <w:rsid w:val="00972EB0"/>
    <w:rsid w:val="00972ED9"/>
    <w:rsid w:val="00972F66"/>
    <w:rsid w:val="00973314"/>
    <w:rsid w:val="00973C0A"/>
    <w:rsid w:val="0097423B"/>
    <w:rsid w:val="00974E2A"/>
    <w:rsid w:val="00975487"/>
    <w:rsid w:val="00975A9F"/>
    <w:rsid w:val="00976DFA"/>
    <w:rsid w:val="00976F44"/>
    <w:rsid w:val="00977D71"/>
    <w:rsid w:val="00981389"/>
    <w:rsid w:val="00981BA1"/>
    <w:rsid w:val="00984709"/>
    <w:rsid w:val="00985DA1"/>
    <w:rsid w:val="009863C2"/>
    <w:rsid w:val="00987926"/>
    <w:rsid w:val="00990073"/>
    <w:rsid w:val="0099046E"/>
    <w:rsid w:val="00990ECE"/>
    <w:rsid w:val="00991727"/>
    <w:rsid w:val="00991A45"/>
    <w:rsid w:val="009936A4"/>
    <w:rsid w:val="00993891"/>
    <w:rsid w:val="00995C8C"/>
    <w:rsid w:val="00996C03"/>
    <w:rsid w:val="0099709C"/>
    <w:rsid w:val="009A13A9"/>
    <w:rsid w:val="009A1D05"/>
    <w:rsid w:val="009A1D3C"/>
    <w:rsid w:val="009A2116"/>
    <w:rsid w:val="009A579A"/>
    <w:rsid w:val="009A6937"/>
    <w:rsid w:val="009A6B3C"/>
    <w:rsid w:val="009A705B"/>
    <w:rsid w:val="009B0C64"/>
    <w:rsid w:val="009B20F9"/>
    <w:rsid w:val="009B3ADC"/>
    <w:rsid w:val="009B4174"/>
    <w:rsid w:val="009B69A6"/>
    <w:rsid w:val="009C14D4"/>
    <w:rsid w:val="009C2A06"/>
    <w:rsid w:val="009C30D9"/>
    <w:rsid w:val="009C4EB6"/>
    <w:rsid w:val="009C54CA"/>
    <w:rsid w:val="009C6B38"/>
    <w:rsid w:val="009C79D4"/>
    <w:rsid w:val="009C7A82"/>
    <w:rsid w:val="009D0455"/>
    <w:rsid w:val="009D0A8E"/>
    <w:rsid w:val="009D108C"/>
    <w:rsid w:val="009D2126"/>
    <w:rsid w:val="009D3B9A"/>
    <w:rsid w:val="009D459C"/>
    <w:rsid w:val="009D513D"/>
    <w:rsid w:val="009D5611"/>
    <w:rsid w:val="009D6B30"/>
    <w:rsid w:val="009E065C"/>
    <w:rsid w:val="009E1B2A"/>
    <w:rsid w:val="009E2B97"/>
    <w:rsid w:val="009E474B"/>
    <w:rsid w:val="009E6E60"/>
    <w:rsid w:val="009E7C02"/>
    <w:rsid w:val="009E7D4E"/>
    <w:rsid w:val="009F291B"/>
    <w:rsid w:val="009F2F38"/>
    <w:rsid w:val="009F444D"/>
    <w:rsid w:val="009F48F1"/>
    <w:rsid w:val="009F673E"/>
    <w:rsid w:val="009F6911"/>
    <w:rsid w:val="00A00373"/>
    <w:rsid w:val="00A0343A"/>
    <w:rsid w:val="00A03FCF"/>
    <w:rsid w:val="00A04981"/>
    <w:rsid w:val="00A05C04"/>
    <w:rsid w:val="00A10EA1"/>
    <w:rsid w:val="00A128B8"/>
    <w:rsid w:val="00A15614"/>
    <w:rsid w:val="00A17721"/>
    <w:rsid w:val="00A22736"/>
    <w:rsid w:val="00A22CF3"/>
    <w:rsid w:val="00A2319C"/>
    <w:rsid w:val="00A24AE7"/>
    <w:rsid w:val="00A2546A"/>
    <w:rsid w:val="00A310BA"/>
    <w:rsid w:val="00A315AE"/>
    <w:rsid w:val="00A317CE"/>
    <w:rsid w:val="00A31EC4"/>
    <w:rsid w:val="00A3333C"/>
    <w:rsid w:val="00A33D0E"/>
    <w:rsid w:val="00A350B3"/>
    <w:rsid w:val="00A3654E"/>
    <w:rsid w:val="00A37B43"/>
    <w:rsid w:val="00A40080"/>
    <w:rsid w:val="00A406F1"/>
    <w:rsid w:val="00A42F3D"/>
    <w:rsid w:val="00A43A61"/>
    <w:rsid w:val="00A43BB8"/>
    <w:rsid w:val="00A44935"/>
    <w:rsid w:val="00A46CC0"/>
    <w:rsid w:val="00A471AA"/>
    <w:rsid w:val="00A47BA4"/>
    <w:rsid w:val="00A51C87"/>
    <w:rsid w:val="00A524DC"/>
    <w:rsid w:val="00A52601"/>
    <w:rsid w:val="00A52B64"/>
    <w:rsid w:val="00A542C5"/>
    <w:rsid w:val="00A55CC2"/>
    <w:rsid w:val="00A56065"/>
    <w:rsid w:val="00A56459"/>
    <w:rsid w:val="00A56641"/>
    <w:rsid w:val="00A6318E"/>
    <w:rsid w:val="00A63A7A"/>
    <w:rsid w:val="00A640FD"/>
    <w:rsid w:val="00A642C6"/>
    <w:rsid w:val="00A670CF"/>
    <w:rsid w:val="00A678CE"/>
    <w:rsid w:val="00A71743"/>
    <w:rsid w:val="00A741B7"/>
    <w:rsid w:val="00A7422B"/>
    <w:rsid w:val="00A7490C"/>
    <w:rsid w:val="00A7628E"/>
    <w:rsid w:val="00A7653B"/>
    <w:rsid w:val="00A76D3B"/>
    <w:rsid w:val="00A77DB2"/>
    <w:rsid w:val="00A77E93"/>
    <w:rsid w:val="00A806FD"/>
    <w:rsid w:val="00A80A3C"/>
    <w:rsid w:val="00A85B37"/>
    <w:rsid w:val="00A85F5D"/>
    <w:rsid w:val="00A90319"/>
    <w:rsid w:val="00A9118E"/>
    <w:rsid w:val="00A922ED"/>
    <w:rsid w:val="00A925F6"/>
    <w:rsid w:val="00A944E6"/>
    <w:rsid w:val="00A946BF"/>
    <w:rsid w:val="00A94CD1"/>
    <w:rsid w:val="00A94E13"/>
    <w:rsid w:val="00A95562"/>
    <w:rsid w:val="00A95775"/>
    <w:rsid w:val="00A95ABD"/>
    <w:rsid w:val="00A9622B"/>
    <w:rsid w:val="00A978AC"/>
    <w:rsid w:val="00AA2F51"/>
    <w:rsid w:val="00AA31D6"/>
    <w:rsid w:val="00AA3DD5"/>
    <w:rsid w:val="00AA4A89"/>
    <w:rsid w:val="00AA5EB6"/>
    <w:rsid w:val="00AA5FD9"/>
    <w:rsid w:val="00AA6CD1"/>
    <w:rsid w:val="00AB30AD"/>
    <w:rsid w:val="00AB42A2"/>
    <w:rsid w:val="00AB516E"/>
    <w:rsid w:val="00AB5313"/>
    <w:rsid w:val="00AB7728"/>
    <w:rsid w:val="00AC3148"/>
    <w:rsid w:val="00AC4026"/>
    <w:rsid w:val="00AC4234"/>
    <w:rsid w:val="00AC4AA4"/>
    <w:rsid w:val="00AC776C"/>
    <w:rsid w:val="00AD1ABD"/>
    <w:rsid w:val="00AD4171"/>
    <w:rsid w:val="00AD4DBF"/>
    <w:rsid w:val="00AD6253"/>
    <w:rsid w:val="00AD63FC"/>
    <w:rsid w:val="00AD6A22"/>
    <w:rsid w:val="00AD6A6D"/>
    <w:rsid w:val="00AD7A15"/>
    <w:rsid w:val="00AE092D"/>
    <w:rsid w:val="00AE1C7F"/>
    <w:rsid w:val="00AE21E8"/>
    <w:rsid w:val="00AE2DE3"/>
    <w:rsid w:val="00AE30A0"/>
    <w:rsid w:val="00AE30FA"/>
    <w:rsid w:val="00AE4ABE"/>
    <w:rsid w:val="00AE51D5"/>
    <w:rsid w:val="00AE54A2"/>
    <w:rsid w:val="00AE5ACB"/>
    <w:rsid w:val="00AE656D"/>
    <w:rsid w:val="00AF0C21"/>
    <w:rsid w:val="00AF1E66"/>
    <w:rsid w:val="00AF3943"/>
    <w:rsid w:val="00AF4502"/>
    <w:rsid w:val="00AF4AC5"/>
    <w:rsid w:val="00AF4B41"/>
    <w:rsid w:val="00AF7968"/>
    <w:rsid w:val="00B009FD"/>
    <w:rsid w:val="00B0176D"/>
    <w:rsid w:val="00B02605"/>
    <w:rsid w:val="00B02EC1"/>
    <w:rsid w:val="00B03531"/>
    <w:rsid w:val="00B05D45"/>
    <w:rsid w:val="00B11E12"/>
    <w:rsid w:val="00B12B7F"/>
    <w:rsid w:val="00B13EC1"/>
    <w:rsid w:val="00B1427A"/>
    <w:rsid w:val="00B14559"/>
    <w:rsid w:val="00B14F2C"/>
    <w:rsid w:val="00B165F7"/>
    <w:rsid w:val="00B173C8"/>
    <w:rsid w:val="00B20A5B"/>
    <w:rsid w:val="00B20CF8"/>
    <w:rsid w:val="00B210F6"/>
    <w:rsid w:val="00B22A2D"/>
    <w:rsid w:val="00B25A20"/>
    <w:rsid w:val="00B3137A"/>
    <w:rsid w:val="00B3246E"/>
    <w:rsid w:val="00B3248E"/>
    <w:rsid w:val="00B3387F"/>
    <w:rsid w:val="00B33BB3"/>
    <w:rsid w:val="00B344E0"/>
    <w:rsid w:val="00B346FB"/>
    <w:rsid w:val="00B35857"/>
    <w:rsid w:val="00B3586F"/>
    <w:rsid w:val="00B361F6"/>
    <w:rsid w:val="00B36229"/>
    <w:rsid w:val="00B40A26"/>
    <w:rsid w:val="00B40C41"/>
    <w:rsid w:val="00B40E61"/>
    <w:rsid w:val="00B42CDD"/>
    <w:rsid w:val="00B437CA"/>
    <w:rsid w:val="00B43C05"/>
    <w:rsid w:val="00B43E44"/>
    <w:rsid w:val="00B44EE6"/>
    <w:rsid w:val="00B450DB"/>
    <w:rsid w:val="00B45D91"/>
    <w:rsid w:val="00B46277"/>
    <w:rsid w:val="00B46D40"/>
    <w:rsid w:val="00B46D8F"/>
    <w:rsid w:val="00B47576"/>
    <w:rsid w:val="00B50BD0"/>
    <w:rsid w:val="00B52A7E"/>
    <w:rsid w:val="00B52F1B"/>
    <w:rsid w:val="00B56148"/>
    <w:rsid w:val="00B57B74"/>
    <w:rsid w:val="00B57C99"/>
    <w:rsid w:val="00B609D9"/>
    <w:rsid w:val="00B61882"/>
    <w:rsid w:val="00B627F6"/>
    <w:rsid w:val="00B62C6F"/>
    <w:rsid w:val="00B634EA"/>
    <w:rsid w:val="00B64966"/>
    <w:rsid w:val="00B64F8B"/>
    <w:rsid w:val="00B66F39"/>
    <w:rsid w:val="00B72304"/>
    <w:rsid w:val="00B7266B"/>
    <w:rsid w:val="00B73A60"/>
    <w:rsid w:val="00B74102"/>
    <w:rsid w:val="00B757A5"/>
    <w:rsid w:val="00B75864"/>
    <w:rsid w:val="00B76503"/>
    <w:rsid w:val="00B770E4"/>
    <w:rsid w:val="00B77447"/>
    <w:rsid w:val="00B80B91"/>
    <w:rsid w:val="00B82223"/>
    <w:rsid w:val="00B824D6"/>
    <w:rsid w:val="00B859F2"/>
    <w:rsid w:val="00B90D53"/>
    <w:rsid w:val="00B9224C"/>
    <w:rsid w:val="00B9282D"/>
    <w:rsid w:val="00B930B8"/>
    <w:rsid w:val="00B93A02"/>
    <w:rsid w:val="00B94CC4"/>
    <w:rsid w:val="00B954A7"/>
    <w:rsid w:val="00B962C4"/>
    <w:rsid w:val="00B97B82"/>
    <w:rsid w:val="00BA0886"/>
    <w:rsid w:val="00BA0E44"/>
    <w:rsid w:val="00BA1ABF"/>
    <w:rsid w:val="00BA2319"/>
    <w:rsid w:val="00BA257D"/>
    <w:rsid w:val="00BA6B96"/>
    <w:rsid w:val="00BB451B"/>
    <w:rsid w:val="00BB7161"/>
    <w:rsid w:val="00BC16BD"/>
    <w:rsid w:val="00BC2C1A"/>
    <w:rsid w:val="00BC331D"/>
    <w:rsid w:val="00BC39C1"/>
    <w:rsid w:val="00BC4706"/>
    <w:rsid w:val="00BC5198"/>
    <w:rsid w:val="00BC5B25"/>
    <w:rsid w:val="00BC627B"/>
    <w:rsid w:val="00BD07EF"/>
    <w:rsid w:val="00BD099D"/>
    <w:rsid w:val="00BD0BBE"/>
    <w:rsid w:val="00BD126D"/>
    <w:rsid w:val="00BD1342"/>
    <w:rsid w:val="00BD243C"/>
    <w:rsid w:val="00BD279E"/>
    <w:rsid w:val="00BD4BE0"/>
    <w:rsid w:val="00BD4CFA"/>
    <w:rsid w:val="00BD5201"/>
    <w:rsid w:val="00BD6812"/>
    <w:rsid w:val="00BD6BB8"/>
    <w:rsid w:val="00BD720E"/>
    <w:rsid w:val="00BD785A"/>
    <w:rsid w:val="00BE110C"/>
    <w:rsid w:val="00BE1453"/>
    <w:rsid w:val="00BE374B"/>
    <w:rsid w:val="00BE3875"/>
    <w:rsid w:val="00BE3FAC"/>
    <w:rsid w:val="00BE444C"/>
    <w:rsid w:val="00BE46F6"/>
    <w:rsid w:val="00BE4EC6"/>
    <w:rsid w:val="00BE5BF5"/>
    <w:rsid w:val="00BE732E"/>
    <w:rsid w:val="00BE7EB8"/>
    <w:rsid w:val="00BF1137"/>
    <w:rsid w:val="00BF1DE4"/>
    <w:rsid w:val="00BF2AFF"/>
    <w:rsid w:val="00BF3209"/>
    <w:rsid w:val="00BF38F6"/>
    <w:rsid w:val="00BF5877"/>
    <w:rsid w:val="00BF6839"/>
    <w:rsid w:val="00C00CAB"/>
    <w:rsid w:val="00C018D1"/>
    <w:rsid w:val="00C02F94"/>
    <w:rsid w:val="00C03B9B"/>
    <w:rsid w:val="00C0631D"/>
    <w:rsid w:val="00C06E79"/>
    <w:rsid w:val="00C11C25"/>
    <w:rsid w:val="00C13347"/>
    <w:rsid w:val="00C133D5"/>
    <w:rsid w:val="00C13685"/>
    <w:rsid w:val="00C13EC1"/>
    <w:rsid w:val="00C14671"/>
    <w:rsid w:val="00C14EB6"/>
    <w:rsid w:val="00C15A07"/>
    <w:rsid w:val="00C169FA"/>
    <w:rsid w:val="00C17B0B"/>
    <w:rsid w:val="00C20D14"/>
    <w:rsid w:val="00C21FCC"/>
    <w:rsid w:val="00C226F5"/>
    <w:rsid w:val="00C227F3"/>
    <w:rsid w:val="00C2284B"/>
    <w:rsid w:val="00C257CB"/>
    <w:rsid w:val="00C26E66"/>
    <w:rsid w:val="00C272E1"/>
    <w:rsid w:val="00C3056E"/>
    <w:rsid w:val="00C30E22"/>
    <w:rsid w:val="00C3287E"/>
    <w:rsid w:val="00C32B21"/>
    <w:rsid w:val="00C33998"/>
    <w:rsid w:val="00C34131"/>
    <w:rsid w:val="00C355F8"/>
    <w:rsid w:val="00C35B84"/>
    <w:rsid w:val="00C35E03"/>
    <w:rsid w:val="00C37066"/>
    <w:rsid w:val="00C406CE"/>
    <w:rsid w:val="00C407D8"/>
    <w:rsid w:val="00C41AE2"/>
    <w:rsid w:val="00C421FB"/>
    <w:rsid w:val="00C43553"/>
    <w:rsid w:val="00C44722"/>
    <w:rsid w:val="00C4629F"/>
    <w:rsid w:val="00C463E0"/>
    <w:rsid w:val="00C47C40"/>
    <w:rsid w:val="00C5014B"/>
    <w:rsid w:val="00C504E9"/>
    <w:rsid w:val="00C51556"/>
    <w:rsid w:val="00C51B96"/>
    <w:rsid w:val="00C5315C"/>
    <w:rsid w:val="00C533D7"/>
    <w:rsid w:val="00C53967"/>
    <w:rsid w:val="00C53C00"/>
    <w:rsid w:val="00C543F6"/>
    <w:rsid w:val="00C54EE9"/>
    <w:rsid w:val="00C55223"/>
    <w:rsid w:val="00C55541"/>
    <w:rsid w:val="00C55718"/>
    <w:rsid w:val="00C605CB"/>
    <w:rsid w:val="00C616E7"/>
    <w:rsid w:val="00C61E7D"/>
    <w:rsid w:val="00C62853"/>
    <w:rsid w:val="00C6316F"/>
    <w:rsid w:val="00C64168"/>
    <w:rsid w:val="00C64495"/>
    <w:rsid w:val="00C66E62"/>
    <w:rsid w:val="00C67B0A"/>
    <w:rsid w:val="00C7164C"/>
    <w:rsid w:val="00C72D5F"/>
    <w:rsid w:val="00C7503C"/>
    <w:rsid w:val="00C75637"/>
    <w:rsid w:val="00C76193"/>
    <w:rsid w:val="00C8128A"/>
    <w:rsid w:val="00C83C84"/>
    <w:rsid w:val="00C861E7"/>
    <w:rsid w:val="00C86C27"/>
    <w:rsid w:val="00C8731A"/>
    <w:rsid w:val="00C92391"/>
    <w:rsid w:val="00C93829"/>
    <w:rsid w:val="00C93C92"/>
    <w:rsid w:val="00C94E4E"/>
    <w:rsid w:val="00C97333"/>
    <w:rsid w:val="00C9764E"/>
    <w:rsid w:val="00CA031B"/>
    <w:rsid w:val="00CA086D"/>
    <w:rsid w:val="00CA0E04"/>
    <w:rsid w:val="00CA101F"/>
    <w:rsid w:val="00CA1AB3"/>
    <w:rsid w:val="00CA3BED"/>
    <w:rsid w:val="00CA3F86"/>
    <w:rsid w:val="00CA41A6"/>
    <w:rsid w:val="00CA4C54"/>
    <w:rsid w:val="00CA5B0D"/>
    <w:rsid w:val="00CA5E92"/>
    <w:rsid w:val="00CA6897"/>
    <w:rsid w:val="00CA7B5B"/>
    <w:rsid w:val="00CB07FE"/>
    <w:rsid w:val="00CB1048"/>
    <w:rsid w:val="00CB1126"/>
    <w:rsid w:val="00CB26E1"/>
    <w:rsid w:val="00CB2AB3"/>
    <w:rsid w:val="00CB2EFF"/>
    <w:rsid w:val="00CB31C7"/>
    <w:rsid w:val="00CB3C32"/>
    <w:rsid w:val="00CB5EBC"/>
    <w:rsid w:val="00CB6C55"/>
    <w:rsid w:val="00CC0335"/>
    <w:rsid w:val="00CC1B3D"/>
    <w:rsid w:val="00CC2DF2"/>
    <w:rsid w:val="00CC571E"/>
    <w:rsid w:val="00CC58B3"/>
    <w:rsid w:val="00CD2661"/>
    <w:rsid w:val="00CD2ACF"/>
    <w:rsid w:val="00CD3B03"/>
    <w:rsid w:val="00CD3E12"/>
    <w:rsid w:val="00CD40BE"/>
    <w:rsid w:val="00CD64EA"/>
    <w:rsid w:val="00CD78AE"/>
    <w:rsid w:val="00CE1510"/>
    <w:rsid w:val="00CE2192"/>
    <w:rsid w:val="00CE2A9C"/>
    <w:rsid w:val="00CE4561"/>
    <w:rsid w:val="00CE5A2D"/>
    <w:rsid w:val="00CE77A2"/>
    <w:rsid w:val="00CF161F"/>
    <w:rsid w:val="00CF19A0"/>
    <w:rsid w:val="00CF2828"/>
    <w:rsid w:val="00CF29B6"/>
    <w:rsid w:val="00CF3710"/>
    <w:rsid w:val="00CF378E"/>
    <w:rsid w:val="00CF43C6"/>
    <w:rsid w:val="00CF5140"/>
    <w:rsid w:val="00CF6056"/>
    <w:rsid w:val="00CF6976"/>
    <w:rsid w:val="00D00C72"/>
    <w:rsid w:val="00D00E1B"/>
    <w:rsid w:val="00D01CF5"/>
    <w:rsid w:val="00D034B8"/>
    <w:rsid w:val="00D03FD9"/>
    <w:rsid w:val="00D05914"/>
    <w:rsid w:val="00D05BB2"/>
    <w:rsid w:val="00D06775"/>
    <w:rsid w:val="00D074DA"/>
    <w:rsid w:val="00D07A68"/>
    <w:rsid w:val="00D10A15"/>
    <w:rsid w:val="00D12815"/>
    <w:rsid w:val="00D139DB"/>
    <w:rsid w:val="00D14110"/>
    <w:rsid w:val="00D16B76"/>
    <w:rsid w:val="00D22E7C"/>
    <w:rsid w:val="00D2326A"/>
    <w:rsid w:val="00D24481"/>
    <w:rsid w:val="00D2670E"/>
    <w:rsid w:val="00D270BA"/>
    <w:rsid w:val="00D2785A"/>
    <w:rsid w:val="00D27FC9"/>
    <w:rsid w:val="00D303A5"/>
    <w:rsid w:val="00D30B9B"/>
    <w:rsid w:val="00D379D8"/>
    <w:rsid w:val="00D40E27"/>
    <w:rsid w:val="00D414B9"/>
    <w:rsid w:val="00D41D79"/>
    <w:rsid w:val="00D420C8"/>
    <w:rsid w:val="00D42131"/>
    <w:rsid w:val="00D42486"/>
    <w:rsid w:val="00D4511E"/>
    <w:rsid w:val="00D453E4"/>
    <w:rsid w:val="00D45F14"/>
    <w:rsid w:val="00D45FF6"/>
    <w:rsid w:val="00D46ACF"/>
    <w:rsid w:val="00D46E6E"/>
    <w:rsid w:val="00D5069E"/>
    <w:rsid w:val="00D50A48"/>
    <w:rsid w:val="00D5405F"/>
    <w:rsid w:val="00D54AD1"/>
    <w:rsid w:val="00D60BC9"/>
    <w:rsid w:val="00D613B4"/>
    <w:rsid w:val="00D64186"/>
    <w:rsid w:val="00D64F4A"/>
    <w:rsid w:val="00D65AAC"/>
    <w:rsid w:val="00D66E3C"/>
    <w:rsid w:val="00D707F0"/>
    <w:rsid w:val="00D70B87"/>
    <w:rsid w:val="00D70ED5"/>
    <w:rsid w:val="00D717B2"/>
    <w:rsid w:val="00D72C6D"/>
    <w:rsid w:val="00D7315E"/>
    <w:rsid w:val="00D73E01"/>
    <w:rsid w:val="00D751C1"/>
    <w:rsid w:val="00D75843"/>
    <w:rsid w:val="00D76449"/>
    <w:rsid w:val="00D8018E"/>
    <w:rsid w:val="00D81A96"/>
    <w:rsid w:val="00D838FD"/>
    <w:rsid w:val="00D8399A"/>
    <w:rsid w:val="00D83DCF"/>
    <w:rsid w:val="00D8405E"/>
    <w:rsid w:val="00D86459"/>
    <w:rsid w:val="00D8713B"/>
    <w:rsid w:val="00D87476"/>
    <w:rsid w:val="00D87EF4"/>
    <w:rsid w:val="00D901AF"/>
    <w:rsid w:val="00D91F49"/>
    <w:rsid w:val="00D94568"/>
    <w:rsid w:val="00D95ABA"/>
    <w:rsid w:val="00D9692C"/>
    <w:rsid w:val="00D97622"/>
    <w:rsid w:val="00DA0CD4"/>
    <w:rsid w:val="00DA1099"/>
    <w:rsid w:val="00DA175F"/>
    <w:rsid w:val="00DA2713"/>
    <w:rsid w:val="00DA32E1"/>
    <w:rsid w:val="00DA3701"/>
    <w:rsid w:val="00DA3A1B"/>
    <w:rsid w:val="00DA3B85"/>
    <w:rsid w:val="00DA3C69"/>
    <w:rsid w:val="00DA5254"/>
    <w:rsid w:val="00DA59FE"/>
    <w:rsid w:val="00DA6BAA"/>
    <w:rsid w:val="00DA6F27"/>
    <w:rsid w:val="00DA6FA7"/>
    <w:rsid w:val="00DA752E"/>
    <w:rsid w:val="00DA764D"/>
    <w:rsid w:val="00DA7D01"/>
    <w:rsid w:val="00DB152A"/>
    <w:rsid w:val="00DB1533"/>
    <w:rsid w:val="00DB2118"/>
    <w:rsid w:val="00DB4389"/>
    <w:rsid w:val="00DB4573"/>
    <w:rsid w:val="00DB47E5"/>
    <w:rsid w:val="00DB55E2"/>
    <w:rsid w:val="00DB5849"/>
    <w:rsid w:val="00DB633B"/>
    <w:rsid w:val="00DB7293"/>
    <w:rsid w:val="00DC05F8"/>
    <w:rsid w:val="00DC17A0"/>
    <w:rsid w:val="00DC2B31"/>
    <w:rsid w:val="00DC30D9"/>
    <w:rsid w:val="00DC7073"/>
    <w:rsid w:val="00DD0F47"/>
    <w:rsid w:val="00DD184C"/>
    <w:rsid w:val="00DD227C"/>
    <w:rsid w:val="00DD2A62"/>
    <w:rsid w:val="00DD788B"/>
    <w:rsid w:val="00DE2F1D"/>
    <w:rsid w:val="00DE3D8C"/>
    <w:rsid w:val="00DE5F13"/>
    <w:rsid w:val="00DE6873"/>
    <w:rsid w:val="00DF100F"/>
    <w:rsid w:val="00DF204D"/>
    <w:rsid w:val="00DF7C36"/>
    <w:rsid w:val="00E0050B"/>
    <w:rsid w:val="00E01509"/>
    <w:rsid w:val="00E0219B"/>
    <w:rsid w:val="00E022C0"/>
    <w:rsid w:val="00E034A5"/>
    <w:rsid w:val="00E0408B"/>
    <w:rsid w:val="00E04CBD"/>
    <w:rsid w:val="00E05821"/>
    <w:rsid w:val="00E05E71"/>
    <w:rsid w:val="00E06098"/>
    <w:rsid w:val="00E1078E"/>
    <w:rsid w:val="00E11B24"/>
    <w:rsid w:val="00E128C0"/>
    <w:rsid w:val="00E12C58"/>
    <w:rsid w:val="00E12CB3"/>
    <w:rsid w:val="00E13AF8"/>
    <w:rsid w:val="00E15198"/>
    <w:rsid w:val="00E1552E"/>
    <w:rsid w:val="00E1584A"/>
    <w:rsid w:val="00E16466"/>
    <w:rsid w:val="00E168DC"/>
    <w:rsid w:val="00E221C9"/>
    <w:rsid w:val="00E223D4"/>
    <w:rsid w:val="00E23C45"/>
    <w:rsid w:val="00E2406C"/>
    <w:rsid w:val="00E24991"/>
    <w:rsid w:val="00E251F3"/>
    <w:rsid w:val="00E25ABA"/>
    <w:rsid w:val="00E3074E"/>
    <w:rsid w:val="00E3091A"/>
    <w:rsid w:val="00E3179C"/>
    <w:rsid w:val="00E32786"/>
    <w:rsid w:val="00E359AE"/>
    <w:rsid w:val="00E36CB3"/>
    <w:rsid w:val="00E374F9"/>
    <w:rsid w:val="00E40164"/>
    <w:rsid w:val="00E4076E"/>
    <w:rsid w:val="00E4080E"/>
    <w:rsid w:val="00E425CD"/>
    <w:rsid w:val="00E42F5E"/>
    <w:rsid w:val="00E436AF"/>
    <w:rsid w:val="00E43734"/>
    <w:rsid w:val="00E443C4"/>
    <w:rsid w:val="00E44CE7"/>
    <w:rsid w:val="00E44FCB"/>
    <w:rsid w:val="00E45469"/>
    <w:rsid w:val="00E50EA1"/>
    <w:rsid w:val="00E5265D"/>
    <w:rsid w:val="00E533D6"/>
    <w:rsid w:val="00E533D9"/>
    <w:rsid w:val="00E541BC"/>
    <w:rsid w:val="00E548E2"/>
    <w:rsid w:val="00E6097C"/>
    <w:rsid w:val="00E6192E"/>
    <w:rsid w:val="00E62164"/>
    <w:rsid w:val="00E64B0E"/>
    <w:rsid w:val="00E6529F"/>
    <w:rsid w:val="00E6673F"/>
    <w:rsid w:val="00E667D7"/>
    <w:rsid w:val="00E66DB3"/>
    <w:rsid w:val="00E7070F"/>
    <w:rsid w:val="00E72DF4"/>
    <w:rsid w:val="00E72E8B"/>
    <w:rsid w:val="00E76F6C"/>
    <w:rsid w:val="00E77A87"/>
    <w:rsid w:val="00E81DC7"/>
    <w:rsid w:val="00E836CA"/>
    <w:rsid w:val="00E83F67"/>
    <w:rsid w:val="00E848B1"/>
    <w:rsid w:val="00E84C02"/>
    <w:rsid w:val="00E85618"/>
    <w:rsid w:val="00E86C60"/>
    <w:rsid w:val="00E8709F"/>
    <w:rsid w:val="00E87170"/>
    <w:rsid w:val="00E903D6"/>
    <w:rsid w:val="00E90D2A"/>
    <w:rsid w:val="00E91FD8"/>
    <w:rsid w:val="00E929FF"/>
    <w:rsid w:val="00E92A93"/>
    <w:rsid w:val="00E946FA"/>
    <w:rsid w:val="00E96B35"/>
    <w:rsid w:val="00EA0019"/>
    <w:rsid w:val="00EA231C"/>
    <w:rsid w:val="00EA26C1"/>
    <w:rsid w:val="00EA2B53"/>
    <w:rsid w:val="00EA5125"/>
    <w:rsid w:val="00EA5298"/>
    <w:rsid w:val="00EA576F"/>
    <w:rsid w:val="00EA753D"/>
    <w:rsid w:val="00EB046E"/>
    <w:rsid w:val="00EB09CF"/>
    <w:rsid w:val="00EB1E81"/>
    <w:rsid w:val="00EB33BB"/>
    <w:rsid w:val="00EB45D4"/>
    <w:rsid w:val="00EB594E"/>
    <w:rsid w:val="00EC0538"/>
    <w:rsid w:val="00EC0B00"/>
    <w:rsid w:val="00EC0D3B"/>
    <w:rsid w:val="00EC0DA5"/>
    <w:rsid w:val="00EC0F8E"/>
    <w:rsid w:val="00EC1284"/>
    <w:rsid w:val="00EC3F05"/>
    <w:rsid w:val="00EC4AFC"/>
    <w:rsid w:val="00EC4DCA"/>
    <w:rsid w:val="00EC5CFB"/>
    <w:rsid w:val="00EC5F74"/>
    <w:rsid w:val="00EC686C"/>
    <w:rsid w:val="00EC7CD6"/>
    <w:rsid w:val="00ED09C9"/>
    <w:rsid w:val="00ED1520"/>
    <w:rsid w:val="00ED2537"/>
    <w:rsid w:val="00ED2695"/>
    <w:rsid w:val="00ED29D8"/>
    <w:rsid w:val="00ED3DDE"/>
    <w:rsid w:val="00ED4921"/>
    <w:rsid w:val="00ED515F"/>
    <w:rsid w:val="00ED5EFD"/>
    <w:rsid w:val="00ED61AC"/>
    <w:rsid w:val="00ED6B54"/>
    <w:rsid w:val="00EE1658"/>
    <w:rsid w:val="00EE255F"/>
    <w:rsid w:val="00EE2C54"/>
    <w:rsid w:val="00EE2E66"/>
    <w:rsid w:val="00EE4D80"/>
    <w:rsid w:val="00EE5884"/>
    <w:rsid w:val="00EF1C8E"/>
    <w:rsid w:val="00EF29E8"/>
    <w:rsid w:val="00EF4CA8"/>
    <w:rsid w:val="00EF54F2"/>
    <w:rsid w:val="00EF5562"/>
    <w:rsid w:val="00EF6DD6"/>
    <w:rsid w:val="00F00196"/>
    <w:rsid w:val="00F039BF"/>
    <w:rsid w:val="00F03B04"/>
    <w:rsid w:val="00F03BB2"/>
    <w:rsid w:val="00F045B0"/>
    <w:rsid w:val="00F103B3"/>
    <w:rsid w:val="00F103D2"/>
    <w:rsid w:val="00F10478"/>
    <w:rsid w:val="00F12BA3"/>
    <w:rsid w:val="00F12BB9"/>
    <w:rsid w:val="00F135FC"/>
    <w:rsid w:val="00F13A12"/>
    <w:rsid w:val="00F14599"/>
    <w:rsid w:val="00F14CD3"/>
    <w:rsid w:val="00F14EC7"/>
    <w:rsid w:val="00F15B51"/>
    <w:rsid w:val="00F16F9F"/>
    <w:rsid w:val="00F21292"/>
    <w:rsid w:val="00F21FD0"/>
    <w:rsid w:val="00F2230E"/>
    <w:rsid w:val="00F238E7"/>
    <w:rsid w:val="00F23D60"/>
    <w:rsid w:val="00F24081"/>
    <w:rsid w:val="00F25491"/>
    <w:rsid w:val="00F2735B"/>
    <w:rsid w:val="00F273E6"/>
    <w:rsid w:val="00F27461"/>
    <w:rsid w:val="00F31A7B"/>
    <w:rsid w:val="00F326B1"/>
    <w:rsid w:val="00F32EE0"/>
    <w:rsid w:val="00F363D6"/>
    <w:rsid w:val="00F368A8"/>
    <w:rsid w:val="00F36EE8"/>
    <w:rsid w:val="00F4147A"/>
    <w:rsid w:val="00F41DE2"/>
    <w:rsid w:val="00F426D3"/>
    <w:rsid w:val="00F42789"/>
    <w:rsid w:val="00F43610"/>
    <w:rsid w:val="00F45A7B"/>
    <w:rsid w:val="00F46216"/>
    <w:rsid w:val="00F46B38"/>
    <w:rsid w:val="00F4763C"/>
    <w:rsid w:val="00F539A9"/>
    <w:rsid w:val="00F54F65"/>
    <w:rsid w:val="00F56772"/>
    <w:rsid w:val="00F60103"/>
    <w:rsid w:val="00F63446"/>
    <w:rsid w:val="00F636E5"/>
    <w:rsid w:val="00F63CC8"/>
    <w:rsid w:val="00F64F71"/>
    <w:rsid w:val="00F65693"/>
    <w:rsid w:val="00F705EE"/>
    <w:rsid w:val="00F706AE"/>
    <w:rsid w:val="00F7118D"/>
    <w:rsid w:val="00F76A37"/>
    <w:rsid w:val="00F770CB"/>
    <w:rsid w:val="00F81280"/>
    <w:rsid w:val="00F83D41"/>
    <w:rsid w:val="00F84A21"/>
    <w:rsid w:val="00F85B8B"/>
    <w:rsid w:val="00F86338"/>
    <w:rsid w:val="00F9111F"/>
    <w:rsid w:val="00F92C05"/>
    <w:rsid w:val="00F94066"/>
    <w:rsid w:val="00F94EDC"/>
    <w:rsid w:val="00F965EB"/>
    <w:rsid w:val="00F97890"/>
    <w:rsid w:val="00FA2B60"/>
    <w:rsid w:val="00FA311D"/>
    <w:rsid w:val="00FA6366"/>
    <w:rsid w:val="00FA68E3"/>
    <w:rsid w:val="00FB0806"/>
    <w:rsid w:val="00FB10D1"/>
    <w:rsid w:val="00FB2715"/>
    <w:rsid w:val="00FB2C93"/>
    <w:rsid w:val="00FB4181"/>
    <w:rsid w:val="00FB5261"/>
    <w:rsid w:val="00FB53AF"/>
    <w:rsid w:val="00FB6641"/>
    <w:rsid w:val="00FB6D1F"/>
    <w:rsid w:val="00FB7881"/>
    <w:rsid w:val="00FC0258"/>
    <w:rsid w:val="00FC378E"/>
    <w:rsid w:val="00FC40C4"/>
    <w:rsid w:val="00FC46DE"/>
    <w:rsid w:val="00FC6BE6"/>
    <w:rsid w:val="00FD11FC"/>
    <w:rsid w:val="00FD1478"/>
    <w:rsid w:val="00FD402B"/>
    <w:rsid w:val="00FD40E4"/>
    <w:rsid w:val="00FD48E5"/>
    <w:rsid w:val="00FD4C1A"/>
    <w:rsid w:val="00FD620F"/>
    <w:rsid w:val="00FD663C"/>
    <w:rsid w:val="00FD6A27"/>
    <w:rsid w:val="00FE070B"/>
    <w:rsid w:val="00FE0A23"/>
    <w:rsid w:val="00FE1268"/>
    <w:rsid w:val="00FE1A98"/>
    <w:rsid w:val="00FE2F33"/>
    <w:rsid w:val="00FE32C4"/>
    <w:rsid w:val="00FE32F9"/>
    <w:rsid w:val="00FE603C"/>
    <w:rsid w:val="00FE6B51"/>
    <w:rsid w:val="00FE71AC"/>
    <w:rsid w:val="00FE7C76"/>
    <w:rsid w:val="00FF010B"/>
    <w:rsid w:val="00FF1BF5"/>
    <w:rsid w:val="00FF293C"/>
    <w:rsid w:val="00FF3DE6"/>
    <w:rsid w:val="00FF56ED"/>
    <w:rsid w:val="00FF5A3B"/>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2FB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RStandard">
    <w:name w:val="JR Standard"/>
    <w:uiPriority w:val="99"/>
    <w:rsid w:val="00973314"/>
    <w:pPr>
      <w:numPr>
        <w:numId w:val="1"/>
      </w:numPr>
    </w:pPr>
  </w:style>
  <w:style w:type="numbering" w:customStyle="1" w:styleId="RiegelStyle">
    <w:name w:val="Riegel Style"/>
    <w:uiPriority w:val="99"/>
    <w:rsid w:val="00973314"/>
    <w:pPr>
      <w:numPr>
        <w:numId w:val="2"/>
      </w:numPr>
    </w:pPr>
  </w:style>
  <w:style w:type="paragraph" w:styleId="ListParagraph">
    <w:name w:val="List Paragraph"/>
    <w:basedOn w:val="Normal"/>
    <w:uiPriority w:val="34"/>
    <w:qFormat/>
    <w:rsid w:val="005C4561"/>
    <w:pPr>
      <w:ind w:left="720"/>
      <w:contextualSpacing/>
    </w:pPr>
  </w:style>
  <w:style w:type="paragraph" w:styleId="Header">
    <w:name w:val="header"/>
    <w:basedOn w:val="Normal"/>
    <w:link w:val="HeaderChar"/>
    <w:uiPriority w:val="99"/>
    <w:unhideWhenUsed/>
    <w:rsid w:val="00EA5298"/>
    <w:pPr>
      <w:tabs>
        <w:tab w:val="center" w:pos="4320"/>
        <w:tab w:val="right" w:pos="8640"/>
      </w:tabs>
    </w:pPr>
  </w:style>
  <w:style w:type="character" w:customStyle="1" w:styleId="HeaderChar">
    <w:name w:val="Header Char"/>
    <w:basedOn w:val="DefaultParagraphFont"/>
    <w:link w:val="Header"/>
    <w:uiPriority w:val="99"/>
    <w:rsid w:val="00EA5298"/>
  </w:style>
  <w:style w:type="paragraph" w:styleId="Footer">
    <w:name w:val="footer"/>
    <w:basedOn w:val="Normal"/>
    <w:link w:val="FooterChar"/>
    <w:uiPriority w:val="99"/>
    <w:unhideWhenUsed/>
    <w:rsid w:val="00EA5298"/>
    <w:pPr>
      <w:tabs>
        <w:tab w:val="center" w:pos="4320"/>
        <w:tab w:val="right" w:pos="8640"/>
      </w:tabs>
    </w:pPr>
  </w:style>
  <w:style w:type="character" w:customStyle="1" w:styleId="FooterChar">
    <w:name w:val="Footer Char"/>
    <w:basedOn w:val="DefaultParagraphFont"/>
    <w:link w:val="Footer"/>
    <w:uiPriority w:val="99"/>
    <w:rsid w:val="00EA5298"/>
  </w:style>
  <w:style w:type="character" w:styleId="PageNumber">
    <w:name w:val="page number"/>
    <w:basedOn w:val="DefaultParagraphFont"/>
    <w:uiPriority w:val="99"/>
    <w:semiHidden/>
    <w:unhideWhenUsed/>
    <w:rsid w:val="00EA5298"/>
  </w:style>
  <w:style w:type="paragraph" w:styleId="FootnoteText">
    <w:name w:val="footnote text"/>
    <w:basedOn w:val="Normal"/>
    <w:link w:val="FootnoteTextChar"/>
    <w:uiPriority w:val="99"/>
    <w:unhideWhenUsed/>
    <w:rsid w:val="00F25491"/>
  </w:style>
  <w:style w:type="character" w:customStyle="1" w:styleId="FootnoteTextChar">
    <w:name w:val="Footnote Text Char"/>
    <w:basedOn w:val="DefaultParagraphFont"/>
    <w:link w:val="FootnoteText"/>
    <w:uiPriority w:val="99"/>
    <w:rsid w:val="00F25491"/>
  </w:style>
  <w:style w:type="character" w:styleId="FootnoteReference">
    <w:name w:val="footnote reference"/>
    <w:basedOn w:val="DefaultParagraphFont"/>
    <w:uiPriority w:val="99"/>
    <w:unhideWhenUsed/>
    <w:rsid w:val="00F25491"/>
    <w:rPr>
      <w:vertAlign w:val="superscript"/>
    </w:rPr>
  </w:style>
  <w:style w:type="character" w:styleId="Hyperlink">
    <w:name w:val="Hyperlink"/>
    <w:basedOn w:val="DefaultParagraphFont"/>
    <w:uiPriority w:val="99"/>
    <w:unhideWhenUsed/>
    <w:rsid w:val="00EF54F2"/>
    <w:rPr>
      <w:color w:val="0000FF" w:themeColor="hyperlink"/>
      <w:u w:val="single"/>
    </w:rPr>
  </w:style>
  <w:style w:type="paragraph" w:styleId="BalloonText">
    <w:name w:val="Balloon Text"/>
    <w:basedOn w:val="Normal"/>
    <w:link w:val="BalloonTextChar"/>
    <w:uiPriority w:val="99"/>
    <w:semiHidden/>
    <w:unhideWhenUsed/>
    <w:rsid w:val="005613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1396"/>
    <w:rPr>
      <w:rFonts w:ascii="Lucida Grande" w:hAnsi="Lucida Grande" w:cs="Lucida Grande"/>
      <w:sz w:val="18"/>
      <w:szCs w:val="18"/>
    </w:rPr>
  </w:style>
  <w:style w:type="character" w:styleId="Emphasis">
    <w:name w:val="Emphasis"/>
    <w:basedOn w:val="DefaultParagraphFont"/>
    <w:uiPriority w:val="20"/>
    <w:qFormat/>
    <w:rsid w:val="00F238E7"/>
    <w:rPr>
      <w:i/>
      <w:iCs/>
    </w:rPr>
  </w:style>
  <w:style w:type="character" w:customStyle="1" w:styleId="cosearchterm">
    <w:name w:val="co_searchterm"/>
    <w:basedOn w:val="DefaultParagraphFont"/>
    <w:rsid w:val="00F238E7"/>
  </w:style>
  <w:style w:type="character" w:customStyle="1" w:styleId="cosearchwithinterm">
    <w:name w:val="co_searchwithinterm"/>
    <w:basedOn w:val="DefaultParagraphFont"/>
    <w:rsid w:val="00851BFA"/>
  </w:style>
  <w:style w:type="paragraph" w:styleId="NormalWeb">
    <w:name w:val="Normal (Web)"/>
    <w:basedOn w:val="Normal"/>
    <w:uiPriority w:val="99"/>
    <w:semiHidden/>
    <w:unhideWhenUsed/>
    <w:rsid w:val="002E5C86"/>
  </w:style>
  <w:style w:type="paragraph" w:styleId="Caption">
    <w:name w:val="caption"/>
    <w:basedOn w:val="Normal"/>
    <w:next w:val="Normal"/>
    <w:uiPriority w:val="35"/>
    <w:unhideWhenUsed/>
    <w:qFormat/>
    <w:rsid w:val="0000302B"/>
    <w:pPr>
      <w:spacing w:after="200"/>
    </w:pPr>
    <w:rPr>
      <w:b/>
      <w:bCs/>
      <w:color w:val="4F81BD" w:themeColor="accent1"/>
      <w:sz w:val="18"/>
      <w:szCs w:val="18"/>
    </w:rPr>
  </w:style>
  <w:style w:type="character" w:customStyle="1" w:styleId="cohl">
    <w:name w:val="co_hl"/>
    <w:basedOn w:val="DefaultParagraphFont"/>
    <w:rsid w:val="00B210F6"/>
  </w:style>
  <w:style w:type="character" w:styleId="CommentReference">
    <w:name w:val="annotation reference"/>
    <w:basedOn w:val="DefaultParagraphFont"/>
    <w:uiPriority w:val="99"/>
    <w:semiHidden/>
    <w:unhideWhenUsed/>
    <w:rsid w:val="0024518D"/>
    <w:rPr>
      <w:sz w:val="18"/>
      <w:szCs w:val="18"/>
    </w:rPr>
  </w:style>
  <w:style w:type="paragraph" w:styleId="CommentText">
    <w:name w:val="annotation text"/>
    <w:basedOn w:val="Normal"/>
    <w:link w:val="CommentTextChar"/>
    <w:uiPriority w:val="99"/>
    <w:semiHidden/>
    <w:unhideWhenUsed/>
    <w:rsid w:val="0024518D"/>
  </w:style>
  <w:style w:type="character" w:customStyle="1" w:styleId="CommentTextChar">
    <w:name w:val="Comment Text Char"/>
    <w:basedOn w:val="DefaultParagraphFont"/>
    <w:link w:val="CommentText"/>
    <w:uiPriority w:val="99"/>
    <w:semiHidden/>
    <w:rsid w:val="0024518D"/>
  </w:style>
  <w:style w:type="paragraph" w:styleId="CommentSubject">
    <w:name w:val="annotation subject"/>
    <w:basedOn w:val="CommentText"/>
    <w:next w:val="CommentText"/>
    <w:link w:val="CommentSubjectChar"/>
    <w:uiPriority w:val="99"/>
    <w:semiHidden/>
    <w:unhideWhenUsed/>
    <w:rsid w:val="0024518D"/>
    <w:rPr>
      <w:b/>
      <w:bCs/>
      <w:sz w:val="20"/>
      <w:szCs w:val="20"/>
    </w:rPr>
  </w:style>
  <w:style w:type="character" w:customStyle="1" w:styleId="CommentSubjectChar">
    <w:name w:val="Comment Subject Char"/>
    <w:basedOn w:val="CommentTextChar"/>
    <w:link w:val="CommentSubject"/>
    <w:uiPriority w:val="99"/>
    <w:semiHidden/>
    <w:rsid w:val="0024518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RStandard">
    <w:name w:val="JR Standard"/>
    <w:uiPriority w:val="99"/>
    <w:rsid w:val="00973314"/>
    <w:pPr>
      <w:numPr>
        <w:numId w:val="1"/>
      </w:numPr>
    </w:pPr>
  </w:style>
  <w:style w:type="numbering" w:customStyle="1" w:styleId="RiegelStyle">
    <w:name w:val="Riegel Style"/>
    <w:uiPriority w:val="99"/>
    <w:rsid w:val="00973314"/>
    <w:pPr>
      <w:numPr>
        <w:numId w:val="2"/>
      </w:numPr>
    </w:pPr>
  </w:style>
  <w:style w:type="paragraph" w:styleId="ListParagraph">
    <w:name w:val="List Paragraph"/>
    <w:basedOn w:val="Normal"/>
    <w:uiPriority w:val="34"/>
    <w:qFormat/>
    <w:rsid w:val="005C4561"/>
    <w:pPr>
      <w:ind w:left="720"/>
      <w:contextualSpacing/>
    </w:pPr>
  </w:style>
  <w:style w:type="paragraph" w:styleId="Header">
    <w:name w:val="header"/>
    <w:basedOn w:val="Normal"/>
    <w:link w:val="HeaderChar"/>
    <w:uiPriority w:val="99"/>
    <w:unhideWhenUsed/>
    <w:rsid w:val="00EA5298"/>
    <w:pPr>
      <w:tabs>
        <w:tab w:val="center" w:pos="4320"/>
        <w:tab w:val="right" w:pos="8640"/>
      </w:tabs>
    </w:pPr>
  </w:style>
  <w:style w:type="character" w:customStyle="1" w:styleId="HeaderChar">
    <w:name w:val="Header Char"/>
    <w:basedOn w:val="DefaultParagraphFont"/>
    <w:link w:val="Header"/>
    <w:uiPriority w:val="99"/>
    <w:rsid w:val="00EA5298"/>
  </w:style>
  <w:style w:type="paragraph" w:styleId="Footer">
    <w:name w:val="footer"/>
    <w:basedOn w:val="Normal"/>
    <w:link w:val="FooterChar"/>
    <w:uiPriority w:val="99"/>
    <w:unhideWhenUsed/>
    <w:rsid w:val="00EA5298"/>
    <w:pPr>
      <w:tabs>
        <w:tab w:val="center" w:pos="4320"/>
        <w:tab w:val="right" w:pos="8640"/>
      </w:tabs>
    </w:pPr>
  </w:style>
  <w:style w:type="character" w:customStyle="1" w:styleId="FooterChar">
    <w:name w:val="Footer Char"/>
    <w:basedOn w:val="DefaultParagraphFont"/>
    <w:link w:val="Footer"/>
    <w:uiPriority w:val="99"/>
    <w:rsid w:val="00EA5298"/>
  </w:style>
  <w:style w:type="character" w:styleId="PageNumber">
    <w:name w:val="page number"/>
    <w:basedOn w:val="DefaultParagraphFont"/>
    <w:uiPriority w:val="99"/>
    <w:semiHidden/>
    <w:unhideWhenUsed/>
    <w:rsid w:val="00EA5298"/>
  </w:style>
  <w:style w:type="paragraph" w:styleId="FootnoteText">
    <w:name w:val="footnote text"/>
    <w:basedOn w:val="Normal"/>
    <w:link w:val="FootnoteTextChar"/>
    <w:uiPriority w:val="99"/>
    <w:unhideWhenUsed/>
    <w:rsid w:val="00F25491"/>
  </w:style>
  <w:style w:type="character" w:customStyle="1" w:styleId="FootnoteTextChar">
    <w:name w:val="Footnote Text Char"/>
    <w:basedOn w:val="DefaultParagraphFont"/>
    <w:link w:val="FootnoteText"/>
    <w:uiPriority w:val="99"/>
    <w:rsid w:val="00F25491"/>
  </w:style>
  <w:style w:type="character" w:styleId="FootnoteReference">
    <w:name w:val="footnote reference"/>
    <w:basedOn w:val="DefaultParagraphFont"/>
    <w:uiPriority w:val="99"/>
    <w:unhideWhenUsed/>
    <w:rsid w:val="00F25491"/>
    <w:rPr>
      <w:vertAlign w:val="superscript"/>
    </w:rPr>
  </w:style>
  <w:style w:type="character" w:styleId="Hyperlink">
    <w:name w:val="Hyperlink"/>
    <w:basedOn w:val="DefaultParagraphFont"/>
    <w:uiPriority w:val="99"/>
    <w:unhideWhenUsed/>
    <w:rsid w:val="00EF54F2"/>
    <w:rPr>
      <w:color w:val="0000FF" w:themeColor="hyperlink"/>
      <w:u w:val="single"/>
    </w:rPr>
  </w:style>
  <w:style w:type="paragraph" w:styleId="BalloonText">
    <w:name w:val="Balloon Text"/>
    <w:basedOn w:val="Normal"/>
    <w:link w:val="BalloonTextChar"/>
    <w:uiPriority w:val="99"/>
    <w:semiHidden/>
    <w:unhideWhenUsed/>
    <w:rsid w:val="005613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1396"/>
    <w:rPr>
      <w:rFonts w:ascii="Lucida Grande" w:hAnsi="Lucida Grande" w:cs="Lucida Grande"/>
      <w:sz w:val="18"/>
      <w:szCs w:val="18"/>
    </w:rPr>
  </w:style>
  <w:style w:type="character" w:styleId="Emphasis">
    <w:name w:val="Emphasis"/>
    <w:basedOn w:val="DefaultParagraphFont"/>
    <w:uiPriority w:val="20"/>
    <w:qFormat/>
    <w:rsid w:val="00F238E7"/>
    <w:rPr>
      <w:i/>
      <w:iCs/>
    </w:rPr>
  </w:style>
  <w:style w:type="character" w:customStyle="1" w:styleId="cosearchterm">
    <w:name w:val="co_searchterm"/>
    <w:basedOn w:val="DefaultParagraphFont"/>
    <w:rsid w:val="00F238E7"/>
  </w:style>
  <w:style w:type="character" w:customStyle="1" w:styleId="cosearchwithinterm">
    <w:name w:val="co_searchwithinterm"/>
    <w:basedOn w:val="DefaultParagraphFont"/>
    <w:rsid w:val="00851BFA"/>
  </w:style>
  <w:style w:type="paragraph" w:styleId="NormalWeb">
    <w:name w:val="Normal (Web)"/>
    <w:basedOn w:val="Normal"/>
    <w:uiPriority w:val="99"/>
    <w:semiHidden/>
    <w:unhideWhenUsed/>
    <w:rsid w:val="002E5C86"/>
  </w:style>
  <w:style w:type="paragraph" w:styleId="Caption">
    <w:name w:val="caption"/>
    <w:basedOn w:val="Normal"/>
    <w:next w:val="Normal"/>
    <w:uiPriority w:val="35"/>
    <w:unhideWhenUsed/>
    <w:qFormat/>
    <w:rsid w:val="0000302B"/>
    <w:pPr>
      <w:spacing w:after="200"/>
    </w:pPr>
    <w:rPr>
      <w:b/>
      <w:bCs/>
      <w:color w:val="4F81BD" w:themeColor="accent1"/>
      <w:sz w:val="18"/>
      <w:szCs w:val="18"/>
    </w:rPr>
  </w:style>
  <w:style w:type="character" w:customStyle="1" w:styleId="cohl">
    <w:name w:val="co_hl"/>
    <w:basedOn w:val="DefaultParagraphFont"/>
    <w:rsid w:val="00B210F6"/>
  </w:style>
  <w:style w:type="character" w:styleId="CommentReference">
    <w:name w:val="annotation reference"/>
    <w:basedOn w:val="DefaultParagraphFont"/>
    <w:uiPriority w:val="99"/>
    <w:semiHidden/>
    <w:unhideWhenUsed/>
    <w:rsid w:val="0024518D"/>
    <w:rPr>
      <w:sz w:val="18"/>
      <w:szCs w:val="18"/>
    </w:rPr>
  </w:style>
  <w:style w:type="paragraph" w:styleId="CommentText">
    <w:name w:val="annotation text"/>
    <w:basedOn w:val="Normal"/>
    <w:link w:val="CommentTextChar"/>
    <w:uiPriority w:val="99"/>
    <w:semiHidden/>
    <w:unhideWhenUsed/>
    <w:rsid w:val="0024518D"/>
  </w:style>
  <w:style w:type="character" w:customStyle="1" w:styleId="CommentTextChar">
    <w:name w:val="Comment Text Char"/>
    <w:basedOn w:val="DefaultParagraphFont"/>
    <w:link w:val="CommentText"/>
    <w:uiPriority w:val="99"/>
    <w:semiHidden/>
    <w:rsid w:val="0024518D"/>
  </w:style>
  <w:style w:type="paragraph" w:styleId="CommentSubject">
    <w:name w:val="annotation subject"/>
    <w:basedOn w:val="CommentText"/>
    <w:next w:val="CommentText"/>
    <w:link w:val="CommentSubjectChar"/>
    <w:uiPriority w:val="99"/>
    <w:semiHidden/>
    <w:unhideWhenUsed/>
    <w:rsid w:val="0024518D"/>
    <w:rPr>
      <w:b/>
      <w:bCs/>
      <w:sz w:val="20"/>
      <w:szCs w:val="20"/>
    </w:rPr>
  </w:style>
  <w:style w:type="character" w:customStyle="1" w:styleId="CommentSubjectChar">
    <w:name w:val="Comment Subject Char"/>
    <w:basedOn w:val="CommentTextChar"/>
    <w:link w:val="CommentSubject"/>
    <w:uiPriority w:val="99"/>
    <w:semiHidden/>
    <w:rsid w:val="00245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2063">
      <w:bodyDiv w:val="1"/>
      <w:marLeft w:val="0"/>
      <w:marRight w:val="0"/>
      <w:marTop w:val="0"/>
      <w:marBottom w:val="0"/>
      <w:divBdr>
        <w:top w:val="none" w:sz="0" w:space="0" w:color="auto"/>
        <w:left w:val="none" w:sz="0" w:space="0" w:color="auto"/>
        <w:bottom w:val="none" w:sz="0" w:space="0" w:color="auto"/>
        <w:right w:val="none" w:sz="0" w:space="0" w:color="auto"/>
      </w:divBdr>
      <w:divsChild>
        <w:div w:id="1738360767">
          <w:marLeft w:val="0"/>
          <w:marRight w:val="0"/>
          <w:marTop w:val="0"/>
          <w:marBottom w:val="0"/>
          <w:divBdr>
            <w:top w:val="none" w:sz="0" w:space="0" w:color="auto"/>
            <w:left w:val="none" w:sz="0" w:space="0" w:color="auto"/>
            <w:bottom w:val="none" w:sz="0" w:space="0" w:color="auto"/>
            <w:right w:val="none" w:sz="0" w:space="0" w:color="auto"/>
          </w:divBdr>
          <w:divsChild>
            <w:div w:id="812912033">
              <w:marLeft w:val="0"/>
              <w:marRight w:val="0"/>
              <w:marTop w:val="0"/>
              <w:marBottom w:val="0"/>
              <w:divBdr>
                <w:top w:val="none" w:sz="0" w:space="0" w:color="auto"/>
                <w:left w:val="none" w:sz="0" w:space="0" w:color="auto"/>
                <w:bottom w:val="none" w:sz="0" w:space="0" w:color="auto"/>
                <w:right w:val="none" w:sz="0" w:space="0" w:color="auto"/>
              </w:divBdr>
              <w:divsChild>
                <w:div w:id="6015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021">
      <w:bodyDiv w:val="1"/>
      <w:marLeft w:val="0"/>
      <w:marRight w:val="0"/>
      <w:marTop w:val="0"/>
      <w:marBottom w:val="0"/>
      <w:divBdr>
        <w:top w:val="none" w:sz="0" w:space="0" w:color="auto"/>
        <w:left w:val="none" w:sz="0" w:space="0" w:color="auto"/>
        <w:bottom w:val="none" w:sz="0" w:space="0" w:color="auto"/>
        <w:right w:val="none" w:sz="0" w:space="0" w:color="auto"/>
      </w:divBdr>
      <w:divsChild>
        <w:div w:id="843672070">
          <w:marLeft w:val="0"/>
          <w:marRight w:val="0"/>
          <w:marTop w:val="0"/>
          <w:marBottom w:val="0"/>
          <w:divBdr>
            <w:top w:val="none" w:sz="0" w:space="0" w:color="auto"/>
            <w:left w:val="none" w:sz="0" w:space="0" w:color="auto"/>
            <w:bottom w:val="none" w:sz="0" w:space="0" w:color="auto"/>
            <w:right w:val="none" w:sz="0" w:space="0" w:color="auto"/>
          </w:divBdr>
          <w:divsChild>
            <w:div w:id="13302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742">
      <w:bodyDiv w:val="1"/>
      <w:marLeft w:val="0"/>
      <w:marRight w:val="0"/>
      <w:marTop w:val="0"/>
      <w:marBottom w:val="0"/>
      <w:divBdr>
        <w:top w:val="none" w:sz="0" w:space="0" w:color="auto"/>
        <w:left w:val="none" w:sz="0" w:space="0" w:color="auto"/>
        <w:bottom w:val="none" w:sz="0" w:space="0" w:color="auto"/>
        <w:right w:val="none" w:sz="0" w:space="0" w:color="auto"/>
      </w:divBdr>
      <w:divsChild>
        <w:div w:id="1717899218">
          <w:marLeft w:val="0"/>
          <w:marRight w:val="0"/>
          <w:marTop w:val="0"/>
          <w:marBottom w:val="0"/>
          <w:divBdr>
            <w:top w:val="none" w:sz="0" w:space="0" w:color="auto"/>
            <w:left w:val="none" w:sz="0" w:space="0" w:color="auto"/>
            <w:bottom w:val="none" w:sz="0" w:space="0" w:color="auto"/>
            <w:right w:val="none" w:sz="0" w:space="0" w:color="auto"/>
          </w:divBdr>
          <w:divsChild>
            <w:div w:id="14197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4352">
      <w:bodyDiv w:val="1"/>
      <w:marLeft w:val="0"/>
      <w:marRight w:val="0"/>
      <w:marTop w:val="0"/>
      <w:marBottom w:val="0"/>
      <w:divBdr>
        <w:top w:val="none" w:sz="0" w:space="0" w:color="auto"/>
        <w:left w:val="none" w:sz="0" w:space="0" w:color="auto"/>
        <w:bottom w:val="none" w:sz="0" w:space="0" w:color="auto"/>
        <w:right w:val="none" w:sz="0" w:space="0" w:color="auto"/>
      </w:divBdr>
      <w:divsChild>
        <w:div w:id="1192957510">
          <w:marLeft w:val="0"/>
          <w:marRight w:val="0"/>
          <w:marTop w:val="0"/>
          <w:marBottom w:val="0"/>
          <w:divBdr>
            <w:top w:val="none" w:sz="0" w:space="0" w:color="auto"/>
            <w:left w:val="none" w:sz="0" w:space="0" w:color="auto"/>
            <w:bottom w:val="none" w:sz="0" w:space="0" w:color="auto"/>
            <w:right w:val="none" w:sz="0" w:space="0" w:color="auto"/>
          </w:divBdr>
          <w:divsChild>
            <w:div w:id="694233426">
              <w:marLeft w:val="0"/>
              <w:marRight w:val="0"/>
              <w:marTop w:val="0"/>
              <w:marBottom w:val="0"/>
              <w:divBdr>
                <w:top w:val="none" w:sz="0" w:space="0" w:color="auto"/>
                <w:left w:val="none" w:sz="0" w:space="0" w:color="auto"/>
                <w:bottom w:val="none" w:sz="0" w:space="0" w:color="auto"/>
                <w:right w:val="none" w:sz="0" w:space="0" w:color="auto"/>
              </w:divBdr>
              <w:divsChild>
                <w:div w:id="2067072595">
                  <w:marLeft w:val="0"/>
                  <w:marRight w:val="0"/>
                  <w:marTop w:val="0"/>
                  <w:marBottom w:val="0"/>
                  <w:divBdr>
                    <w:top w:val="none" w:sz="0" w:space="0" w:color="auto"/>
                    <w:left w:val="none" w:sz="0" w:space="0" w:color="auto"/>
                    <w:bottom w:val="none" w:sz="0" w:space="0" w:color="auto"/>
                    <w:right w:val="none" w:sz="0" w:space="0" w:color="auto"/>
                  </w:divBdr>
                  <w:divsChild>
                    <w:div w:id="3694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597968">
      <w:bodyDiv w:val="1"/>
      <w:marLeft w:val="0"/>
      <w:marRight w:val="0"/>
      <w:marTop w:val="0"/>
      <w:marBottom w:val="0"/>
      <w:divBdr>
        <w:top w:val="none" w:sz="0" w:space="0" w:color="auto"/>
        <w:left w:val="none" w:sz="0" w:space="0" w:color="auto"/>
        <w:bottom w:val="none" w:sz="0" w:space="0" w:color="auto"/>
        <w:right w:val="none" w:sz="0" w:space="0" w:color="auto"/>
      </w:divBdr>
      <w:divsChild>
        <w:div w:id="764226810">
          <w:marLeft w:val="0"/>
          <w:marRight w:val="0"/>
          <w:marTop w:val="0"/>
          <w:marBottom w:val="0"/>
          <w:divBdr>
            <w:top w:val="none" w:sz="0" w:space="0" w:color="auto"/>
            <w:left w:val="none" w:sz="0" w:space="0" w:color="auto"/>
            <w:bottom w:val="none" w:sz="0" w:space="0" w:color="auto"/>
            <w:right w:val="none" w:sz="0" w:space="0" w:color="auto"/>
          </w:divBdr>
          <w:divsChild>
            <w:div w:id="6005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50511">
      <w:bodyDiv w:val="1"/>
      <w:marLeft w:val="0"/>
      <w:marRight w:val="0"/>
      <w:marTop w:val="0"/>
      <w:marBottom w:val="0"/>
      <w:divBdr>
        <w:top w:val="none" w:sz="0" w:space="0" w:color="auto"/>
        <w:left w:val="none" w:sz="0" w:space="0" w:color="auto"/>
        <w:bottom w:val="none" w:sz="0" w:space="0" w:color="auto"/>
        <w:right w:val="none" w:sz="0" w:space="0" w:color="auto"/>
      </w:divBdr>
      <w:divsChild>
        <w:div w:id="2003192697">
          <w:marLeft w:val="0"/>
          <w:marRight w:val="0"/>
          <w:marTop w:val="0"/>
          <w:marBottom w:val="0"/>
          <w:divBdr>
            <w:top w:val="none" w:sz="0" w:space="0" w:color="auto"/>
            <w:left w:val="none" w:sz="0" w:space="0" w:color="auto"/>
            <w:bottom w:val="none" w:sz="0" w:space="0" w:color="auto"/>
            <w:right w:val="none" w:sz="0" w:space="0" w:color="auto"/>
          </w:divBdr>
          <w:divsChild>
            <w:div w:id="20193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362">
      <w:bodyDiv w:val="1"/>
      <w:marLeft w:val="0"/>
      <w:marRight w:val="0"/>
      <w:marTop w:val="0"/>
      <w:marBottom w:val="0"/>
      <w:divBdr>
        <w:top w:val="none" w:sz="0" w:space="0" w:color="auto"/>
        <w:left w:val="none" w:sz="0" w:space="0" w:color="auto"/>
        <w:bottom w:val="none" w:sz="0" w:space="0" w:color="auto"/>
        <w:right w:val="none" w:sz="0" w:space="0" w:color="auto"/>
      </w:divBdr>
      <w:divsChild>
        <w:div w:id="1911888131">
          <w:marLeft w:val="0"/>
          <w:marRight w:val="0"/>
          <w:marTop w:val="0"/>
          <w:marBottom w:val="0"/>
          <w:divBdr>
            <w:top w:val="none" w:sz="0" w:space="0" w:color="auto"/>
            <w:left w:val="none" w:sz="0" w:space="0" w:color="auto"/>
            <w:bottom w:val="none" w:sz="0" w:space="0" w:color="auto"/>
            <w:right w:val="none" w:sz="0" w:space="0" w:color="auto"/>
          </w:divBdr>
          <w:divsChild>
            <w:div w:id="1984892785">
              <w:marLeft w:val="0"/>
              <w:marRight w:val="0"/>
              <w:marTop w:val="0"/>
              <w:marBottom w:val="0"/>
              <w:divBdr>
                <w:top w:val="none" w:sz="0" w:space="0" w:color="auto"/>
                <w:left w:val="none" w:sz="0" w:space="0" w:color="auto"/>
                <w:bottom w:val="none" w:sz="0" w:space="0" w:color="auto"/>
                <w:right w:val="none" w:sz="0" w:space="0" w:color="auto"/>
              </w:divBdr>
              <w:divsChild>
                <w:div w:id="15581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63761">
      <w:bodyDiv w:val="1"/>
      <w:marLeft w:val="0"/>
      <w:marRight w:val="0"/>
      <w:marTop w:val="0"/>
      <w:marBottom w:val="0"/>
      <w:divBdr>
        <w:top w:val="none" w:sz="0" w:space="0" w:color="auto"/>
        <w:left w:val="none" w:sz="0" w:space="0" w:color="auto"/>
        <w:bottom w:val="none" w:sz="0" w:space="0" w:color="auto"/>
        <w:right w:val="none" w:sz="0" w:space="0" w:color="auto"/>
      </w:divBdr>
      <w:divsChild>
        <w:div w:id="1045520388">
          <w:marLeft w:val="0"/>
          <w:marRight w:val="0"/>
          <w:marTop w:val="0"/>
          <w:marBottom w:val="0"/>
          <w:divBdr>
            <w:top w:val="none" w:sz="0" w:space="0" w:color="auto"/>
            <w:left w:val="none" w:sz="0" w:space="0" w:color="auto"/>
            <w:bottom w:val="none" w:sz="0" w:space="0" w:color="auto"/>
            <w:right w:val="none" w:sz="0" w:space="0" w:color="auto"/>
          </w:divBdr>
          <w:divsChild>
            <w:div w:id="18382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38807">
      <w:bodyDiv w:val="1"/>
      <w:marLeft w:val="0"/>
      <w:marRight w:val="0"/>
      <w:marTop w:val="0"/>
      <w:marBottom w:val="0"/>
      <w:divBdr>
        <w:top w:val="none" w:sz="0" w:space="0" w:color="auto"/>
        <w:left w:val="none" w:sz="0" w:space="0" w:color="auto"/>
        <w:bottom w:val="none" w:sz="0" w:space="0" w:color="auto"/>
        <w:right w:val="none" w:sz="0" w:space="0" w:color="auto"/>
      </w:divBdr>
      <w:divsChild>
        <w:div w:id="948312730">
          <w:marLeft w:val="0"/>
          <w:marRight w:val="0"/>
          <w:marTop w:val="0"/>
          <w:marBottom w:val="0"/>
          <w:divBdr>
            <w:top w:val="none" w:sz="0" w:space="0" w:color="auto"/>
            <w:left w:val="none" w:sz="0" w:space="0" w:color="auto"/>
            <w:bottom w:val="none" w:sz="0" w:space="0" w:color="auto"/>
            <w:right w:val="none" w:sz="0" w:space="0" w:color="auto"/>
          </w:divBdr>
          <w:divsChild>
            <w:div w:id="2540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1589">
      <w:bodyDiv w:val="1"/>
      <w:marLeft w:val="0"/>
      <w:marRight w:val="0"/>
      <w:marTop w:val="0"/>
      <w:marBottom w:val="0"/>
      <w:divBdr>
        <w:top w:val="none" w:sz="0" w:space="0" w:color="auto"/>
        <w:left w:val="none" w:sz="0" w:space="0" w:color="auto"/>
        <w:bottom w:val="none" w:sz="0" w:space="0" w:color="auto"/>
        <w:right w:val="none" w:sz="0" w:space="0" w:color="auto"/>
      </w:divBdr>
      <w:divsChild>
        <w:div w:id="1287590800">
          <w:marLeft w:val="0"/>
          <w:marRight w:val="0"/>
          <w:marTop w:val="0"/>
          <w:marBottom w:val="0"/>
          <w:divBdr>
            <w:top w:val="none" w:sz="0" w:space="0" w:color="auto"/>
            <w:left w:val="none" w:sz="0" w:space="0" w:color="auto"/>
            <w:bottom w:val="none" w:sz="0" w:space="0" w:color="auto"/>
            <w:right w:val="none" w:sz="0" w:space="0" w:color="auto"/>
          </w:divBdr>
          <w:divsChild>
            <w:div w:id="11054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671">
      <w:bodyDiv w:val="1"/>
      <w:marLeft w:val="0"/>
      <w:marRight w:val="0"/>
      <w:marTop w:val="0"/>
      <w:marBottom w:val="0"/>
      <w:divBdr>
        <w:top w:val="none" w:sz="0" w:space="0" w:color="auto"/>
        <w:left w:val="none" w:sz="0" w:space="0" w:color="auto"/>
        <w:bottom w:val="none" w:sz="0" w:space="0" w:color="auto"/>
        <w:right w:val="none" w:sz="0" w:space="0" w:color="auto"/>
      </w:divBdr>
      <w:divsChild>
        <w:div w:id="466777457">
          <w:marLeft w:val="0"/>
          <w:marRight w:val="0"/>
          <w:marTop w:val="0"/>
          <w:marBottom w:val="0"/>
          <w:divBdr>
            <w:top w:val="none" w:sz="0" w:space="0" w:color="auto"/>
            <w:left w:val="none" w:sz="0" w:space="0" w:color="auto"/>
            <w:bottom w:val="none" w:sz="0" w:space="0" w:color="auto"/>
            <w:right w:val="none" w:sz="0" w:space="0" w:color="auto"/>
          </w:divBdr>
          <w:divsChild>
            <w:div w:id="7162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0136">
      <w:bodyDiv w:val="1"/>
      <w:marLeft w:val="0"/>
      <w:marRight w:val="0"/>
      <w:marTop w:val="0"/>
      <w:marBottom w:val="0"/>
      <w:divBdr>
        <w:top w:val="none" w:sz="0" w:space="0" w:color="auto"/>
        <w:left w:val="none" w:sz="0" w:space="0" w:color="auto"/>
        <w:bottom w:val="none" w:sz="0" w:space="0" w:color="auto"/>
        <w:right w:val="none" w:sz="0" w:space="0" w:color="auto"/>
      </w:divBdr>
      <w:divsChild>
        <w:div w:id="411973870">
          <w:marLeft w:val="0"/>
          <w:marRight w:val="0"/>
          <w:marTop w:val="0"/>
          <w:marBottom w:val="0"/>
          <w:divBdr>
            <w:top w:val="none" w:sz="0" w:space="0" w:color="auto"/>
            <w:left w:val="none" w:sz="0" w:space="0" w:color="auto"/>
            <w:bottom w:val="none" w:sz="0" w:space="0" w:color="auto"/>
            <w:right w:val="none" w:sz="0" w:space="0" w:color="auto"/>
          </w:divBdr>
          <w:divsChild>
            <w:div w:id="13011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8288">
      <w:bodyDiv w:val="1"/>
      <w:marLeft w:val="0"/>
      <w:marRight w:val="0"/>
      <w:marTop w:val="0"/>
      <w:marBottom w:val="0"/>
      <w:divBdr>
        <w:top w:val="none" w:sz="0" w:space="0" w:color="auto"/>
        <w:left w:val="none" w:sz="0" w:space="0" w:color="auto"/>
        <w:bottom w:val="none" w:sz="0" w:space="0" w:color="auto"/>
        <w:right w:val="none" w:sz="0" w:space="0" w:color="auto"/>
      </w:divBdr>
      <w:divsChild>
        <w:div w:id="1110785216">
          <w:marLeft w:val="0"/>
          <w:marRight w:val="0"/>
          <w:marTop w:val="0"/>
          <w:marBottom w:val="0"/>
          <w:divBdr>
            <w:top w:val="none" w:sz="0" w:space="0" w:color="auto"/>
            <w:left w:val="none" w:sz="0" w:space="0" w:color="auto"/>
            <w:bottom w:val="none" w:sz="0" w:space="0" w:color="auto"/>
            <w:right w:val="none" w:sz="0" w:space="0" w:color="auto"/>
          </w:divBdr>
          <w:divsChild>
            <w:div w:id="1742292541">
              <w:marLeft w:val="0"/>
              <w:marRight w:val="0"/>
              <w:marTop w:val="0"/>
              <w:marBottom w:val="0"/>
              <w:divBdr>
                <w:top w:val="none" w:sz="0" w:space="0" w:color="auto"/>
                <w:left w:val="none" w:sz="0" w:space="0" w:color="auto"/>
                <w:bottom w:val="none" w:sz="0" w:space="0" w:color="auto"/>
                <w:right w:val="none" w:sz="0" w:space="0" w:color="auto"/>
              </w:divBdr>
              <w:divsChild>
                <w:div w:id="3310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9426">
      <w:bodyDiv w:val="1"/>
      <w:marLeft w:val="0"/>
      <w:marRight w:val="0"/>
      <w:marTop w:val="0"/>
      <w:marBottom w:val="0"/>
      <w:divBdr>
        <w:top w:val="none" w:sz="0" w:space="0" w:color="auto"/>
        <w:left w:val="none" w:sz="0" w:space="0" w:color="auto"/>
        <w:bottom w:val="none" w:sz="0" w:space="0" w:color="auto"/>
        <w:right w:val="none" w:sz="0" w:space="0" w:color="auto"/>
      </w:divBdr>
      <w:divsChild>
        <w:div w:id="1932200832">
          <w:marLeft w:val="0"/>
          <w:marRight w:val="0"/>
          <w:marTop w:val="0"/>
          <w:marBottom w:val="0"/>
          <w:divBdr>
            <w:top w:val="none" w:sz="0" w:space="0" w:color="auto"/>
            <w:left w:val="none" w:sz="0" w:space="0" w:color="auto"/>
            <w:bottom w:val="none" w:sz="0" w:space="0" w:color="auto"/>
            <w:right w:val="none" w:sz="0" w:space="0" w:color="auto"/>
          </w:divBdr>
          <w:divsChild>
            <w:div w:id="13516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2583">
      <w:bodyDiv w:val="1"/>
      <w:marLeft w:val="0"/>
      <w:marRight w:val="0"/>
      <w:marTop w:val="0"/>
      <w:marBottom w:val="0"/>
      <w:divBdr>
        <w:top w:val="none" w:sz="0" w:space="0" w:color="auto"/>
        <w:left w:val="none" w:sz="0" w:space="0" w:color="auto"/>
        <w:bottom w:val="none" w:sz="0" w:space="0" w:color="auto"/>
        <w:right w:val="none" w:sz="0" w:space="0" w:color="auto"/>
      </w:divBdr>
      <w:divsChild>
        <w:div w:id="2039698759">
          <w:marLeft w:val="0"/>
          <w:marRight w:val="0"/>
          <w:marTop w:val="0"/>
          <w:marBottom w:val="0"/>
          <w:divBdr>
            <w:top w:val="none" w:sz="0" w:space="0" w:color="auto"/>
            <w:left w:val="none" w:sz="0" w:space="0" w:color="auto"/>
            <w:bottom w:val="none" w:sz="0" w:space="0" w:color="auto"/>
            <w:right w:val="none" w:sz="0" w:space="0" w:color="auto"/>
          </w:divBdr>
          <w:divsChild>
            <w:div w:id="213721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03865">
      <w:bodyDiv w:val="1"/>
      <w:marLeft w:val="0"/>
      <w:marRight w:val="0"/>
      <w:marTop w:val="0"/>
      <w:marBottom w:val="0"/>
      <w:divBdr>
        <w:top w:val="none" w:sz="0" w:space="0" w:color="auto"/>
        <w:left w:val="none" w:sz="0" w:space="0" w:color="auto"/>
        <w:bottom w:val="none" w:sz="0" w:space="0" w:color="auto"/>
        <w:right w:val="none" w:sz="0" w:space="0" w:color="auto"/>
      </w:divBdr>
      <w:divsChild>
        <w:div w:id="962157752">
          <w:marLeft w:val="0"/>
          <w:marRight w:val="0"/>
          <w:marTop w:val="0"/>
          <w:marBottom w:val="0"/>
          <w:divBdr>
            <w:top w:val="none" w:sz="0" w:space="0" w:color="auto"/>
            <w:left w:val="none" w:sz="0" w:space="0" w:color="auto"/>
            <w:bottom w:val="none" w:sz="0" w:space="0" w:color="auto"/>
            <w:right w:val="none" w:sz="0" w:space="0" w:color="auto"/>
          </w:divBdr>
          <w:divsChild>
            <w:div w:id="21066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2565">
      <w:bodyDiv w:val="1"/>
      <w:marLeft w:val="0"/>
      <w:marRight w:val="0"/>
      <w:marTop w:val="0"/>
      <w:marBottom w:val="0"/>
      <w:divBdr>
        <w:top w:val="none" w:sz="0" w:space="0" w:color="auto"/>
        <w:left w:val="none" w:sz="0" w:space="0" w:color="auto"/>
        <w:bottom w:val="none" w:sz="0" w:space="0" w:color="auto"/>
        <w:right w:val="none" w:sz="0" w:space="0" w:color="auto"/>
      </w:divBdr>
      <w:divsChild>
        <w:div w:id="762923057">
          <w:marLeft w:val="0"/>
          <w:marRight w:val="0"/>
          <w:marTop w:val="0"/>
          <w:marBottom w:val="0"/>
          <w:divBdr>
            <w:top w:val="none" w:sz="0" w:space="0" w:color="auto"/>
            <w:left w:val="none" w:sz="0" w:space="0" w:color="auto"/>
            <w:bottom w:val="none" w:sz="0" w:space="0" w:color="auto"/>
            <w:right w:val="none" w:sz="0" w:space="0" w:color="auto"/>
          </w:divBdr>
          <w:divsChild>
            <w:div w:id="14017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53063">
      <w:bodyDiv w:val="1"/>
      <w:marLeft w:val="0"/>
      <w:marRight w:val="0"/>
      <w:marTop w:val="0"/>
      <w:marBottom w:val="0"/>
      <w:divBdr>
        <w:top w:val="none" w:sz="0" w:space="0" w:color="auto"/>
        <w:left w:val="none" w:sz="0" w:space="0" w:color="auto"/>
        <w:bottom w:val="none" w:sz="0" w:space="0" w:color="auto"/>
        <w:right w:val="none" w:sz="0" w:space="0" w:color="auto"/>
      </w:divBdr>
      <w:divsChild>
        <w:div w:id="1891920441">
          <w:marLeft w:val="0"/>
          <w:marRight w:val="0"/>
          <w:marTop w:val="0"/>
          <w:marBottom w:val="0"/>
          <w:divBdr>
            <w:top w:val="none" w:sz="0" w:space="0" w:color="auto"/>
            <w:left w:val="none" w:sz="0" w:space="0" w:color="auto"/>
            <w:bottom w:val="none" w:sz="0" w:space="0" w:color="auto"/>
            <w:right w:val="none" w:sz="0" w:space="0" w:color="auto"/>
          </w:divBdr>
          <w:divsChild>
            <w:div w:id="12964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4421">
      <w:bodyDiv w:val="1"/>
      <w:marLeft w:val="0"/>
      <w:marRight w:val="0"/>
      <w:marTop w:val="0"/>
      <w:marBottom w:val="0"/>
      <w:divBdr>
        <w:top w:val="none" w:sz="0" w:space="0" w:color="auto"/>
        <w:left w:val="none" w:sz="0" w:space="0" w:color="auto"/>
        <w:bottom w:val="none" w:sz="0" w:space="0" w:color="auto"/>
        <w:right w:val="none" w:sz="0" w:space="0" w:color="auto"/>
      </w:divBdr>
      <w:divsChild>
        <w:div w:id="439952201">
          <w:marLeft w:val="0"/>
          <w:marRight w:val="0"/>
          <w:marTop w:val="0"/>
          <w:marBottom w:val="0"/>
          <w:divBdr>
            <w:top w:val="none" w:sz="0" w:space="0" w:color="auto"/>
            <w:left w:val="none" w:sz="0" w:space="0" w:color="auto"/>
            <w:bottom w:val="none" w:sz="0" w:space="0" w:color="auto"/>
            <w:right w:val="none" w:sz="0" w:space="0" w:color="auto"/>
          </w:divBdr>
          <w:divsChild>
            <w:div w:id="167853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7715">
      <w:bodyDiv w:val="1"/>
      <w:marLeft w:val="0"/>
      <w:marRight w:val="0"/>
      <w:marTop w:val="0"/>
      <w:marBottom w:val="0"/>
      <w:divBdr>
        <w:top w:val="none" w:sz="0" w:space="0" w:color="auto"/>
        <w:left w:val="none" w:sz="0" w:space="0" w:color="auto"/>
        <w:bottom w:val="none" w:sz="0" w:space="0" w:color="auto"/>
        <w:right w:val="none" w:sz="0" w:space="0" w:color="auto"/>
      </w:divBdr>
      <w:divsChild>
        <w:div w:id="1214580478">
          <w:marLeft w:val="0"/>
          <w:marRight w:val="0"/>
          <w:marTop w:val="0"/>
          <w:marBottom w:val="0"/>
          <w:divBdr>
            <w:top w:val="none" w:sz="0" w:space="0" w:color="auto"/>
            <w:left w:val="none" w:sz="0" w:space="0" w:color="auto"/>
            <w:bottom w:val="none" w:sz="0" w:space="0" w:color="auto"/>
            <w:right w:val="none" w:sz="0" w:space="0" w:color="auto"/>
          </w:divBdr>
          <w:divsChild>
            <w:div w:id="8553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30193">
      <w:bodyDiv w:val="1"/>
      <w:marLeft w:val="0"/>
      <w:marRight w:val="0"/>
      <w:marTop w:val="0"/>
      <w:marBottom w:val="0"/>
      <w:divBdr>
        <w:top w:val="none" w:sz="0" w:space="0" w:color="auto"/>
        <w:left w:val="none" w:sz="0" w:space="0" w:color="auto"/>
        <w:bottom w:val="none" w:sz="0" w:space="0" w:color="auto"/>
        <w:right w:val="none" w:sz="0" w:space="0" w:color="auto"/>
      </w:divBdr>
      <w:divsChild>
        <w:div w:id="765082556">
          <w:marLeft w:val="0"/>
          <w:marRight w:val="0"/>
          <w:marTop w:val="0"/>
          <w:marBottom w:val="0"/>
          <w:divBdr>
            <w:top w:val="none" w:sz="0" w:space="0" w:color="auto"/>
            <w:left w:val="none" w:sz="0" w:space="0" w:color="auto"/>
            <w:bottom w:val="none" w:sz="0" w:space="0" w:color="auto"/>
            <w:right w:val="none" w:sz="0" w:space="0" w:color="auto"/>
          </w:divBdr>
          <w:divsChild>
            <w:div w:id="5792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67869">
      <w:bodyDiv w:val="1"/>
      <w:marLeft w:val="0"/>
      <w:marRight w:val="0"/>
      <w:marTop w:val="0"/>
      <w:marBottom w:val="0"/>
      <w:divBdr>
        <w:top w:val="none" w:sz="0" w:space="0" w:color="auto"/>
        <w:left w:val="none" w:sz="0" w:space="0" w:color="auto"/>
        <w:bottom w:val="none" w:sz="0" w:space="0" w:color="auto"/>
        <w:right w:val="none" w:sz="0" w:space="0" w:color="auto"/>
      </w:divBdr>
      <w:divsChild>
        <w:div w:id="554975558">
          <w:marLeft w:val="0"/>
          <w:marRight w:val="0"/>
          <w:marTop w:val="0"/>
          <w:marBottom w:val="0"/>
          <w:divBdr>
            <w:top w:val="none" w:sz="0" w:space="0" w:color="auto"/>
            <w:left w:val="none" w:sz="0" w:space="0" w:color="auto"/>
            <w:bottom w:val="none" w:sz="0" w:space="0" w:color="auto"/>
            <w:right w:val="none" w:sz="0" w:space="0" w:color="auto"/>
          </w:divBdr>
          <w:divsChild>
            <w:div w:id="13889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974">
      <w:bodyDiv w:val="1"/>
      <w:marLeft w:val="0"/>
      <w:marRight w:val="0"/>
      <w:marTop w:val="0"/>
      <w:marBottom w:val="0"/>
      <w:divBdr>
        <w:top w:val="none" w:sz="0" w:space="0" w:color="auto"/>
        <w:left w:val="none" w:sz="0" w:space="0" w:color="auto"/>
        <w:bottom w:val="none" w:sz="0" w:space="0" w:color="auto"/>
        <w:right w:val="none" w:sz="0" w:space="0" w:color="auto"/>
      </w:divBdr>
      <w:divsChild>
        <w:div w:id="1291742524">
          <w:marLeft w:val="0"/>
          <w:marRight w:val="0"/>
          <w:marTop w:val="0"/>
          <w:marBottom w:val="0"/>
          <w:divBdr>
            <w:top w:val="none" w:sz="0" w:space="0" w:color="auto"/>
            <w:left w:val="none" w:sz="0" w:space="0" w:color="auto"/>
            <w:bottom w:val="none" w:sz="0" w:space="0" w:color="auto"/>
            <w:right w:val="none" w:sz="0" w:space="0" w:color="auto"/>
          </w:divBdr>
          <w:divsChild>
            <w:div w:id="468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48521">
      <w:bodyDiv w:val="1"/>
      <w:marLeft w:val="0"/>
      <w:marRight w:val="0"/>
      <w:marTop w:val="0"/>
      <w:marBottom w:val="0"/>
      <w:divBdr>
        <w:top w:val="none" w:sz="0" w:space="0" w:color="auto"/>
        <w:left w:val="none" w:sz="0" w:space="0" w:color="auto"/>
        <w:bottom w:val="none" w:sz="0" w:space="0" w:color="auto"/>
        <w:right w:val="none" w:sz="0" w:space="0" w:color="auto"/>
      </w:divBdr>
      <w:divsChild>
        <w:div w:id="1134106254">
          <w:marLeft w:val="0"/>
          <w:marRight w:val="0"/>
          <w:marTop w:val="0"/>
          <w:marBottom w:val="0"/>
          <w:divBdr>
            <w:top w:val="none" w:sz="0" w:space="0" w:color="auto"/>
            <w:left w:val="none" w:sz="0" w:space="0" w:color="auto"/>
            <w:bottom w:val="none" w:sz="0" w:space="0" w:color="auto"/>
            <w:right w:val="none" w:sz="0" w:space="0" w:color="auto"/>
          </w:divBdr>
          <w:divsChild>
            <w:div w:id="3563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3384">
      <w:bodyDiv w:val="1"/>
      <w:marLeft w:val="0"/>
      <w:marRight w:val="0"/>
      <w:marTop w:val="0"/>
      <w:marBottom w:val="0"/>
      <w:divBdr>
        <w:top w:val="none" w:sz="0" w:space="0" w:color="auto"/>
        <w:left w:val="none" w:sz="0" w:space="0" w:color="auto"/>
        <w:bottom w:val="none" w:sz="0" w:space="0" w:color="auto"/>
        <w:right w:val="none" w:sz="0" w:space="0" w:color="auto"/>
      </w:divBdr>
      <w:divsChild>
        <w:div w:id="1587425379">
          <w:marLeft w:val="0"/>
          <w:marRight w:val="0"/>
          <w:marTop w:val="0"/>
          <w:marBottom w:val="0"/>
          <w:divBdr>
            <w:top w:val="none" w:sz="0" w:space="0" w:color="auto"/>
            <w:left w:val="none" w:sz="0" w:space="0" w:color="auto"/>
            <w:bottom w:val="none" w:sz="0" w:space="0" w:color="auto"/>
            <w:right w:val="none" w:sz="0" w:space="0" w:color="auto"/>
          </w:divBdr>
          <w:divsChild>
            <w:div w:id="3577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93218">
      <w:bodyDiv w:val="1"/>
      <w:marLeft w:val="0"/>
      <w:marRight w:val="0"/>
      <w:marTop w:val="0"/>
      <w:marBottom w:val="0"/>
      <w:divBdr>
        <w:top w:val="none" w:sz="0" w:space="0" w:color="auto"/>
        <w:left w:val="none" w:sz="0" w:space="0" w:color="auto"/>
        <w:bottom w:val="none" w:sz="0" w:space="0" w:color="auto"/>
        <w:right w:val="none" w:sz="0" w:space="0" w:color="auto"/>
      </w:divBdr>
      <w:divsChild>
        <w:div w:id="837039813">
          <w:marLeft w:val="0"/>
          <w:marRight w:val="0"/>
          <w:marTop w:val="0"/>
          <w:marBottom w:val="0"/>
          <w:divBdr>
            <w:top w:val="none" w:sz="0" w:space="0" w:color="auto"/>
            <w:left w:val="none" w:sz="0" w:space="0" w:color="auto"/>
            <w:bottom w:val="none" w:sz="0" w:space="0" w:color="auto"/>
            <w:right w:val="none" w:sz="0" w:space="0" w:color="auto"/>
          </w:divBdr>
          <w:divsChild>
            <w:div w:id="9152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9704">
      <w:bodyDiv w:val="1"/>
      <w:marLeft w:val="0"/>
      <w:marRight w:val="0"/>
      <w:marTop w:val="0"/>
      <w:marBottom w:val="0"/>
      <w:divBdr>
        <w:top w:val="none" w:sz="0" w:space="0" w:color="auto"/>
        <w:left w:val="none" w:sz="0" w:space="0" w:color="auto"/>
        <w:bottom w:val="none" w:sz="0" w:space="0" w:color="auto"/>
        <w:right w:val="none" w:sz="0" w:space="0" w:color="auto"/>
      </w:divBdr>
      <w:divsChild>
        <w:div w:id="148599484">
          <w:marLeft w:val="0"/>
          <w:marRight w:val="0"/>
          <w:marTop w:val="0"/>
          <w:marBottom w:val="0"/>
          <w:divBdr>
            <w:top w:val="none" w:sz="0" w:space="0" w:color="auto"/>
            <w:left w:val="none" w:sz="0" w:space="0" w:color="auto"/>
            <w:bottom w:val="none" w:sz="0" w:space="0" w:color="auto"/>
            <w:right w:val="none" w:sz="0" w:space="0" w:color="auto"/>
          </w:divBdr>
          <w:divsChild>
            <w:div w:id="16155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0698">
      <w:bodyDiv w:val="1"/>
      <w:marLeft w:val="0"/>
      <w:marRight w:val="0"/>
      <w:marTop w:val="0"/>
      <w:marBottom w:val="0"/>
      <w:divBdr>
        <w:top w:val="none" w:sz="0" w:space="0" w:color="auto"/>
        <w:left w:val="none" w:sz="0" w:space="0" w:color="auto"/>
        <w:bottom w:val="none" w:sz="0" w:space="0" w:color="auto"/>
        <w:right w:val="none" w:sz="0" w:space="0" w:color="auto"/>
      </w:divBdr>
      <w:divsChild>
        <w:div w:id="1713462200">
          <w:marLeft w:val="0"/>
          <w:marRight w:val="0"/>
          <w:marTop w:val="0"/>
          <w:marBottom w:val="0"/>
          <w:divBdr>
            <w:top w:val="none" w:sz="0" w:space="0" w:color="auto"/>
            <w:left w:val="none" w:sz="0" w:space="0" w:color="auto"/>
            <w:bottom w:val="none" w:sz="0" w:space="0" w:color="auto"/>
            <w:right w:val="none" w:sz="0" w:space="0" w:color="auto"/>
          </w:divBdr>
          <w:divsChild>
            <w:div w:id="20638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8829">
      <w:bodyDiv w:val="1"/>
      <w:marLeft w:val="0"/>
      <w:marRight w:val="0"/>
      <w:marTop w:val="0"/>
      <w:marBottom w:val="0"/>
      <w:divBdr>
        <w:top w:val="none" w:sz="0" w:space="0" w:color="auto"/>
        <w:left w:val="none" w:sz="0" w:space="0" w:color="auto"/>
        <w:bottom w:val="none" w:sz="0" w:space="0" w:color="auto"/>
        <w:right w:val="none" w:sz="0" w:space="0" w:color="auto"/>
      </w:divBdr>
      <w:divsChild>
        <w:div w:id="1918057908">
          <w:marLeft w:val="0"/>
          <w:marRight w:val="0"/>
          <w:marTop w:val="0"/>
          <w:marBottom w:val="0"/>
          <w:divBdr>
            <w:top w:val="none" w:sz="0" w:space="0" w:color="auto"/>
            <w:left w:val="none" w:sz="0" w:space="0" w:color="auto"/>
            <w:bottom w:val="none" w:sz="0" w:space="0" w:color="auto"/>
            <w:right w:val="none" w:sz="0" w:space="0" w:color="auto"/>
          </w:divBdr>
          <w:divsChild>
            <w:div w:id="7691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51429">
      <w:bodyDiv w:val="1"/>
      <w:marLeft w:val="0"/>
      <w:marRight w:val="0"/>
      <w:marTop w:val="0"/>
      <w:marBottom w:val="0"/>
      <w:divBdr>
        <w:top w:val="none" w:sz="0" w:space="0" w:color="auto"/>
        <w:left w:val="none" w:sz="0" w:space="0" w:color="auto"/>
        <w:bottom w:val="none" w:sz="0" w:space="0" w:color="auto"/>
        <w:right w:val="none" w:sz="0" w:space="0" w:color="auto"/>
      </w:divBdr>
      <w:divsChild>
        <w:div w:id="59331135">
          <w:marLeft w:val="0"/>
          <w:marRight w:val="0"/>
          <w:marTop w:val="0"/>
          <w:marBottom w:val="0"/>
          <w:divBdr>
            <w:top w:val="none" w:sz="0" w:space="0" w:color="auto"/>
            <w:left w:val="none" w:sz="0" w:space="0" w:color="auto"/>
            <w:bottom w:val="none" w:sz="0" w:space="0" w:color="auto"/>
            <w:right w:val="none" w:sz="0" w:space="0" w:color="auto"/>
          </w:divBdr>
          <w:divsChild>
            <w:div w:id="1699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5430">
      <w:bodyDiv w:val="1"/>
      <w:marLeft w:val="0"/>
      <w:marRight w:val="0"/>
      <w:marTop w:val="0"/>
      <w:marBottom w:val="0"/>
      <w:divBdr>
        <w:top w:val="none" w:sz="0" w:space="0" w:color="auto"/>
        <w:left w:val="none" w:sz="0" w:space="0" w:color="auto"/>
        <w:bottom w:val="none" w:sz="0" w:space="0" w:color="auto"/>
        <w:right w:val="none" w:sz="0" w:space="0" w:color="auto"/>
      </w:divBdr>
      <w:divsChild>
        <w:div w:id="1330711321">
          <w:marLeft w:val="0"/>
          <w:marRight w:val="0"/>
          <w:marTop w:val="0"/>
          <w:marBottom w:val="0"/>
          <w:divBdr>
            <w:top w:val="none" w:sz="0" w:space="0" w:color="auto"/>
            <w:left w:val="none" w:sz="0" w:space="0" w:color="auto"/>
            <w:bottom w:val="none" w:sz="0" w:space="0" w:color="auto"/>
            <w:right w:val="none" w:sz="0" w:space="0" w:color="auto"/>
          </w:divBdr>
          <w:divsChild>
            <w:div w:id="552233163">
              <w:marLeft w:val="0"/>
              <w:marRight w:val="0"/>
              <w:marTop w:val="0"/>
              <w:marBottom w:val="0"/>
              <w:divBdr>
                <w:top w:val="none" w:sz="0" w:space="0" w:color="auto"/>
                <w:left w:val="none" w:sz="0" w:space="0" w:color="auto"/>
                <w:bottom w:val="none" w:sz="0" w:space="0" w:color="auto"/>
                <w:right w:val="none" w:sz="0" w:space="0" w:color="auto"/>
              </w:divBdr>
              <w:divsChild>
                <w:div w:id="6724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43310">
      <w:bodyDiv w:val="1"/>
      <w:marLeft w:val="0"/>
      <w:marRight w:val="0"/>
      <w:marTop w:val="0"/>
      <w:marBottom w:val="0"/>
      <w:divBdr>
        <w:top w:val="none" w:sz="0" w:space="0" w:color="auto"/>
        <w:left w:val="none" w:sz="0" w:space="0" w:color="auto"/>
        <w:bottom w:val="none" w:sz="0" w:space="0" w:color="auto"/>
        <w:right w:val="none" w:sz="0" w:space="0" w:color="auto"/>
      </w:divBdr>
      <w:divsChild>
        <w:div w:id="607856435">
          <w:marLeft w:val="0"/>
          <w:marRight w:val="0"/>
          <w:marTop w:val="0"/>
          <w:marBottom w:val="0"/>
          <w:divBdr>
            <w:top w:val="none" w:sz="0" w:space="0" w:color="auto"/>
            <w:left w:val="none" w:sz="0" w:space="0" w:color="auto"/>
            <w:bottom w:val="none" w:sz="0" w:space="0" w:color="auto"/>
            <w:right w:val="none" w:sz="0" w:space="0" w:color="auto"/>
          </w:divBdr>
          <w:divsChild>
            <w:div w:id="232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14646">
      <w:bodyDiv w:val="1"/>
      <w:marLeft w:val="0"/>
      <w:marRight w:val="0"/>
      <w:marTop w:val="0"/>
      <w:marBottom w:val="0"/>
      <w:divBdr>
        <w:top w:val="none" w:sz="0" w:space="0" w:color="auto"/>
        <w:left w:val="none" w:sz="0" w:space="0" w:color="auto"/>
        <w:bottom w:val="none" w:sz="0" w:space="0" w:color="auto"/>
        <w:right w:val="none" w:sz="0" w:space="0" w:color="auto"/>
      </w:divBdr>
      <w:divsChild>
        <w:div w:id="1382942276">
          <w:marLeft w:val="0"/>
          <w:marRight w:val="0"/>
          <w:marTop w:val="0"/>
          <w:marBottom w:val="0"/>
          <w:divBdr>
            <w:top w:val="none" w:sz="0" w:space="0" w:color="auto"/>
            <w:left w:val="none" w:sz="0" w:space="0" w:color="auto"/>
            <w:bottom w:val="none" w:sz="0" w:space="0" w:color="auto"/>
            <w:right w:val="none" w:sz="0" w:space="0" w:color="auto"/>
          </w:divBdr>
          <w:divsChild>
            <w:div w:id="194792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1422">
      <w:bodyDiv w:val="1"/>
      <w:marLeft w:val="0"/>
      <w:marRight w:val="0"/>
      <w:marTop w:val="0"/>
      <w:marBottom w:val="0"/>
      <w:divBdr>
        <w:top w:val="none" w:sz="0" w:space="0" w:color="auto"/>
        <w:left w:val="none" w:sz="0" w:space="0" w:color="auto"/>
        <w:bottom w:val="none" w:sz="0" w:space="0" w:color="auto"/>
        <w:right w:val="none" w:sz="0" w:space="0" w:color="auto"/>
      </w:divBdr>
      <w:divsChild>
        <w:div w:id="1473642769">
          <w:marLeft w:val="0"/>
          <w:marRight w:val="0"/>
          <w:marTop w:val="0"/>
          <w:marBottom w:val="0"/>
          <w:divBdr>
            <w:top w:val="none" w:sz="0" w:space="0" w:color="auto"/>
            <w:left w:val="none" w:sz="0" w:space="0" w:color="auto"/>
            <w:bottom w:val="none" w:sz="0" w:space="0" w:color="auto"/>
            <w:right w:val="none" w:sz="0" w:space="0" w:color="auto"/>
          </w:divBdr>
          <w:divsChild>
            <w:div w:id="2311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826">
      <w:bodyDiv w:val="1"/>
      <w:marLeft w:val="0"/>
      <w:marRight w:val="0"/>
      <w:marTop w:val="0"/>
      <w:marBottom w:val="0"/>
      <w:divBdr>
        <w:top w:val="none" w:sz="0" w:space="0" w:color="auto"/>
        <w:left w:val="none" w:sz="0" w:space="0" w:color="auto"/>
        <w:bottom w:val="none" w:sz="0" w:space="0" w:color="auto"/>
        <w:right w:val="none" w:sz="0" w:space="0" w:color="auto"/>
      </w:divBdr>
      <w:divsChild>
        <w:div w:id="1376931001">
          <w:marLeft w:val="0"/>
          <w:marRight w:val="0"/>
          <w:marTop w:val="0"/>
          <w:marBottom w:val="0"/>
          <w:divBdr>
            <w:top w:val="none" w:sz="0" w:space="0" w:color="auto"/>
            <w:left w:val="none" w:sz="0" w:space="0" w:color="auto"/>
            <w:bottom w:val="none" w:sz="0" w:space="0" w:color="auto"/>
            <w:right w:val="none" w:sz="0" w:space="0" w:color="auto"/>
          </w:divBdr>
          <w:divsChild>
            <w:div w:id="1924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01313">
      <w:bodyDiv w:val="1"/>
      <w:marLeft w:val="0"/>
      <w:marRight w:val="0"/>
      <w:marTop w:val="0"/>
      <w:marBottom w:val="0"/>
      <w:divBdr>
        <w:top w:val="none" w:sz="0" w:space="0" w:color="auto"/>
        <w:left w:val="none" w:sz="0" w:space="0" w:color="auto"/>
        <w:bottom w:val="none" w:sz="0" w:space="0" w:color="auto"/>
        <w:right w:val="none" w:sz="0" w:space="0" w:color="auto"/>
      </w:divBdr>
      <w:divsChild>
        <w:div w:id="178129216">
          <w:marLeft w:val="0"/>
          <w:marRight w:val="0"/>
          <w:marTop w:val="0"/>
          <w:marBottom w:val="0"/>
          <w:divBdr>
            <w:top w:val="none" w:sz="0" w:space="0" w:color="auto"/>
            <w:left w:val="none" w:sz="0" w:space="0" w:color="auto"/>
            <w:bottom w:val="none" w:sz="0" w:space="0" w:color="auto"/>
            <w:right w:val="none" w:sz="0" w:space="0" w:color="auto"/>
          </w:divBdr>
          <w:divsChild>
            <w:div w:id="1731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5563">
      <w:bodyDiv w:val="1"/>
      <w:marLeft w:val="0"/>
      <w:marRight w:val="0"/>
      <w:marTop w:val="0"/>
      <w:marBottom w:val="0"/>
      <w:divBdr>
        <w:top w:val="none" w:sz="0" w:space="0" w:color="auto"/>
        <w:left w:val="none" w:sz="0" w:space="0" w:color="auto"/>
        <w:bottom w:val="none" w:sz="0" w:space="0" w:color="auto"/>
        <w:right w:val="none" w:sz="0" w:space="0" w:color="auto"/>
      </w:divBdr>
      <w:divsChild>
        <w:div w:id="75788392">
          <w:marLeft w:val="0"/>
          <w:marRight w:val="0"/>
          <w:marTop w:val="0"/>
          <w:marBottom w:val="0"/>
          <w:divBdr>
            <w:top w:val="none" w:sz="0" w:space="0" w:color="auto"/>
            <w:left w:val="none" w:sz="0" w:space="0" w:color="auto"/>
            <w:bottom w:val="none" w:sz="0" w:space="0" w:color="auto"/>
            <w:right w:val="none" w:sz="0" w:space="0" w:color="auto"/>
          </w:divBdr>
          <w:divsChild>
            <w:div w:id="1866938092">
              <w:marLeft w:val="0"/>
              <w:marRight w:val="0"/>
              <w:marTop w:val="0"/>
              <w:marBottom w:val="0"/>
              <w:divBdr>
                <w:top w:val="none" w:sz="0" w:space="0" w:color="auto"/>
                <w:left w:val="none" w:sz="0" w:space="0" w:color="auto"/>
                <w:bottom w:val="none" w:sz="0" w:space="0" w:color="auto"/>
                <w:right w:val="none" w:sz="0" w:space="0" w:color="auto"/>
              </w:divBdr>
              <w:divsChild>
                <w:div w:id="18035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4330">
      <w:bodyDiv w:val="1"/>
      <w:marLeft w:val="0"/>
      <w:marRight w:val="0"/>
      <w:marTop w:val="0"/>
      <w:marBottom w:val="0"/>
      <w:divBdr>
        <w:top w:val="none" w:sz="0" w:space="0" w:color="auto"/>
        <w:left w:val="none" w:sz="0" w:space="0" w:color="auto"/>
        <w:bottom w:val="none" w:sz="0" w:space="0" w:color="auto"/>
        <w:right w:val="none" w:sz="0" w:space="0" w:color="auto"/>
      </w:divBdr>
      <w:divsChild>
        <w:div w:id="918322902">
          <w:marLeft w:val="0"/>
          <w:marRight w:val="0"/>
          <w:marTop w:val="0"/>
          <w:marBottom w:val="0"/>
          <w:divBdr>
            <w:top w:val="none" w:sz="0" w:space="0" w:color="auto"/>
            <w:left w:val="none" w:sz="0" w:space="0" w:color="auto"/>
            <w:bottom w:val="none" w:sz="0" w:space="0" w:color="auto"/>
            <w:right w:val="none" w:sz="0" w:space="0" w:color="auto"/>
          </w:divBdr>
          <w:divsChild>
            <w:div w:id="4660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3706">
      <w:bodyDiv w:val="1"/>
      <w:marLeft w:val="0"/>
      <w:marRight w:val="0"/>
      <w:marTop w:val="0"/>
      <w:marBottom w:val="0"/>
      <w:divBdr>
        <w:top w:val="none" w:sz="0" w:space="0" w:color="auto"/>
        <w:left w:val="none" w:sz="0" w:space="0" w:color="auto"/>
        <w:bottom w:val="none" w:sz="0" w:space="0" w:color="auto"/>
        <w:right w:val="none" w:sz="0" w:space="0" w:color="auto"/>
      </w:divBdr>
      <w:divsChild>
        <w:div w:id="680667085">
          <w:marLeft w:val="0"/>
          <w:marRight w:val="0"/>
          <w:marTop w:val="0"/>
          <w:marBottom w:val="0"/>
          <w:divBdr>
            <w:top w:val="none" w:sz="0" w:space="0" w:color="auto"/>
            <w:left w:val="none" w:sz="0" w:space="0" w:color="auto"/>
            <w:bottom w:val="none" w:sz="0" w:space="0" w:color="auto"/>
            <w:right w:val="none" w:sz="0" w:space="0" w:color="auto"/>
          </w:divBdr>
          <w:divsChild>
            <w:div w:id="11339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10917">
      <w:bodyDiv w:val="1"/>
      <w:marLeft w:val="0"/>
      <w:marRight w:val="0"/>
      <w:marTop w:val="0"/>
      <w:marBottom w:val="0"/>
      <w:divBdr>
        <w:top w:val="none" w:sz="0" w:space="0" w:color="auto"/>
        <w:left w:val="none" w:sz="0" w:space="0" w:color="auto"/>
        <w:bottom w:val="none" w:sz="0" w:space="0" w:color="auto"/>
        <w:right w:val="none" w:sz="0" w:space="0" w:color="auto"/>
      </w:divBdr>
      <w:divsChild>
        <w:div w:id="1832477112">
          <w:marLeft w:val="0"/>
          <w:marRight w:val="0"/>
          <w:marTop w:val="0"/>
          <w:marBottom w:val="0"/>
          <w:divBdr>
            <w:top w:val="none" w:sz="0" w:space="0" w:color="auto"/>
            <w:left w:val="none" w:sz="0" w:space="0" w:color="auto"/>
            <w:bottom w:val="none" w:sz="0" w:space="0" w:color="auto"/>
            <w:right w:val="none" w:sz="0" w:space="0" w:color="auto"/>
          </w:divBdr>
          <w:divsChild>
            <w:div w:id="11622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2655">
      <w:bodyDiv w:val="1"/>
      <w:marLeft w:val="0"/>
      <w:marRight w:val="0"/>
      <w:marTop w:val="0"/>
      <w:marBottom w:val="0"/>
      <w:divBdr>
        <w:top w:val="none" w:sz="0" w:space="0" w:color="auto"/>
        <w:left w:val="none" w:sz="0" w:space="0" w:color="auto"/>
        <w:bottom w:val="none" w:sz="0" w:space="0" w:color="auto"/>
        <w:right w:val="none" w:sz="0" w:space="0" w:color="auto"/>
      </w:divBdr>
      <w:divsChild>
        <w:div w:id="1618636070">
          <w:marLeft w:val="0"/>
          <w:marRight w:val="0"/>
          <w:marTop w:val="0"/>
          <w:marBottom w:val="0"/>
          <w:divBdr>
            <w:top w:val="none" w:sz="0" w:space="0" w:color="auto"/>
            <w:left w:val="none" w:sz="0" w:space="0" w:color="auto"/>
            <w:bottom w:val="none" w:sz="0" w:space="0" w:color="auto"/>
            <w:right w:val="none" w:sz="0" w:space="0" w:color="auto"/>
          </w:divBdr>
          <w:divsChild>
            <w:div w:id="1369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19399">
      <w:bodyDiv w:val="1"/>
      <w:marLeft w:val="0"/>
      <w:marRight w:val="0"/>
      <w:marTop w:val="0"/>
      <w:marBottom w:val="0"/>
      <w:divBdr>
        <w:top w:val="none" w:sz="0" w:space="0" w:color="auto"/>
        <w:left w:val="none" w:sz="0" w:space="0" w:color="auto"/>
        <w:bottom w:val="none" w:sz="0" w:space="0" w:color="auto"/>
        <w:right w:val="none" w:sz="0" w:space="0" w:color="auto"/>
      </w:divBdr>
      <w:divsChild>
        <w:div w:id="1616523190">
          <w:marLeft w:val="0"/>
          <w:marRight w:val="0"/>
          <w:marTop w:val="0"/>
          <w:marBottom w:val="0"/>
          <w:divBdr>
            <w:top w:val="none" w:sz="0" w:space="0" w:color="auto"/>
            <w:left w:val="none" w:sz="0" w:space="0" w:color="auto"/>
            <w:bottom w:val="none" w:sz="0" w:space="0" w:color="auto"/>
            <w:right w:val="none" w:sz="0" w:space="0" w:color="auto"/>
          </w:divBdr>
          <w:divsChild>
            <w:div w:id="187468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8289">
      <w:bodyDiv w:val="1"/>
      <w:marLeft w:val="0"/>
      <w:marRight w:val="0"/>
      <w:marTop w:val="0"/>
      <w:marBottom w:val="0"/>
      <w:divBdr>
        <w:top w:val="none" w:sz="0" w:space="0" w:color="auto"/>
        <w:left w:val="none" w:sz="0" w:space="0" w:color="auto"/>
        <w:bottom w:val="none" w:sz="0" w:space="0" w:color="auto"/>
        <w:right w:val="none" w:sz="0" w:space="0" w:color="auto"/>
      </w:divBdr>
      <w:divsChild>
        <w:div w:id="220681829">
          <w:marLeft w:val="0"/>
          <w:marRight w:val="0"/>
          <w:marTop w:val="0"/>
          <w:marBottom w:val="0"/>
          <w:divBdr>
            <w:top w:val="none" w:sz="0" w:space="0" w:color="auto"/>
            <w:left w:val="none" w:sz="0" w:space="0" w:color="auto"/>
            <w:bottom w:val="none" w:sz="0" w:space="0" w:color="auto"/>
            <w:right w:val="none" w:sz="0" w:space="0" w:color="auto"/>
          </w:divBdr>
          <w:divsChild>
            <w:div w:id="18956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8380">
      <w:bodyDiv w:val="1"/>
      <w:marLeft w:val="0"/>
      <w:marRight w:val="0"/>
      <w:marTop w:val="0"/>
      <w:marBottom w:val="0"/>
      <w:divBdr>
        <w:top w:val="none" w:sz="0" w:space="0" w:color="auto"/>
        <w:left w:val="none" w:sz="0" w:space="0" w:color="auto"/>
        <w:bottom w:val="none" w:sz="0" w:space="0" w:color="auto"/>
        <w:right w:val="none" w:sz="0" w:space="0" w:color="auto"/>
      </w:divBdr>
      <w:divsChild>
        <w:div w:id="791556666">
          <w:marLeft w:val="0"/>
          <w:marRight w:val="0"/>
          <w:marTop w:val="0"/>
          <w:marBottom w:val="0"/>
          <w:divBdr>
            <w:top w:val="none" w:sz="0" w:space="0" w:color="auto"/>
            <w:left w:val="none" w:sz="0" w:space="0" w:color="auto"/>
            <w:bottom w:val="none" w:sz="0" w:space="0" w:color="auto"/>
            <w:right w:val="none" w:sz="0" w:space="0" w:color="auto"/>
          </w:divBdr>
          <w:divsChild>
            <w:div w:id="2192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409">
      <w:bodyDiv w:val="1"/>
      <w:marLeft w:val="0"/>
      <w:marRight w:val="0"/>
      <w:marTop w:val="0"/>
      <w:marBottom w:val="0"/>
      <w:divBdr>
        <w:top w:val="none" w:sz="0" w:space="0" w:color="auto"/>
        <w:left w:val="none" w:sz="0" w:space="0" w:color="auto"/>
        <w:bottom w:val="none" w:sz="0" w:space="0" w:color="auto"/>
        <w:right w:val="none" w:sz="0" w:space="0" w:color="auto"/>
      </w:divBdr>
      <w:divsChild>
        <w:div w:id="1935626629">
          <w:marLeft w:val="0"/>
          <w:marRight w:val="0"/>
          <w:marTop w:val="0"/>
          <w:marBottom w:val="0"/>
          <w:divBdr>
            <w:top w:val="none" w:sz="0" w:space="0" w:color="auto"/>
            <w:left w:val="none" w:sz="0" w:space="0" w:color="auto"/>
            <w:bottom w:val="none" w:sz="0" w:space="0" w:color="auto"/>
            <w:right w:val="none" w:sz="0" w:space="0" w:color="auto"/>
          </w:divBdr>
          <w:divsChild>
            <w:div w:id="109015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47735">
      <w:bodyDiv w:val="1"/>
      <w:marLeft w:val="0"/>
      <w:marRight w:val="0"/>
      <w:marTop w:val="0"/>
      <w:marBottom w:val="0"/>
      <w:divBdr>
        <w:top w:val="none" w:sz="0" w:space="0" w:color="auto"/>
        <w:left w:val="none" w:sz="0" w:space="0" w:color="auto"/>
        <w:bottom w:val="none" w:sz="0" w:space="0" w:color="auto"/>
        <w:right w:val="none" w:sz="0" w:space="0" w:color="auto"/>
      </w:divBdr>
      <w:divsChild>
        <w:div w:id="2028828627">
          <w:marLeft w:val="0"/>
          <w:marRight w:val="0"/>
          <w:marTop w:val="0"/>
          <w:marBottom w:val="0"/>
          <w:divBdr>
            <w:top w:val="none" w:sz="0" w:space="0" w:color="auto"/>
            <w:left w:val="none" w:sz="0" w:space="0" w:color="auto"/>
            <w:bottom w:val="none" w:sz="0" w:space="0" w:color="auto"/>
            <w:right w:val="none" w:sz="0" w:space="0" w:color="auto"/>
          </w:divBdr>
          <w:divsChild>
            <w:div w:id="15544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43</Pages>
  <Words>6625</Words>
  <Characters>37766</Characters>
  <Application>Microsoft Macintosh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Ralph Lauren Corporation</Company>
  <LinksUpToDate>false</LinksUpToDate>
  <CharactersWithSpaces>44303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David Riegel</dc:creator>
  <cp:lastModifiedBy>Peggy Davis</cp:lastModifiedBy>
  <cp:revision>3</cp:revision>
  <dcterms:created xsi:type="dcterms:W3CDTF">2015-09-22T15:49:00Z</dcterms:created>
  <dcterms:modified xsi:type="dcterms:W3CDTF">2015-09-22T15:55:00Z</dcterms:modified>
</cp:coreProperties>
</file>