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CCC903" w14:textId="231A0949" w:rsidR="00510A7E" w:rsidRDefault="00A24D35" w:rsidP="00A24D35">
      <w:pPr>
        <w:jc w:val="center"/>
        <w:outlineLvl w:val="0"/>
        <w:rPr>
          <w:rFonts w:asciiTheme="majorBidi" w:hAnsiTheme="majorBidi" w:cstheme="majorBidi"/>
          <w:b/>
          <w:bCs/>
          <w:u w:val="single"/>
        </w:rPr>
      </w:pPr>
      <w:bookmarkStart w:id="0" w:name="_GoBack"/>
      <w:r>
        <w:rPr>
          <w:rFonts w:asciiTheme="majorBidi" w:hAnsiTheme="majorBidi" w:cstheme="majorBidi"/>
          <w:b/>
          <w:bCs/>
          <w:u w:val="single"/>
        </w:rPr>
        <w:t xml:space="preserve">In Support of </w:t>
      </w:r>
      <w:r w:rsidR="003C76E1" w:rsidRPr="00433908">
        <w:rPr>
          <w:rFonts w:asciiTheme="majorBidi" w:hAnsiTheme="majorBidi" w:cstheme="majorBidi"/>
          <w:b/>
          <w:bCs/>
          <w:u w:val="single"/>
        </w:rPr>
        <w:t>Cross</w:t>
      </w:r>
      <w:r w:rsidR="00067AFA" w:rsidRPr="00433908">
        <w:rPr>
          <w:rFonts w:asciiTheme="majorBidi" w:hAnsiTheme="majorBidi" w:cstheme="majorBidi"/>
          <w:b/>
          <w:bCs/>
          <w:u w:val="single"/>
        </w:rPr>
        <w:t xml:space="preserve"> Ownership</w:t>
      </w:r>
      <w:r w:rsidR="003C76E1" w:rsidRPr="00433908">
        <w:rPr>
          <w:rFonts w:asciiTheme="majorBidi" w:hAnsiTheme="majorBidi" w:cstheme="majorBidi"/>
          <w:b/>
          <w:bCs/>
          <w:u w:val="single"/>
        </w:rPr>
        <w:t xml:space="preserve"> </w:t>
      </w:r>
      <w:proofErr w:type="gramStart"/>
      <w:r w:rsidR="003C76E1" w:rsidRPr="00433908">
        <w:rPr>
          <w:rFonts w:asciiTheme="majorBidi" w:hAnsiTheme="majorBidi" w:cstheme="majorBidi"/>
          <w:b/>
          <w:bCs/>
          <w:u w:val="single"/>
        </w:rPr>
        <w:t>By</w:t>
      </w:r>
      <w:proofErr w:type="gramEnd"/>
      <w:r w:rsidR="003C76E1" w:rsidRPr="00433908">
        <w:rPr>
          <w:rFonts w:asciiTheme="majorBidi" w:hAnsiTheme="majorBidi" w:cstheme="majorBidi"/>
          <w:b/>
          <w:bCs/>
          <w:u w:val="single"/>
        </w:rPr>
        <w:t xml:space="preserve"> Institutional Investors</w:t>
      </w:r>
      <w:r w:rsidR="00067AFA" w:rsidRPr="00433908">
        <w:rPr>
          <w:rFonts w:asciiTheme="majorBidi" w:hAnsiTheme="majorBidi" w:cstheme="majorBidi"/>
          <w:b/>
          <w:bCs/>
          <w:u w:val="single"/>
        </w:rPr>
        <w:t xml:space="preserve"> </w:t>
      </w:r>
      <w:r w:rsidR="00030C52" w:rsidRPr="00433908">
        <w:rPr>
          <w:rFonts w:asciiTheme="majorBidi" w:hAnsiTheme="majorBidi" w:cstheme="majorBidi"/>
          <w:b/>
          <w:bCs/>
          <w:u w:val="single"/>
        </w:rPr>
        <w:t>–</w:t>
      </w:r>
    </w:p>
    <w:p w14:paraId="5BE6F66B" w14:textId="344873CC" w:rsidR="00E53285" w:rsidRPr="00433908" w:rsidRDefault="00E53285" w:rsidP="00805A46">
      <w:pPr>
        <w:jc w:val="center"/>
        <w:outlineLvl w:val="0"/>
        <w:rPr>
          <w:rFonts w:asciiTheme="majorBidi" w:hAnsiTheme="majorBidi" w:cstheme="majorBidi"/>
          <w:b/>
          <w:bCs/>
          <w:u w:val="single"/>
        </w:rPr>
      </w:pPr>
      <w:r w:rsidRPr="00433908">
        <w:rPr>
          <w:rFonts w:asciiTheme="majorBidi" w:hAnsiTheme="majorBidi" w:cstheme="majorBidi"/>
          <w:b/>
          <w:bCs/>
          <w:u w:val="single"/>
        </w:rPr>
        <w:t>A Theory of ‘Unilateral Coordination’</w:t>
      </w:r>
    </w:p>
    <w:bookmarkEnd w:id="0"/>
    <w:p w14:paraId="0D58FE9E" w14:textId="77777777" w:rsidR="00E53285" w:rsidRPr="00433908" w:rsidRDefault="00E53285" w:rsidP="00067AFA">
      <w:pPr>
        <w:jc w:val="center"/>
        <w:outlineLvl w:val="0"/>
        <w:rPr>
          <w:rFonts w:asciiTheme="majorBidi" w:hAnsiTheme="majorBidi" w:cstheme="majorBidi"/>
          <w:b/>
          <w:bCs/>
          <w:u w:val="single"/>
          <w:rtl/>
        </w:rPr>
      </w:pPr>
    </w:p>
    <w:p w14:paraId="6FB6D76F" w14:textId="0D107F63" w:rsidR="00015FED" w:rsidRPr="00433908" w:rsidRDefault="00012871" w:rsidP="00012871">
      <w:pPr>
        <w:jc w:val="center"/>
        <w:rPr>
          <w:rStyle w:val="FootnoteReference"/>
          <w:rFonts w:asciiTheme="majorBidi" w:hAnsiTheme="majorBidi" w:cstheme="majorBidi"/>
          <w:bCs/>
          <w:rtl/>
        </w:rPr>
      </w:pPr>
      <w:proofErr w:type="spellStart"/>
      <w:r w:rsidRPr="00433908">
        <w:rPr>
          <w:rFonts w:asciiTheme="majorBidi" w:hAnsiTheme="majorBidi" w:cstheme="majorBidi"/>
          <w:bCs/>
        </w:rPr>
        <w:t>Ittai</w:t>
      </w:r>
      <w:proofErr w:type="spellEnd"/>
      <w:r w:rsidRPr="00433908">
        <w:rPr>
          <w:rFonts w:asciiTheme="majorBidi" w:hAnsiTheme="majorBidi" w:cstheme="majorBidi"/>
          <w:bCs/>
        </w:rPr>
        <w:t xml:space="preserve"> </w:t>
      </w:r>
      <w:proofErr w:type="spellStart"/>
      <w:r w:rsidRPr="00433908">
        <w:rPr>
          <w:rFonts w:asciiTheme="majorBidi" w:hAnsiTheme="majorBidi" w:cstheme="majorBidi"/>
          <w:bCs/>
        </w:rPr>
        <w:t>Paldor</w:t>
      </w:r>
      <w:proofErr w:type="spellEnd"/>
      <w:r w:rsidRPr="00433908">
        <w:rPr>
          <w:rStyle w:val="FootnoteReference"/>
          <w:rFonts w:asciiTheme="majorBidi" w:hAnsiTheme="majorBidi" w:cstheme="majorBidi"/>
          <w:bCs/>
          <w:rtl/>
        </w:rPr>
        <w:footnoteReference w:customMarkFollows="1" w:id="1"/>
        <w:t>†</w:t>
      </w:r>
    </w:p>
    <w:p w14:paraId="65F6C90A" w14:textId="478B8210" w:rsidR="003C76E1" w:rsidRPr="00433908" w:rsidRDefault="003C76E1" w:rsidP="00F60614">
      <w:pPr>
        <w:jc w:val="both"/>
        <w:rPr>
          <w:rFonts w:asciiTheme="majorBidi" w:hAnsiTheme="majorBidi" w:cstheme="majorBidi"/>
          <w:b/>
          <w:bCs/>
          <w:i/>
          <w:iCs/>
          <w:sz w:val="28"/>
          <w:szCs w:val="28"/>
        </w:rPr>
      </w:pPr>
      <w:r w:rsidRPr="00433908">
        <w:rPr>
          <w:rFonts w:asciiTheme="majorBidi" w:hAnsiTheme="majorBidi" w:cstheme="majorBidi"/>
          <w:b/>
          <w:bCs/>
          <w:i/>
          <w:iCs/>
          <w:sz w:val="28"/>
          <w:szCs w:val="28"/>
        </w:rPr>
        <w:t>Abstract</w:t>
      </w:r>
    </w:p>
    <w:p w14:paraId="54001012" w14:textId="77777777" w:rsidR="00F862C8" w:rsidRPr="00433908" w:rsidRDefault="00F862C8" w:rsidP="00F60614">
      <w:pPr>
        <w:jc w:val="both"/>
        <w:rPr>
          <w:rFonts w:asciiTheme="majorBidi" w:hAnsiTheme="majorBidi" w:cstheme="majorBidi"/>
          <w:b/>
          <w:bCs/>
          <w:i/>
          <w:iCs/>
          <w:sz w:val="28"/>
          <w:szCs w:val="28"/>
          <w:rtl/>
        </w:rPr>
      </w:pPr>
    </w:p>
    <w:p w14:paraId="7918D117" w14:textId="4BA94873" w:rsidR="00015FED" w:rsidRPr="00433908" w:rsidRDefault="00FA5711" w:rsidP="00805A46">
      <w:pPr>
        <w:jc w:val="both"/>
        <w:rPr>
          <w:rFonts w:asciiTheme="majorBidi" w:hAnsiTheme="majorBidi" w:cstheme="majorBidi"/>
        </w:rPr>
      </w:pPr>
      <w:r w:rsidRPr="00433908">
        <w:rPr>
          <w:rFonts w:asciiTheme="majorBidi" w:hAnsiTheme="majorBidi" w:cstheme="majorBidi"/>
        </w:rPr>
        <w:t xml:space="preserve">Horizontal shareholding </w:t>
      </w:r>
      <w:r w:rsidR="003C76E1" w:rsidRPr="00433908">
        <w:rPr>
          <w:rFonts w:asciiTheme="majorBidi" w:hAnsiTheme="majorBidi" w:cstheme="majorBidi"/>
        </w:rPr>
        <w:t xml:space="preserve">by institutional investors </w:t>
      </w:r>
      <w:r w:rsidRPr="00433908">
        <w:rPr>
          <w:rFonts w:asciiTheme="majorBidi" w:hAnsiTheme="majorBidi" w:cstheme="majorBidi"/>
        </w:rPr>
        <w:t xml:space="preserve">has recently become the ‘hot-button’ issue of </w:t>
      </w:r>
      <w:r w:rsidR="00F71F85" w:rsidRPr="00433908">
        <w:rPr>
          <w:rFonts w:asciiTheme="majorBidi" w:hAnsiTheme="majorBidi" w:cstheme="majorBidi"/>
        </w:rPr>
        <w:t xml:space="preserve">both corporate law and </w:t>
      </w:r>
      <w:r w:rsidRPr="00433908">
        <w:rPr>
          <w:rFonts w:asciiTheme="majorBidi" w:hAnsiTheme="majorBidi" w:cstheme="majorBidi"/>
        </w:rPr>
        <w:t>antitrust law. Recent scholarly work has argued that the phenomenon of several institutional investors</w:t>
      </w:r>
      <w:r w:rsidR="003C76E1" w:rsidRPr="00433908">
        <w:rPr>
          <w:rFonts w:asciiTheme="majorBidi" w:hAnsiTheme="majorBidi" w:cstheme="majorBidi"/>
        </w:rPr>
        <w:t>, each of whom</w:t>
      </w:r>
      <w:r w:rsidR="002D5CCE" w:rsidRPr="00433908">
        <w:rPr>
          <w:rFonts w:asciiTheme="majorBidi" w:hAnsiTheme="majorBidi" w:cstheme="majorBidi"/>
        </w:rPr>
        <w:t xml:space="preserve"> is</w:t>
      </w:r>
      <w:r w:rsidRPr="00433908">
        <w:rPr>
          <w:rFonts w:asciiTheme="majorBidi" w:hAnsiTheme="majorBidi" w:cstheme="majorBidi"/>
        </w:rPr>
        <w:t xml:space="preserve"> invest</w:t>
      </w:r>
      <w:r w:rsidR="002D5CCE" w:rsidRPr="00433908">
        <w:rPr>
          <w:rFonts w:asciiTheme="majorBidi" w:hAnsiTheme="majorBidi" w:cstheme="majorBidi"/>
        </w:rPr>
        <w:t>ed</w:t>
      </w:r>
      <w:r w:rsidRPr="00433908">
        <w:rPr>
          <w:rFonts w:asciiTheme="majorBidi" w:hAnsiTheme="majorBidi" w:cstheme="majorBidi"/>
        </w:rPr>
        <w:t xml:space="preserve"> in firms</w:t>
      </w:r>
      <w:r w:rsidR="008D6748" w:rsidRPr="00433908">
        <w:rPr>
          <w:rFonts w:asciiTheme="majorBidi" w:hAnsiTheme="majorBidi" w:cstheme="majorBidi"/>
        </w:rPr>
        <w:t xml:space="preserve"> that compete in oligopolistic product markets</w:t>
      </w:r>
      <w:r w:rsidR="002D5CCE" w:rsidRPr="00433908">
        <w:rPr>
          <w:rFonts w:asciiTheme="majorBidi" w:hAnsiTheme="majorBidi" w:cstheme="majorBidi"/>
        </w:rPr>
        <w:t>,</w:t>
      </w:r>
      <w:r w:rsidRPr="00433908">
        <w:rPr>
          <w:rFonts w:asciiTheme="majorBidi" w:hAnsiTheme="majorBidi" w:cstheme="majorBidi"/>
        </w:rPr>
        <w:t xml:space="preserve"> ma</w:t>
      </w:r>
      <w:r w:rsidR="002D5CCE" w:rsidRPr="00433908">
        <w:rPr>
          <w:rFonts w:asciiTheme="majorBidi" w:hAnsiTheme="majorBidi" w:cstheme="majorBidi"/>
        </w:rPr>
        <w:t>y be detrimental to competition</w:t>
      </w:r>
      <w:r w:rsidR="00731124" w:rsidRPr="00433908">
        <w:rPr>
          <w:rFonts w:asciiTheme="majorBidi" w:hAnsiTheme="majorBidi" w:cstheme="majorBidi"/>
        </w:rPr>
        <w:t>. Importantly, the argument is that this is the case</w:t>
      </w:r>
      <w:r w:rsidRPr="00433908">
        <w:rPr>
          <w:rFonts w:asciiTheme="majorBidi" w:hAnsiTheme="majorBidi" w:cstheme="majorBidi"/>
        </w:rPr>
        <w:t xml:space="preserve"> even if </w:t>
      </w:r>
      <w:r w:rsidR="00731124" w:rsidRPr="00433908">
        <w:rPr>
          <w:rFonts w:asciiTheme="majorBidi" w:hAnsiTheme="majorBidi" w:cstheme="majorBidi"/>
        </w:rPr>
        <w:t xml:space="preserve">the institutional investors have no control over the firms in which they invest, </w:t>
      </w:r>
      <w:r w:rsidRPr="00433908">
        <w:rPr>
          <w:rFonts w:asciiTheme="majorBidi" w:hAnsiTheme="majorBidi" w:cstheme="majorBidi"/>
        </w:rPr>
        <w:t xml:space="preserve">the investment is completely passive, and the </w:t>
      </w:r>
      <w:r w:rsidR="00805FCE" w:rsidRPr="00433908">
        <w:rPr>
          <w:rFonts w:asciiTheme="majorBidi" w:hAnsiTheme="majorBidi" w:cstheme="majorBidi"/>
        </w:rPr>
        <w:t>(</w:t>
      </w:r>
      <w:r w:rsidRPr="00433908">
        <w:rPr>
          <w:rFonts w:asciiTheme="majorBidi" w:hAnsiTheme="majorBidi" w:cstheme="majorBidi"/>
        </w:rPr>
        <w:t>passive</w:t>
      </w:r>
      <w:r w:rsidR="00805FCE" w:rsidRPr="00433908">
        <w:rPr>
          <w:rFonts w:asciiTheme="majorBidi" w:hAnsiTheme="majorBidi" w:cstheme="majorBidi"/>
        </w:rPr>
        <w:t>)</w:t>
      </w:r>
      <w:r w:rsidRPr="00433908">
        <w:rPr>
          <w:rFonts w:asciiTheme="majorBidi" w:hAnsiTheme="majorBidi" w:cstheme="majorBidi"/>
        </w:rPr>
        <w:t xml:space="preserve"> investors do not coordinate in any way. </w:t>
      </w:r>
      <w:r w:rsidR="00FA766F" w:rsidRPr="00433908">
        <w:rPr>
          <w:rFonts w:asciiTheme="majorBidi" w:hAnsiTheme="majorBidi" w:cstheme="majorBidi"/>
        </w:rPr>
        <w:t xml:space="preserve">This view has </w:t>
      </w:r>
      <w:r w:rsidR="000B0576" w:rsidRPr="00433908">
        <w:rPr>
          <w:rFonts w:asciiTheme="majorBidi" w:hAnsiTheme="majorBidi" w:cstheme="majorBidi"/>
        </w:rPr>
        <w:t xml:space="preserve">not only gained scholarly support, but has </w:t>
      </w:r>
      <w:r w:rsidR="00FA766F" w:rsidRPr="00433908">
        <w:rPr>
          <w:rFonts w:asciiTheme="majorBidi" w:hAnsiTheme="majorBidi" w:cstheme="majorBidi"/>
        </w:rPr>
        <w:t xml:space="preserve">apparently </w:t>
      </w:r>
      <w:r w:rsidR="00755D72" w:rsidRPr="00433908">
        <w:rPr>
          <w:rFonts w:asciiTheme="majorBidi" w:hAnsiTheme="majorBidi" w:cstheme="majorBidi"/>
        </w:rPr>
        <w:t>persuaded</w:t>
      </w:r>
      <w:r w:rsidR="00FA766F" w:rsidRPr="00433908">
        <w:rPr>
          <w:rFonts w:asciiTheme="majorBidi" w:hAnsiTheme="majorBidi" w:cstheme="majorBidi"/>
        </w:rPr>
        <w:t xml:space="preserve"> </w:t>
      </w:r>
      <w:r w:rsidR="00F71F85" w:rsidRPr="00433908">
        <w:rPr>
          <w:rFonts w:asciiTheme="majorBidi" w:hAnsiTheme="majorBidi" w:cstheme="majorBidi"/>
        </w:rPr>
        <w:t>enforcement</w:t>
      </w:r>
      <w:r w:rsidR="00FA766F" w:rsidRPr="00433908">
        <w:rPr>
          <w:rFonts w:asciiTheme="majorBidi" w:hAnsiTheme="majorBidi" w:cstheme="majorBidi"/>
        </w:rPr>
        <w:t xml:space="preserve"> agencies, which have reportedly begun to deal with instances of the phenomenon. </w:t>
      </w:r>
      <w:r w:rsidR="00015FED" w:rsidRPr="00433908">
        <w:rPr>
          <w:rFonts w:asciiTheme="majorBidi" w:hAnsiTheme="majorBidi" w:cstheme="majorBidi"/>
        </w:rPr>
        <w:t>Th</w:t>
      </w:r>
      <w:r w:rsidR="00755D72" w:rsidRPr="00433908">
        <w:rPr>
          <w:rFonts w:asciiTheme="majorBidi" w:hAnsiTheme="majorBidi" w:cstheme="majorBidi"/>
        </w:rPr>
        <w:t>e</w:t>
      </w:r>
      <w:r w:rsidR="000E33E7" w:rsidRPr="00433908">
        <w:rPr>
          <w:rFonts w:asciiTheme="majorBidi" w:hAnsiTheme="majorBidi" w:cstheme="majorBidi"/>
        </w:rPr>
        <w:t xml:space="preserve"> cur</w:t>
      </w:r>
      <w:r w:rsidR="00755D72" w:rsidRPr="00433908">
        <w:rPr>
          <w:rFonts w:asciiTheme="majorBidi" w:hAnsiTheme="majorBidi" w:cstheme="majorBidi"/>
        </w:rPr>
        <w:t>rent</w:t>
      </w:r>
      <w:r w:rsidR="004A4BE5" w:rsidRPr="00433908">
        <w:rPr>
          <w:rFonts w:asciiTheme="majorBidi" w:hAnsiTheme="majorBidi" w:cstheme="majorBidi"/>
        </w:rPr>
        <w:t xml:space="preserve"> Paper </w:t>
      </w:r>
      <w:r w:rsidR="00965E04" w:rsidRPr="00433908">
        <w:rPr>
          <w:rFonts w:asciiTheme="majorBidi" w:hAnsiTheme="majorBidi" w:cstheme="majorBidi"/>
        </w:rPr>
        <w:t xml:space="preserve">challenges this newly-developed argument, </w:t>
      </w:r>
      <w:r w:rsidR="000E33E7" w:rsidRPr="00433908">
        <w:rPr>
          <w:rFonts w:asciiTheme="majorBidi" w:hAnsiTheme="majorBidi" w:cstheme="majorBidi"/>
        </w:rPr>
        <w:t>rapidly gaining acceptance</w:t>
      </w:r>
      <w:r w:rsidR="000B0576" w:rsidRPr="00433908">
        <w:rPr>
          <w:rFonts w:asciiTheme="majorBidi" w:hAnsiTheme="majorBidi" w:cstheme="majorBidi"/>
        </w:rPr>
        <w:t>. The Paper</w:t>
      </w:r>
      <w:r w:rsidR="00965E04" w:rsidRPr="00433908">
        <w:rPr>
          <w:rFonts w:asciiTheme="majorBidi" w:hAnsiTheme="majorBidi" w:cstheme="majorBidi"/>
        </w:rPr>
        <w:t xml:space="preserve"> </w:t>
      </w:r>
      <w:r w:rsidR="004A4BE5" w:rsidRPr="00433908">
        <w:rPr>
          <w:rFonts w:asciiTheme="majorBidi" w:hAnsiTheme="majorBidi" w:cstheme="majorBidi"/>
        </w:rPr>
        <w:t>argues that horizontal shareholding, or common owne</w:t>
      </w:r>
      <w:r w:rsidR="00FA766F" w:rsidRPr="00433908">
        <w:rPr>
          <w:rFonts w:asciiTheme="majorBidi" w:hAnsiTheme="majorBidi" w:cstheme="majorBidi"/>
        </w:rPr>
        <w:t xml:space="preserve">rship of firms by </w:t>
      </w:r>
      <w:r w:rsidR="00805FCE" w:rsidRPr="00433908">
        <w:rPr>
          <w:rFonts w:asciiTheme="majorBidi" w:hAnsiTheme="majorBidi" w:cstheme="majorBidi"/>
        </w:rPr>
        <w:t xml:space="preserve">institutional </w:t>
      </w:r>
      <w:r w:rsidR="004A4BE5" w:rsidRPr="00433908">
        <w:rPr>
          <w:rFonts w:asciiTheme="majorBidi" w:hAnsiTheme="majorBidi" w:cstheme="majorBidi"/>
        </w:rPr>
        <w:t xml:space="preserve">investors, is </w:t>
      </w:r>
      <w:r w:rsidR="000B0576" w:rsidRPr="00433908">
        <w:rPr>
          <w:rFonts w:asciiTheme="majorBidi" w:hAnsiTheme="majorBidi" w:cstheme="majorBidi"/>
        </w:rPr>
        <w:t xml:space="preserve">– absent explicit </w:t>
      </w:r>
      <w:r w:rsidR="004A4BE5" w:rsidRPr="00433908">
        <w:rPr>
          <w:rFonts w:asciiTheme="majorBidi" w:hAnsiTheme="majorBidi" w:cstheme="majorBidi"/>
        </w:rPr>
        <w:t>com</w:t>
      </w:r>
      <w:r w:rsidR="000B0576" w:rsidRPr="00433908">
        <w:rPr>
          <w:rFonts w:asciiTheme="majorBidi" w:hAnsiTheme="majorBidi" w:cstheme="majorBidi"/>
        </w:rPr>
        <w:t>munication –</w:t>
      </w:r>
      <w:r w:rsidR="008508EC">
        <w:rPr>
          <w:rFonts w:asciiTheme="majorBidi" w:hAnsiTheme="majorBidi" w:cstheme="majorBidi"/>
        </w:rPr>
        <w:t xml:space="preserve"> </w:t>
      </w:r>
      <w:r w:rsidR="000B0576" w:rsidRPr="00433908">
        <w:rPr>
          <w:rFonts w:asciiTheme="majorBidi" w:hAnsiTheme="majorBidi" w:cstheme="majorBidi"/>
        </w:rPr>
        <w:t>com</w:t>
      </w:r>
      <w:r w:rsidR="004A4BE5" w:rsidRPr="00433908">
        <w:rPr>
          <w:rFonts w:asciiTheme="majorBidi" w:hAnsiTheme="majorBidi" w:cstheme="majorBidi"/>
        </w:rPr>
        <w:t xml:space="preserve">petitively benign. </w:t>
      </w:r>
      <w:r w:rsidR="004B2A62">
        <w:rPr>
          <w:rFonts w:asciiTheme="majorBidi" w:hAnsiTheme="majorBidi" w:cstheme="majorBidi"/>
        </w:rPr>
        <w:t xml:space="preserve">The theoretical argument is bolstered by very recent empirical findings. </w:t>
      </w:r>
      <w:r w:rsidR="00965E04" w:rsidRPr="00433908">
        <w:rPr>
          <w:rFonts w:asciiTheme="majorBidi" w:hAnsiTheme="majorBidi" w:cstheme="majorBidi"/>
        </w:rPr>
        <w:t>E</w:t>
      </w:r>
      <w:r w:rsidR="00FA766F" w:rsidRPr="00433908">
        <w:rPr>
          <w:rFonts w:asciiTheme="majorBidi" w:hAnsiTheme="majorBidi" w:cstheme="majorBidi"/>
        </w:rPr>
        <w:t xml:space="preserve">nforcement efforts should be abandoned as quickly as </w:t>
      </w:r>
      <w:r w:rsidR="00665A12" w:rsidRPr="00433908">
        <w:rPr>
          <w:rFonts w:asciiTheme="majorBidi" w:hAnsiTheme="majorBidi" w:cstheme="majorBidi"/>
        </w:rPr>
        <w:t>they were initiated.</w:t>
      </w:r>
    </w:p>
    <w:p w14:paraId="481A62DB" w14:textId="77777777" w:rsidR="00015FED" w:rsidRPr="00433908" w:rsidRDefault="00015FED" w:rsidP="00F60614">
      <w:pPr>
        <w:jc w:val="both"/>
        <w:rPr>
          <w:rFonts w:asciiTheme="majorBidi" w:hAnsiTheme="majorBidi" w:cstheme="majorBidi"/>
        </w:rPr>
      </w:pPr>
    </w:p>
    <w:p w14:paraId="374F3D02" w14:textId="05360D47" w:rsidR="00015FED" w:rsidRPr="00433908" w:rsidRDefault="007F5ACF" w:rsidP="00B26F9E">
      <w:pPr>
        <w:jc w:val="both"/>
        <w:outlineLvl w:val="0"/>
        <w:rPr>
          <w:rFonts w:asciiTheme="majorBidi" w:hAnsiTheme="majorBidi" w:cstheme="majorBidi"/>
          <w:b/>
          <w:bCs/>
          <w:u w:val="single"/>
        </w:rPr>
      </w:pPr>
      <w:r w:rsidRPr="00433908">
        <w:rPr>
          <w:rFonts w:asciiTheme="majorBidi" w:hAnsiTheme="majorBidi" w:cstheme="majorBidi"/>
          <w:b/>
          <w:bCs/>
          <w:u w:val="single"/>
        </w:rPr>
        <w:br w:type="column"/>
      </w:r>
      <w:r w:rsidR="00015FED" w:rsidRPr="00433908">
        <w:rPr>
          <w:rFonts w:asciiTheme="majorBidi" w:hAnsiTheme="majorBidi" w:cstheme="majorBidi"/>
          <w:b/>
          <w:bCs/>
          <w:u w:val="single"/>
        </w:rPr>
        <w:lastRenderedPageBreak/>
        <w:t>Introduction</w:t>
      </w:r>
    </w:p>
    <w:p w14:paraId="15E3071B" w14:textId="77777777" w:rsidR="00B17D48" w:rsidRPr="00433908" w:rsidRDefault="00B17D48" w:rsidP="00F60614">
      <w:pPr>
        <w:jc w:val="both"/>
        <w:rPr>
          <w:rFonts w:asciiTheme="majorBidi" w:hAnsiTheme="majorBidi" w:cstheme="majorBidi"/>
        </w:rPr>
      </w:pPr>
    </w:p>
    <w:p w14:paraId="2095FDEA" w14:textId="6FCF18D3" w:rsidR="00DB277A" w:rsidRPr="00433908" w:rsidRDefault="00DB277A" w:rsidP="008D453A">
      <w:pPr>
        <w:jc w:val="both"/>
        <w:rPr>
          <w:rFonts w:asciiTheme="majorBidi" w:hAnsiTheme="majorBidi" w:cstheme="majorBidi"/>
        </w:rPr>
      </w:pPr>
      <w:r w:rsidRPr="00433908">
        <w:rPr>
          <w:rFonts w:asciiTheme="majorBidi" w:hAnsiTheme="majorBidi" w:cstheme="majorBidi"/>
        </w:rPr>
        <w:t>This Paper argues, co</w:t>
      </w:r>
      <w:r w:rsidR="008D453A">
        <w:rPr>
          <w:rFonts w:asciiTheme="majorBidi" w:hAnsiTheme="majorBidi" w:cstheme="majorBidi"/>
        </w:rPr>
        <w:t>ntrary to the view currently prevalent</w:t>
      </w:r>
      <w:r w:rsidRPr="00433908">
        <w:rPr>
          <w:rFonts w:asciiTheme="majorBidi" w:hAnsiTheme="majorBidi" w:cstheme="majorBidi"/>
        </w:rPr>
        <w:t xml:space="preserve"> in the literature, that purely passive investments by institutional investors should not </w:t>
      </w:r>
      <w:r w:rsidR="00D40CBC" w:rsidRPr="00433908">
        <w:rPr>
          <w:rFonts w:asciiTheme="majorBidi" w:hAnsiTheme="majorBidi" w:cstheme="majorBidi"/>
        </w:rPr>
        <w:t>be curtailed in any way, even</w:t>
      </w:r>
      <w:r w:rsidRPr="00433908">
        <w:rPr>
          <w:rFonts w:asciiTheme="majorBidi" w:hAnsiTheme="majorBidi" w:cstheme="majorBidi"/>
        </w:rPr>
        <w:t xml:space="preserve"> in the setting of several institutional investors</w:t>
      </w:r>
      <w:r w:rsidR="00FF6D1C" w:rsidRPr="00433908">
        <w:rPr>
          <w:rFonts w:asciiTheme="majorBidi" w:hAnsiTheme="majorBidi" w:cstheme="majorBidi"/>
        </w:rPr>
        <w:t>’ common ownership of</w:t>
      </w:r>
      <w:r w:rsidRPr="00433908">
        <w:rPr>
          <w:rFonts w:asciiTheme="majorBidi" w:hAnsiTheme="majorBidi" w:cstheme="majorBidi"/>
        </w:rPr>
        <w:t xml:space="preserve"> firms that compete with each other</w:t>
      </w:r>
      <w:r w:rsidR="001D380E" w:rsidRPr="00433908">
        <w:rPr>
          <w:rFonts w:asciiTheme="majorBidi" w:hAnsiTheme="majorBidi" w:cstheme="majorBidi"/>
        </w:rPr>
        <w:t xml:space="preserve"> in oligopolistic industries</w:t>
      </w:r>
      <w:r w:rsidRPr="00433908">
        <w:rPr>
          <w:rFonts w:asciiTheme="majorBidi" w:hAnsiTheme="majorBidi" w:cstheme="majorBidi"/>
        </w:rPr>
        <w:t>.</w:t>
      </w:r>
    </w:p>
    <w:p w14:paraId="26F60188" w14:textId="77777777" w:rsidR="00DB277A" w:rsidRPr="00433908" w:rsidRDefault="00DB277A" w:rsidP="000B0576">
      <w:pPr>
        <w:jc w:val="both"/>
        <w:rPr>
          <w:rFonts w:asciiTheme="majorBidi" w:hAnsiTheme="majorBidi" w:cstheme="majorBidi"/>
        </w:rPr>
      </w:pPr>
    </w:p>
    <w:p w14:paraId="75E43A35" w14:textId="517C4EE6" w:rsidR="007B2502" w:rsidRPr="00433908" w:rsidRDefault="000E33E7" w:rsidP="00EA03F6">
      <w:pPr>
        <w:jc w:val="both"/>
        <w:rPr>
          <w:rFonts w:asciiTheme="majorBidi" w:hAnsiTheme="majorBidi" w:cstheme="majorBidi"/>
        </w:rPr>
      </w:pPr>
      <w:r w:rsidRPr="00433908">
        <w:rPr>
          <w:rFonts w:asciiTheme="majorBidi" w:hAnsiTheme="majorBidi" w:cstheme="majorBidi"/>
        </w:rPr>
        <w:t xml:space="preserve">Institutional investors account for the vast majority of equity-holding in the US. By some estimates, nearly 80% of the total value of </w:t>
      </w:r>
      <w:r w:rsidR="007565FA" w:rsidRPr="00433908">
        <w:rPr>
          <w:rFonts w:asciiTheme="majorBidi" w:hAnsiTheme="majorBidi" w:cstheme="majorBidi"/>
        </w:rPr>
        <w:t xml:space="preserve">the </w:t>
      </w:r>
      <w:r w:rsidRPr="00433908">
        <w:rPr>
          <w:rFonts w:asciiTheme="majorBidi" w:hAnsiTheme="majorBidi" w:cstheme="majorBidi"/>
        </w:rPr>
        <w:t xml:space="preserve">US </w:t>
      </w:r>
      <w:r w:rsidR="007565FA" w:rsidRPr="00433908">
        <w:rPr>
          <w:rFonts w:asciiTheme="majorBidi" w:hAnsiTheme="majorBidi" w:cstheme="majorBidi"/>
        </w:rPr>
        <w:t>stock market is</w:t>
      </w:r>
      <w:r w:rsidRPr="00433908">
        <w:rPr>
          <w:rFonts w:asciiTheme="majorBidi" w:hAnsiTheme="majorBidi" w:cstheme="majorBidi"/>
        </w:rPr>
        <w:t xml:space="preserve"> held by institutional investors.</w:t>
      </w:r>
      <w:bookmarkStart w:id="1" w:name="_Ref492384253"/>
      <w:r w:rsidRPr="00433908">
        <w:rPr>
          <w:rStyle w:val="FootnoteReference"/>
          <w:rFonts w:asciiTheme="majorBidi" w:hAnsiTheme="majorBidi" w:cstheme="majorBidi"/>
        </w:rPr>
        <w:footnoteReference w:id="2"/>
      </w:r>
      <w:bookmarkEnd w:id="1"/>
      <w:r w:rsidR="00BD61CC" w:rsidRPr="00433908">
        <w:rPr>
          <w:rFonts w:asciiTheme="majorBidi" w:hAnsiTheme="majorBidi" w:cstheme="majorBidi"/>
        </w:rPr>
        <w:t xml:space="preserve"> US-</w:t>
      </w:r>
      <w:r w:rsidR="00DA7E2A" w:rsidRPr="00433908">
        <w:rPr>
          <w:rFonts w:asciiTheme="majorBidi" w:hAnsiTheme="majorBidi" w:cstheme="majorBidi"/>
        </w:rPr>
        <w:t>R</w:t>
      </w:r>
      <w:r w:rsidR="00BD61CC" w:rsidRPr="00433908">
        <w:rPr>
          <w:rFonts w:asciiTheme="majorBidi" w:hAnsiTheme="majorBidi" w:cstheme="majorBidi"/>
        </w:rPr>
        <w:t xml:space="preserve">egistered Investment </w:t>
      </w:r>
      <w:r w:rsidR="00DA7E2A" w:rsidRPr="00433908">
        <w:rPr>
          <w:rFonts w:asciiTheme="majorBidi" w:hAnsiTheme="majorBidi" w:cstheme="majorBidi"/>
        </w:rPr>
        <w:t>C</w:t>
      </w:r>
      <w:r w:rsidR="00BD61CC" w:rsidRPr="00433908">
        <w:rPr>
          <w:rFonts w:asciiTheme="majorBidi" w:hAnsiTheme="majorBidi" w:cstheme="majorBidi"/>
        </w:rPr>
        <w:t>ompanies managed more than $19 trillion in assets at year-end 2016, largely on behalf of more than 95 million US retail investors</w:t>
      </w:r>
      <w:r w:rsidR="000B0576" w:rsidRPr="00433908">
        <w:rPr>
          <w:rFonts w:asciiTheme="majorBidi" w:hAnsiTheme="majorBidi" w:cstheme="majorBidi"/>
        </w:rPr>
        <w:t xml:space="preserve">. The </w:t>
      </w:r>
      <w:r w:rsidR="00DA7E2A" w:rsidRPr="00433908">
        <w:rPr>
          <w:rFonts w:asciiTheme="majorBidi" w:hAnsiTheme="majorBidi" w:cstheme="majorBidi"/>
        </w:rPr>
        <w:t>total value of the assets held by these institutional investors is constantly rising, and has so been for nearly 25 years.</w:t>
      </w:r>
      <w:bookmarkStart w:id="2" w:name="_Ref492384021"/>
      <w:r w:rsidR="00BD61CC" w:rsidRPr="00433908">
        <w:rPr>
          <w:rStyle w:val="FootnoteReference"/>
          <w:rFonts w:asciiTheme="majorBidi" w:hAnsiTheme="majorBidi" w:cstheme="majorBidi"/>
        </w:rPr>
        <w:footnoteReference w:id="3"/>
      </w:r>
      <w:bookmarkEnd w:id="2"/>
      <w:r w:rsidR="00BD61CC" w:rsidRPr="00433908">
        <w:rPr>
          <w:rFonts w:asciiTheme="majorBidi" w:hAnsiTheme="majorBidi" w:cstheme="majorBidi"/>
        </w:rPr>
        <w:t xml:space="preserve"> </w:t>
      </w:r>
      <w:r w:rsidR="00E81B37" w:rsidRPr="00433908">
        <w:rPr>
          <w:rFonts w:asciiTheme="majorBidi" w:hAnsiTheme="majorBidi" w:cstheme="majorBidi"/>
        </w:rPr>
        <w:t>Institutional investors are “the dominant capital market player of our time, displacing retail investors who now obtain exposure to equity markets through the intermediation of institutional investors”.</w:t>
      </w:r>
      <w:r w:rsidR="00E81B37" w:rsidRPr="00433908">
        <w:rPr>
          <w:rStyle w:val="FootnoteReference"/>
          <w:rFonts w:asciiTheme="majorBidi" w:hAnsiTheme="majorBidi" w:cstheme="majorBidi"/>
        </w:rPr>
        <w:footnoteReference w:id="4"/>
      </w:r>
      <w:r w:rsidR="00E81B37" w:rsidRPr="00433908">
        <w:rPr>
          <w:rFonts w:asciiTheme="majorBidi" w:hAnsiTheme="majorBidi" w:cstheme="majorBidi"/>
        </w:rPr>
        <w:t xml:space="preserve"> </w:t>
      </w:r>
      <w:r w:rsidRPr="00433908">
        <w:rPr>
          <w:rFonts w:asciiTheme="majorBidi" w:hAnsiTheme="majorBidi" w:cstheme="majorBidi"/>
        </w:rPr>
        <w:t>Any rule regulating the investment strategies of these investors is thus of major significance to the economy.</w:t>
      </w:r>
    </w:p>
    <w:p w14:paraId="48D998D5" w14:textId="77777777" w:rsidR="00805FCE" w:rsidRPr="00433908" w:rsidRDefault="00805FCE" w:rsidP="008D453A">
      <w:pPr>
        <w:bidi/>
        <w:jc w:val="both"/>
        <w:rPr>
          <w:rFonts w:asciiTheme="majorBidi" w:hAnsiTheme="majorBidi" w:cstheme="majorBidi"/>
          <w:rtl/>
        </w:rPr>
      </w:pPr>
    </w:p>
    <w:p w14:paraId="6D4C036C" w14:textId="529D8409" w:rsidR="000E33E7" w:rsidRPr="00433908" w:rsidRDefault="00805FCE" w:rsidP="00DE32D6">
      <w:pPr>
        <w:jc w:val="both"/>
        <w:rPr>
          <w:rFonts w:asciiTheme="majorBidi" w:hAnsiTheme="majorBidi" w:cstheme="majorBidi"/>
        </w:rPr>
      </w:pPr>
      <w:r w:rsidRPr="00433908">
        <w:rPr>
          <w:rFonts w:asciiTheme="majorBidi" w:hAnsiTheme="majorBidi" w:cstheme="majorBidi"/>
        </w:rPr>
        <w:t>Institutional investors regularly diversify their investment across a large number of firms</w:t>
      </w:r>
      <w:r w:rsidR="00A32509" w:rsidRPr="00433908">
        <w:rPr>
          <w:rFonts w:asciiTheme="majorBidi" w:hAnsiTheme="majorBidi" w:cstheme="majorBidi"/>
        </w:rPr>
        <w:t xml:space="preserve"> and industries</w:t>
      </w:r>
      <w:r w:rsidR="00E81B37" w:rsidRPr="00433908">
        <w:rPr>
          <w:rFonts w:asciiTheme="majorBidi" w:hAnsiTheme="majorBidi" w:cstheme="majorBidi"/>
        </w:rPr>
        <w:t>.</w:t>
      </w:r>
      <w:r w:rsidRPr="00433908">
        <w:rPr>
          <w:rStyle w:val="FootnoteReference"/>
          <w:rFonts w:asciiTheme="majorBidi" w:hAnsiTheme="majorBidi" w:cstheme="majorBidi"/>
        </w:rPr>
        <w:footnoteReference w:id="5"/>
      </w:r>
      <w:r w:rsidRPr="00433908">
        <w:rPr>
          <w:rFonts w:asciiTheme="majorBidi" w:hAnsiTheme="majorBidi" w:cstheme="majorBidi"/>
        </w:rPr>
        <w:t xml:space="preserve"> </w:t>
      </w:r>
      <w:r w:rsidR="00E81B37" w:rsidRPr="00433908">
        <w:rPr>
          <w:rFonts w:asciiTheme="majorBidi" w:hAnsiTheme="majorBidi" w:cstheme="majorBidi"/>
        </w:rPr>
        <w:t xml:space="preserve">This diversification </w:t>
      </w:r>
      <w:r w:rsidR="0089536D" w:rsidRPr="00433908">
        <w:rPr>
          <w:rFonts w:asciiTheme="majorBidi" w:hAnsiTheme="majorBidi" w:cstheme="majorBidi"/>
        </w:rPr>
        <w:t xml:space="preserve">is socially important. </w:t>
      </w:r>
      <w:r w:rsidR="00E81B37" w:rsidRPr="00433908">
        <w:rPr>
          <w:rFonts w:asciiTheme="majorBidi" w:hAnsiTheme="majorBidi" w:cstheme="majorBidi"/>
        </w:rPr>
        <w:t xml:space="preserve">First, diversification </w:t>
      </w:r>
      <w:r w:rsidRPr="00433908">
        <w:rPr>
          <w:rFonts w:asciiTheme="majorBidi" w:hAnsiTheme="majorBidi" w:cstheme="majorBidi"/>
        </w:rPr>
        <w:t>safeguards the investment against idiosyncratic (both firm-specific and industry-specific) risk.</w:t>
      </w:r>
      <w:r w:rsidR="003F1E64" w:rsidRPr="00433908">
        <w:rPr>
          <w:rStyle w:val="FootnoteReference"/>
          <w:rFonts w:asciiTheme="majorBidi" w:hAnsiTheme="majorBidi" w:cstheme="majorBidi"/>
        </w:rPr>
        <w:footnoteReference w:id="6"/>
      </w:r>
      <w:r w:rsidRPr="00433908">
        <w:rPr>
          <w:rFonts w:asciiTheme="majorBidi" w:hAnsiTheme="majorBidi" w:cstheme="majorBidi"/>
        </w:rPr>
        <w:t xml:space="preserve"> </w:t>
      </w:r>
      <w:r w:rsidR="008F743E" w:rsidRPr="00433908">
        <w:rPr>
          <w:rFonts w:asciiTheme="majorBidi" w:hAnsiTheme="majorBidi" w:cstheme="majorBidi"/>
        </w:rPr>
        <w:t>Second, diversified investment</w:t>
      </w:r>
      <w:r w:rsidR="003F1E64" w:rsidRPr="00433908">
        <w:rPr>
          <w:rFonts w:asciiTheme="majorBidi" w:hAnsiTheme="majorBidi" w:cstheme="majorBidi"/>
        </w:rPr>
        <w:t>s</w:t>
      </w:r>
      <w:r w:rsidR="008F743E" w:rsidRPr="00433908">
        <w:rPr>
          <w:rFonts w:asciiTheme="majorBidi" w:hAnsiTheme="majorBidi" w:cstheme="majorBidi"/>
        </w:rPr>
        <w:t xml:space="preserve"> obviate the need to </w:t>
      </w:r>
      <w:r w:rsidR="00453E1B" w:rsidRPr="00433908">
        <w:rPr>
          <w:rFonts w:asciiTheme="majorBidi" w:hAnsiTheme="majorBidi" w:cstheme="majorBidi"/>
        </w:rPr>
        <w:t xml:space="preserve">pick </w:t>
      </w:r>
      <w:r w:rsidR="00E81B37" w:rsidRPr="00433908">
        <w:rPr>
          <w:rFonts w:asciiTheme="majorBidi" w:hAnsiTheme="majorBidi" w:cstheme="majorBidi"/>
        </w:rPr>
        <w:t>stocks</w:t>
      </w:r>
      <w:r w:rsidR="00F72D76">
        <w:rPr>
          <w:rFonts w:asciiTheme="majorBidi" w:hAnsiTheme="majorBidi" w:cstheme="majorBidi"/>
        </w:rPr>
        <w:t>.</w:t>
      </w:r>
      <w:r w:rsidR="003F1E64" w:rsidRPr="00433908">
        <w:rPr>
          <w:rStyle w:val="FootnoteReference"/>
          <w:rFonts w:asciiTheme="majorBidi" w:hAnsiTheme="majorBidi" w:cstheme="majorBidi"/>
        </w:rPr>
        <w:footnoteReference w:id="7"/>
      </w:r>
      <w:r w:rsidR="008F743E" w:rsidRPr="00433908">
        <w:rPr>
          <w:rFonts w:asciiTheme="majorBidi" w:hAnsiTheme="majorBidi" w:cstheme="majorBidi"/>
        </w:rPr>
        <w:t xml:space="preserve"> </w:t>
      </w:r>
      <w:r w:rsidR="00F72D76">
        <w:rPr>
          <w:rFonts w:asciiTheme="majorBidi" w:hAnsiTheme="majorBidi" w:cstheme="majorBidi"/>
        </w:rPr>
        <w:t>This</w:t>
      </w:r>
      <w:r w:rsidR="007D5B77" w:rsidRPr="00433908">
        <w:rPr>
          <w:rFonts w:asciiTheme="majorBidi" w:hAnsiTheme="majorBidi" w:cstheme="majorBidi"/>
        </w:rPr>
        <w:t xml:space="preserve"> </w:t>
      </w:r>
      <w:r w:rsidR="008F743E" w:rsidRPr="00433908">
        <w:rPr>
          <w:rFonts w:asciiTheme="majorBidi" w:hAnsiTheme="majorBidi" w:cstheme="majorBidi"/>
        </w:rPr>
        <w:t>lowers the cost of obtaining information</w:t>
      </w:r>
      <w:r w:rsidR="007D5B77" w:rsidRPr="00433908">
        <w:rPr>
          <w:rFonts w:asciiTheme="majorBidi" w:hAnsiTheme="majorBidi" w:cstheme="majorBidi"/>
        </w:rPr>
        <w:t xml:space="preserve"> and</w:t>
      </w:r>
      <w:r w:rsidR="008F743E" w:rsidRPr="00433908">
        <w:rPr>
          <w:rFonts w:asciiTheme="majorBidi" w:hAnsiTheme="majorBidi" w:cstheme="majorBidi"/>
        </w:rPr>
        <w:t xml:space="preserve"> analyzing it</w:t>
      </w:r>
      <w:r w:rsidR="007D5B77" w:rsidRPr="00433908">
        <w:rPr>
          <w:rFonts w:asciiTheme="majorBidi" w:hAnsiTheme="majorBidi" w:cstheme="majorBidi"/>
        </w:rPr>
        <w:t>,</w:t>
      </w:r>
      <w:r w:rsidR="007D5B77" w:rsidRPr="00433908">
        <w:rPr>
          <w:rStyle w:val="FootnoteReference"/>
          <w:rFonts w:asciiTheme="majorBidi" w:hAnsiTheme="majorBidi" w:cstheme="majorBidi"/>
        </w:rPr>
        <w:footnoteReference w:id="8"/>
      </w:r>
      <w:r w:rsidR="00453E1B" w:rsidRPr="00433908">
        <w:rPr>
          <w:rFonts w:asciiTheme="majorBidi" w:hAnsiTheme="majorBidi" w:cstheme="majorBidi"/>
        </w:rPr>
        <w:t xml:space="preserve"> </w:t>
      </w:r>
      <w:r w:rsidR="007D5B77" w:rsidRPr="00433908">
        <w:rPr>
          <w:rFonts w:asciiTheme="majorBidi" w:hAnsiTheme="majorBidi" w:cstheme="majorBidi"/>
        </w:rPr>
        <w:t xml:space="preserve">and even the cost of monitoring management. At times, the diversification is done almost mechanically, through </w:t>
      </w:r>
      <w:r w:rsidR="004F7706">
        <w:rPr>
          <w:rFonts w:asciiTheme="majorBidi" w:hAnsiTheme="majorBidi" w:cstheme="majorBidi"/>
        </w:rPr>
        <w:t>i</w:t>
      </w:r>
      <w:r w:rsidR="007D5B77" w:rsidRPr="00433908">
        <w:rPr>
          <w:rFonts w:asciiTheme="majorBidi" w:hAnsiTheme="majorBidi" w:cstheme="majorBidi"/>
        </w:rPr>
        <w:t>ndex funds,</w:t>
      </w:r>
      <w:r w:rsidR="007D5B77" w:rsidRPr="00433908">
        <w:rPr>
          <w:rStyle w:val="FootnoteReference"/>
          <w:rFonts w:asciiTheme="majorBidi" w:hAnsiTheme="majorBidi" w:cstheme="majorBidi"/>
        </w:rPr>
        <w:footnoteReference w:id="9"/>
      </w:r>
      <w:r w:rsidR="007D5B77" w:rsidRPr="00433908">
        <w:rPr>
          <w:rFonts w:asciiTheme="majorBidi" w:hAnsiTheme="majorBidi" w:cstheme="majorBidi"/>
        </w:rPr>
        <w:t xml:space="preserve"> which require practically no analysis prior to purchasing stock. </w:t>
      </w:r>
      <w:r w:rsidRPr="00433908">
        <w:rPr>
          <w:rFonts w:asciiTheme="majorBidi" w:hAnsiTheme="majorBidi" w:cstheme="majorBidi"/>
        </w:rPr>
        <w:t>In other cases, the diversification is less mechanical</w:t>
      </w:r>
      <w:r w:rsidR="00453E1B" w:rsidRPr="00433908">
        <w:rPr>
          <w:rFonts w:asciiTheme="majorBidi" w:hAnsiTheme="majorBidi" w:cstheme="majorBidi"/>
        </w:rPr>
        <w:t xml:space="preserve">. But </w:t>
      </w:r>
      <w:r w:rsidR="000B0576" w:rsidRPr="00433908">
        <w:rPr>
          <w:rFonts w:asciiTheme="majorBidi" w:hAnsiTheme="majorBidi" w:cstheme="majorBidi"/>
        </w:rPr>
        <w:t xml:space="preserve">whether the investment is entirely mechanical or requires some </w:t>
      </w:r>
      <w:r w:rsidR="003F1E64" w:rsidRPr="00433908">
        <w:rPr>
          <w:rFonts w:asciiTheme="majorBidi" w:hAnsiTheme="majorBidi" w:cstheme="majorBidi"/>
        </w:rPr>
        <w:t xml:space="preserve">limited human </w:t>
      </w:r>
      <w:r w:rsidR="000B0576" w:rsidRPr="00433908">
        <w:rPr>
          <w:rFonts w:asciiTheme="majorBidi" w:hAnsiTheme="majorBidi" w:cstheme="majorBidi"/>
        </w:rPr>
        <w:t xml:space="preserve">involvement, the costs of investment </w:t>
      </w:r>
      <w:r w:rsidR="00186CB9" w:rsidRPr="00433908">
        <w:rPr>
          <w:rFonts w:asciiTheme="majorBidi" w:hAnsiTheme="majorBidi" w:cstheme="majorBidi"/>
        </w:rPr>
        <w:t>are</w:t>
      </w:r>
      <w:r w:rsidR="000B0576" w:rsidRPr="00433908">
        <w:rPr>
          <w:rFonts w:asciiTheme="majorBidi" w:hAnsiTheme="majorBidi" w:cstheme="majorBidi"/>
        </w:rPr>
        <w:t xml:space="preserve"> reduced dramatically</w:t>
      </w:r>
      <w:r w:rsidR="007D5B77" w:rsidRPr="00433908">
        <w:rPr>
          <w:rFonts w:asciiTheme="majorBidi" w:hAnsiTheme="majorBidi" w:cstheme="majorBidi"/>
        </w:rPr>
        <w:t xml:space="preserve">. </w:t>
      </w:r>
      <w:r w:rsidR="0089536D" w:rsidRPr="00433908">
        <w:rPr>
          <w:rFonts w:asciiTheme="majorBidi" w:hAnsiTheme="majorBidi" w:cstheme="majorBidi"/>
        </w:rPr>
        <w:t>The reduced risk and lower cost of investment benefit not only the institutional investors</w:t>
      </w:r>
      <w:r w:rsidR="0096151B">
        <w:rPr>
          <w:rFonts w:asciiTheme="majorBidi" w:hAnsiTheme="majorBidi" w:cstheme="majorBidi"/>
        </w:rPr>
        <w:t xml:space="preserve"> themselves</w:t>
      </w:r>
      <w:r w:rsidR="0089536D" w:rsidRPr="00433908">
        <w:rPr>
          <w:rFonts w:asciiTheme="majorBidi" w:hAnsiTheme="majorBidi" w:cstheme="majorBidi"/>
        </w:rPr>
        <w:t>, but also retail investors whose money institutional investor manage. The advantages translate into lower fees and reduced risk for retail investors. It is uncontestable that diversification is socially desirable.</w:t>
      </w:r>
      <w:r w:rsidRPr="00433908">
        <w:rPr>
          <w:rStyle w:val="FootnoteReference"/>
          <w:rFonts w:asciiTheme="majorBidi" w:hAnsiTheme="majorBidi" w:cstheme="majorBidi"/>
        </w:rPr>
        <w:footnoteReference w:id="10"/>
      </w:r>
    </w:p>
    <w:p w14:paraId="67BB70A7" w14:textId="77777777" w:rsidR="00E50B01" w:rsidRPr="00433908" w:rsidRDefault="00E50B01" w:rsidP="00E50B01">
      <w:pPr>
        <w:jc w:val="both"/>
        <w:rPr>
          <w:rFonts w:asciiTheme="majorBidi" w:hAnsiTheme="majorBidi" w:cstheme="majorBidi"/>
        </w:rPr>
      </w:pPr>
    </w:p>
    <w:p w14:paraId="0AFEF4CD" w14:textId="34DBAF8C" w:rsidR="00310D6A" w:rsidRPr="00433908" w:rsidRDefault="00F80880" w:rsidP="00B0118B">
      <w:pPr>
        <w:jc w:val="both"/>
        <w:rPr>
          <w:rFonts w:asciiTheme="majorBidi" w:hAnsiTheme="majorBidi" w:cstheme="majorBidi"/>
        </w:rPr>
      </w:pPr>
      <w:r w:rsidRPr="00433908">
        <w:rPr>
          <w:rFonts w:asciiTheme="majorBidi" w:hAnsiTheme="majorBidi" w:cstheme="majorBidi"/>
        </w:rPr>
        <w:lastRenderedPageBreak/>
        <w:t>Institutional investors’</w:t>
      </w:r>
      <w:r w:rsidR="007D5B77" w:rsidRPr="00433908">
        <w:rPr>
          <w:rFonts w:asciiTheme="majorBidi" w:hAnsiTheme="majorBidi" w:cstheme="majorBidi"/>
        </w:rPr>
        <w:t xml:space="preserve"> diversification naturally results in institutional investors holding stock of </w:t>
      </w:r>
      <w:r w:rsidR="001B33FC" w:rsidRPr="00433908">
        <w:rPr>
          <w:rFonts w:asciiTheme="majorBidi" w:hAnsiTheme="majorBidi" w:cstheme="majorBidi"/>
        </w:rPr>
        <w:t xml:space="preserve">a large </w:t>
      </w:r>
      <w:r w:rsidR="007D5B77" w:rsidRPr="00433908">
        <w:rPr>
          <w:rFonts w:asciiTheme="majorBidi" w:hAnsiTheme="majorBidi" w:cstheme="majorBidi"/>
        </w:rPr>
        <w:t>num</w:t>
      </w:r>
      <w:r w:rsidR="001B33FC" w:rsidRPr="00433908">
        <w:rPr>
          <w:rFonts w:asciiTheme="majorBidi" w:hAnsiTheme="majorBidi" w:cstheme="majorBidi"/>
        </w:rPr>
        <w:t>ber of</w:t>
      </w:r>
      <w:r w:rsidR="007D5B77" w:rsidRPr="00433908">
        <w:rPr>
          <w:rFonts w:asciiTheme="majorBidi" w:hAnsiTheme="majorBidi" w:cstheme="majorBidi"/>
        </w:rPr>
        <w:t xml:space="preserve"> firms </w:t>
      </w:r>
      <w:r w:rsidR="000B0576" w:rsidRPr="00433908">
        <w:rPr>
          <w:rFonts w:asciiTheme="majorBidi" w:hAnsiTheme="majorBidi" w:cstheme="majorBidi"/>
        </w:rPr>
        <w:t xml:space="preserve">and </w:t>
      </w:r>
      <w:r w:rsidR="007D5B77" w:rsidRPr="00433908">
        <w:rPr>
          <w:rFonts w:asciiTheme="majorBidi" w:hAnsiTheme="majorBidi" w:cstheme="majorBidi"/>
        </w:rPr>
        <w:t xml:space="preserve">across </w:t>
      </w:r>
      <w:r w:rsidR="001B33FC" w:rsidRPr="00433908">
        <w:rPr>
          <w:rFonts w:asciiTheme="majorBidi" w:hAnsiTheme="majorBidi" w:cstheme="majorBidi"/>
        </w:rPr>
        <w:t xml:space="preserve">a large number of </w:t>
      </w:r>
      <w:r w:rsidR="007D5B77" w:rsidRPr="00433908">
        <w:rPr>
          <w:rFonts w:asciiTheme="majorBidi" w:hAnsiTheme="majorBidi" w:cstheme="majorBidi"/>
        </w:rPr>
        <w:t>industries.</w:t>
      </w:r>
      <w:r w:rsidR="00A2250B" w:rsidRPr="00433908">
        <w:rPr>
          <w:rStyle w:val="FootnoteReference"/>
          <w:rFonts w:asciiTheme="majorBidi" w:hAnsiTheme="majorBidi" w:cstheme="majorBidi"/>
        </w:rPr>
        <w:footnoteReference w:id="11"/>
      </w:r>
      <w:r w:rsidR="007D5B77" w:rsidRPr="00433908">
        <w:rPr>
          <w:rFonts w:asciiTheme="majorBidi" w:hAnsiTheme="majorBidi" w:cstheme="majorBidi"/>
        </w:rPr>
        <w:t xml:space="preserve"> Institutional investors are estimated to (jointly) be the largest shareholders in nearly 90% of </w:t>
      </w:r>
      <w:r w:rsidR="000B0576" w:rsidRPr="00433908">
        <w:rPr>
          <w:rFonts w:asciiTheme="majorBidi" w:hAnsiTheme="majorBidi" w:cstheme="majorBidi"/>
        </w:rPr>
        <w:t>public companies in the S&amp;P 500.</w:t>
      </w:r>
      <w:r w:rsidR="0081024B" w:rsidRPr="00433908">
        <w:rPr>
          <w:rFonts w:asciiTheme="majorBidi" w:hAnsiTheme="majorBidi" w:cstheme="majorBidi"/>
        </w:rPr>
        <w:t xml:space="preserve"> </w:t>
      </w:r>
      <w:r w:rsidR="000B0576" w:rsidRPr="00433908">
        <w:rPr>
          <w:rFonts w:asciiTheme="majorBidi" w:hAnsiTheme="majorBidi" w:cstheme="majorBidi"/>
        </w:rPr>
        <w:t>W</w:t>
      </w:r>
      <w:r w:rsidR="0081024B" w:rsidRPr="00433908">
        <w:rPr>
          <w:rFonts w:asciiTheme="majorBidi" w:hAnsiTheme="majorBidi" w:cstheme="majorBidi"/>
        </w:rPr>
        <w:t xml:space="preserve">hen combined, the largest institutional investors (BlackRock, Vanguard and State Street) </w:t>
      </w:r>
      <w:r w:rsidR="000B0576" w:rsidRPr="00433908">
        <w:rPr>
          <w:rFonts w:asciiTheme="majorBidi" w:hAnsiTheme="majorBidi" w:cstheme="majorBidi"/>
        </w:rPr>
        <w:t xml:space="preserve">are </w:t>
      </w:r>
      <w:r w:rsidR="0081024B" w:rsidRPr="00433908">
        <w:rPr>
          <w:rFonts w:asciiTheme="majorBidi" w:hAnsiTheme="majorBidi" w:cstheme="majorBidi"/>
        </w:rPr>
        <w:t>the single largest shareholder of at least 40% of all public companies in the US.</w:t>
      </w:r>
      <w:r w:rsidR="0081024B" w:rsidRPr="00433908">
        <w:rPr>
          <w:rStyle w:val="FootnoteReference"/>
          <w:rFonts w:asciiTheme="majorBidi" w:hAnsiTheme="majorBidi" w:cstheme="majorBidi"/>
        </w:rPr>
        <w:footnoteReference w:id="12"/>
      </w:r>
      <w:r w:rsidR="007D5B77" w:rsidRPr="00433908">
        <w:rPr>
          <w:rFonts w:asciiTheme="majorBidi" w:hAnsiTheme="majorBidi" w:cstheme="majorBidi"/>
        </w:rPr>
        <w:t xml:space="preserve"> </w:t>
      </w:r>
      <w:r w:rsidR="001B33FC" w:rsidRPr="00433908">
        <w:rPr>
          <w:rFonts w:asciiTheme="majorBidi" w:hAnsiTheme="majorBidi" w:cstheme="majorBidi"/>
        </w:rPr>
        <w:t>One result</w:t>
      </w:r>
      <w:r w:rsidR="000B0576" w:rsidRPr="00433908">
        <w:rPr>
          <w:rFonts w:asciiTheme="majorBidi" w:hAnsiTheme="majorBidi" w:cstheme="majorBidi"/>
        </w:rPr>
        <w:t xml:space="preserve"> of this widespread diversified investment is that institutional investors often hold stock</w:t>
      </w:r>
      <w:r w:rsidR="0081024B" w:rsidRPr="00433908">
        <w:rPr>
          <w:rFonts w:asciiTheme="majorBidi" w:hAnsiTheme="majorBidi" w:cstheme="majorBidi"/>
        </w:rPr>
        <w:t xml:space="preserve"> of firms in the same industry. The probability that two randomly-selected S&amp;P 1500 firms </w:t>
      </w:r>
      <w:r w:rsidR="0081024B" w:rsidRPr="00433908">
        <w:rPr>
          <w:rFonts w:asciiTheme="majorBidi" w:hAnsiTheme="majorBidi" w:cstheme="majorBidi"/>
          <w:b/>
          <w:bCs/>
        </w:rPr>
        <w:t>in the same industry</w:t>
      </w:r>
      <w:r w:rsidR="0081024B" w:rsidRPr="00433908">
        <w:rPr>
          <w:rFonts w:asciiTheme="majorBidi" w:hAnsiTheme="majorBidi" w:cstheme="majorBidi"/>
        </w:rPr>
        <w:t xml:space="preserve"> have a common shareholder with at least 5% stakes in both firms is around 90%.</w:t>
      </w:r>
      <w:r w:rsidR="0081024B" w:rsidRPr="00433908">
        <w:rPr>
          <w:rStyle w:val="FootnoteReference"/>
          <w:rFonts w:asciiTheme="majorBidi" w:hAnsiTheme="majorBidi" w:cstheme="majorBidi"/>
        </w:rPr>
        <w:footnoteReference w:id="13"/>
      </w:r>
      <w:r w:rsidR="0081024B" w:rsidRPr="00433908">
        <w:rPr>
          <w:rFonts w:asciiTheme="majorBidi" w:hAnsiTheme="majorBidi" w:cstheme="majorBidi"/>
        </w:rPr>
        <w:t xml:space="preserve"> </w:t>
      </w:r>
      <w:r w:rsidR="007D5B77" w:rsidRPr="00433908">
        <w:rPr>
          <w:rFonts w:asciiTheme="majorBidi" w:hAnsiTheme="majorBidi" w:cstheme="majorBidi"/>
        </w:rPr>
        <w:t>Among these industries are, naturally, indu</w:t>
      </w:r>
      <w:r w:rsidR="00310D6A" w:rsidRPr="00433908">
        <w:rPr>
          <w:rFonts w:asciiTheme="majorBidi" w:hAnsiTheme="majorBidi" w:cstheme="majorBidi"/>
        </w:rPr>
        <w:t>stries that are relatively concentrated, or oligopolistic</w:t>
      </w:r>
      <w:r w:rsidR="003F1E64" w:rsidRPr="00433908">
        <w:rPr>
          <w:rFonts w:asciiTheme="majorBidi" w:hAnsiTheme="majorBidi" w:cstheme="majorBidi"/>
        </w:rPr>
        <w:t>.</w:t>
      </w:r>
      <w:bookmarkStart w:id="3" w:name="_Ref492565957"/>
      <w:r w:rsidR="001F7228" w:rsidRPr="00433908">
        <w:rPr>
          <w:rStyle w:val="FootnoteReference"/>
          <w:rFonts w:asciiTheme="majorBidi" w:hAnsiTheme="majorBidi" w:cstheme="majorBidi"/>
        </w:rPr>
        <w:footnoteReference w:id="14"/>
      </w:r>
      <w:bookmarkEnd w:id="3"/>
      <w:r w:rsidR="003F1E64" w:rsidRPr="00433908">
        <w:rPr>
          <w:rFonts w:asciiTheme="majorBidi" w:hAnsiTheme="majorBidi" w:cstheme="majorBidi"/>
        </w:rPr>
        <w:t xml:space="preserve"> </w:t>
      </w:r>
      <w:r w:rsidR="00F81309" w:rsidRPr="00433908">
        <w:rPr>
          <w:rFonts w:asciiTheme="majorBidi" w:hAnsiTheme="majorBidi" w:cstheme="majorBidi"/>
        </w:rPr>
        <w:t>As</w:t>
      </w:r>
      <w:r w:rsidR="001B33FC" w:rsidRPr="00433908">
        <w:rPr>
          <w:rFonts w:asciiTheme="majorBidi" w:hAnsiTheme="majorBidi" w:cstheme="majorBidi"/>
        </w:rPr>
        <w:t xml:space="preserve"> oligopolistic industries are extremely common,</w:t>
      </w:r>
      <w:r w:rsidR="00F01DB8" w:rsidRPr="00433908">
        <w:rPr>
          <w:rStyle w:val="FootnoteReference"/>
          <w:rFonts w:asciiTheme="majorBidi" w:hAnsiTheme="majorBidi" w:cstheme="majorBidi"/>
        </w:rPr>
        <w:footnoteReference w:id="15"/>
      </w:r>
      <w:r w:rsidR="00E50B01" w:rsidRPr="00433908">
        <w:rPr>
          <w:rFonts w:asciiTheme="majorBidi" w:hAnsiTheme="majorBidi" w:cstheme="majorBidi"/>
        </w:rPr>
        <w:t xml:space="preserve"> </w:t>
      </w:r>
      <w:r w:rsidR="001B33FC" w:rsidRPr="00433908">
        <w:rPr>
          <w:rFonts w:asciiTheme="majorBidi" w:hAnsiTheme="majorBidi" w:cstheme="majorBidi"/>
        </w:rPr>
        <w:t xml:space="preserve">it </w:t>
      </w:r>
      <w:r w:rsidR="00E50B01" w:rsidRPr="00433908">
        <w:rPr>
          <w:rFonts w:asciiTheme="majorBidi" w:hAnsiTheme="majorBidi" w:cstheme="majorBidi"/>
        </w:rPr>
        <w:t>seems safe to conclude, as scholars and other</w:t>
      </w:r>
      <w:r w:rsidR="000B0576" w:rsidRPr="00433908">
        <w:rPr>
          <w:rFonts w:asciiTheme="majorBidi" w:hAnsiTheme="majorBidi" w:cstheme="majorBidi"/>
        </w:rPr>
        <w:t>s</w:t>
      </w:r>
      <w:r w:rsidR="00E50B01" w:rsidRPr="00433908">
        <w:rPr>
          <w:rFonts w:asciiTheme="majorBidi" w:hAnsiTheme="majorBidi" w:cstheme="majorBidi"/>
        </w:rPr>
        <w:t xml:space="preserve"> do,</w:t>
      </w:r>
      <w:r w:rsidR="00100C78" w:rsidRPr="00433908">
        <w:rPr>
          <w:rStyle w:val="FootnoteReference"/>
          <w:rFonts w:asciiTheme="majorBidi" w:hAnsiTheme="majorBidi" w:cstheme="majorBidi"/>
        </w:rPr>
        <w:footnoteReference w:id="16"/>
      </w:r>
      <w:r w:rsidR="00E50B01" w:rsidRPr="00433908">
        <w:rPr>
          <w:rFonts w:asciiTheme="majorBidi" w:hAnsiTheme="majorBidi" w:cstheme="majorBidi"/>
        </w:rPr>
        <w:t xml:space="preserve"> that diversification by institutional investors has resulted in a relatively prevalent phenomenon of several institutional investors holding stock in firms that are competitors in oligopolistic product markets.</w:t>
      </w:r>
    </w:p>
    <w:p w14:paraId="7C27CCDF" w14:textId="77777777" w:rsidR="00100C78" w:rsidRPr="00433908" w:rsidRDefault="00100C78" w:rsidP="0081024B">
      <w:pPr>
        <w:jc w:val="both"/>
        <w:rPr>
          <w:rFonts w:asciiTheme="majorBidi" w:hAnsiTheme="majorBidi" w:cstheme="majorBidi"/>
        </w:rPr>
      </w:pPr>
    </w:p>
    <w:p w14:paraId="703977F2" w14:textId="10B38100" w:rsidR="00E50B01" w:rsidRPr="00433908" w:rsidRDefault="00100C78" w:rsidP="00E73FD0">
      <w:pPr>
        <w:jc w:val="both"/>
        <w:rPr>
          <w:rFonts w:asciiTheme="majorBidi" w:hAnsiTheme="majorBidi" w:cstheme="majorBidi"/>
        </w:rPr>
      </w:pPr>
      <w:r w:rsidRPr="00433908">
        <w:rPr>
          <w:rFonts w:asciiTheme="majorBidi" w:hAnsiTheme="majorBidi" w:cstheme="majorBidi"/>
        </w:rPr>
        <w:t>Until relativ</w:t>
      </w:r>
      <w:r w:rsidR="00E159B7" w:rsidRPr="00433908">
        <w:rPr>
          <w:rFonts w:asciiTheme="majorBidi" w:hAnsiTheme="majorBidi" w:cstheme="majorBidi"/>
        </w:rPr>
        <w:t xml:space="preserve">ely recently, the (passive) </w:t>
      </w:r>
      <w:r w:rsidR="00B26F9E" w:rsidRPr="00433908">
        <w:rPr>
          <w:rFonts w:asciiTheme="majorBidi" w:hAnsiTheme="majorBidi" w:cstheme="majorBidi"/>
        </w:rPr>
        <w:t>c</w:t>
      </w:r>
      <w:r w:rsidR="00B0118B" w:rsidRPr="00433908">
        <w:rPr>
          <w:rFonts w:asciiTheme="majorBidi" w:hAnsiTheme="majorBidi" w:cstheme="majorBidi"/>
        </w:rPr>
        <w:t>ommon</w:t>
      </w:r>
      <w:r w:rsidR="004C1787" w:rsidRPr="00433908">
        <w:rPr>
          <w:rFonts w:asciiTheme="majorBidi" w:hAnsiTheme="majorBidi" w:cstheme="majorBidi"/>
        </w:rPr>
        <w:t xml:space="preserve"> </w:t>
      </w:r>
      <w:r w:rsidR="00B0118B" w:rsidRPr="00433908">
        <w:rPr>
          <w:rFonts w:asciiTheme="majorBidi" w:hAnsiTheme="majorBidi" w:cstheme="majorBidi"/>
        </w:rPr>
        <w:t>ownership</w:t>
      </w:r>
      <w:r w:rsidR="00E159B7" w:rsidRPr="00433908">
        <w:rPr>
          <w:rFonts w:asciiTheme="majorBidi" w:hAnsiTheme="majorBidi" w:cstheme="majorBidi"/>
        </w:rPr>
        <w:t xml:space="preserve"> </w:t>
      </w:r>
      <w:r w:rsidRPr="00433908">
        <w:rPr>
          <w:rFonts w:asciiTheme="majorBidi" w:hAnsiTheme="majorBidi" w:cstheme="majorBidi"/>
        </w:rPr>
        <w:t xml:space="preserve">phenomenon was considered competitively benign. It was also considered to be exempt from antitrust scrutiny, or at least from premerger notification filings, under what has come to be known as the ‘investment-only exemption’ under the Hart Scott </w:t>
      </w:r>
      <w:proofErr w:type="spellStart"/>
      <w:r w:rsidRPr="00433908">
        <w:rPr>
          <w:rFonts w:asciiTheme="majorBidi" w:hAnsiTheme="majorBidi" w:cstheme="majorBidi"/>
        </w:rPr>
        <w:t>Rodino</w:t>
      </w:r>
      <w:proofErr w:type="spellEnd"/>
      <w:r w:rsidRPr="00433908">
        <w:rPr>
          <w:rFonts w:asciiTheme="majorBidi" w:hAnsiTheme="majorBidi" w:cstheme="majorBidi"/>
        </w:rPr>
        <w:t xml:space="preserve"> </w:t>
      </w:r>
      <w:r w:rsidR="009946C4" w:rsidRPr="00433908">
        <w:rPr>
          <w:rFonts w:asciiTheme="majorBidi" w:hAnsiTheme="majorBidi" w:cstheme="majorBidi"/>
        </w:rPr>
        <w:t xml:space="preserve">Antitrust Improvement </w:t>
      </w:r>
      <w:r w:rsidRPr="00433908">
        <w:rPr>
          <w:rFonts w:asciiTheme="majorBidi" w:hAnsiTheme="majorBidi" w:cstheme="majorBidi"/>
        </w:rPr>
        <w:t>Act (HSR).</w:t>
      </w:r>
      <w:r w:rsidR="009946C4" w:rsidRPr="00433908">
        <w:rPr>
          <w:rFonts w:asciiTheme="majorBidi" w:hAnsiTheme="majorBidi" w:cstheme="majorBidi"/>
          <w:vertAlign w:val="superscript"/>
        </w:rPr>
        <w:footnoteReference w:id="17"/>
      </w:r>
      <w:r w:rsidRPr="00433908">
        <w:rPr>
          <w:rFonts w:asciiTheme="majorBidi" w:hAnsiTheme="majorBidi" w:cstheme="majorBidi"/>
        </w:rPr>
        <w:t xml:space="preserve"> According to the HSR, certain stock acquisitions</w:t>
      </w:r>
      <w:r w:rsidR="00AE6591" w:rsidRPr="00433908">
        <w:rPr>
          <w:rFonts w:asciiTheme="majorBidi" w:hAnsiTheme="majorBidi" w:cstheme="majorBidi"/>
        </w:rPr>
        <w:t xml:space="preserve"> </w:t>
      </w:r>
      <w:r w:rsidR="00B73E7E" w:rsidRPr="00433908">
        <w:rPr>
          <w:rFonts w:asciiTheme="majorBidi" w:hAnsiTheme="majorBidi" w:cstheme="majorBidi"/>
        </w:rPr>
        <w:t>and mergers</w:t>
      </w:r>
      <w:r w:rsidR="00AE6591" w:rsidRPr="00433908">
        <w:rPr>
          <w:rFonts w:asciiTheme="majorBidi" w:hAnsiTheme="majorBidi" w:cstheme="majorBidi"/>
        </w:rPr>
        <w:t xml:space="preserve">, </w:t>
      </w:r>
      <w:r w:rsidR="00B133F5" w:rsidRPr="00433908">
        <w:rPr>
          <w:rFonts w:asciiTheme="majorBidi" w:hAnsiTheme="majorBidi" w:cstheme="majorBidi"/>
        </w:rPr>
        <w:t xml:space="preserve">most notably </w:t>
      </w:r>
      <w:r w:rsidR="00B73E7E" w:rsidRPr="00433908">
        <w:rPr>
          <w:rFonts w:asciiTheme="majorBidi" w:hAnsiTheme="majorBidi" w:cstheme="majorBidi"/>
        </w:rPr>
        <w:t xml:space="preserve">in the present context </w:t>
      </w:r>
      <w:r w:rsidR="00B133F5" w:rsidRPr="00433908">
        <w:rPr>
          <w:rFonts w:asciiTheme="majorBidi" w:hAnsiTheme="majorBidi" w:cstheme="majorBidi"/>
        </w:rPr>
        <w:t>acquisition of stock</w:t>
      </w:r>
      <w:r w:rsidR="00B73E7E" w:rsidRPr="00433908">
        <w:rPr>
          <w:rFonts w:asciiTheme="majorBidi" w:hAnsiTheme="majorBidi" w:cstheme="majorBidi"/>
        </w:rPr>
        <w:t xml:space="preserve"> meeting </w:t>
      </w:r>
      <w:r w:rsidR="00B133F5" w:rsidRPr="00433908">
        <w:rPr>
          <w:rFonts w:asciiTheme="majorBidi" w:hAnsiTheme="majorBidi" w:cstheme="majorBidi"/>
        </w:rPr>
        <w:t xml:space="preserve">minimum </w:t>
      </w:r>
      <w:r w:rsidR="00B73E7E" w:rsidRPr="00433908">
        <w:rPr>
          <w:rFonts w:asciiTheme="majorBidi" w:hAnsiTheme="majorBidi" w:cstheme="majorBidi"/>
        </w:rPr>
        <w:t>‘size-of transaction’ and ‘size-of-person’ thresholds</w:t>
      </w:r>
      <w:r w:rsidR="00AE6591" w:rsidRPr="00433908">
        <w:rPr>
          <w:rFonts w:asciiTheme="majorBidi" w:hAnsiTheme="majorBidi" w:cstheme="majorBidi"/>
        </w:rPr>
        <w:t>,</w:t>
      </w:r>
      <w:r w:rsidR="00B133F5" w:rsidRPr="00433908">
        <w:rPr>
          <w:rFonts w:asciiTheme="majorBidi" w:hAnsiTheme="majorBidi" w:cstheme="majorBidi"/>
          <w:vertAlign w:val="superscript"/>
        </w:rPr>
        <w:footnoteReference w:id="18"/>
      </w:r>
      <w:r w:rsidRPr="00433908">
        <w:rPr>
          <w:rFonts w:asciiTheme="majorBidi" w:hAnsiTheme="majorBidi" w:cstheme="majorBidi"/>
        </w:rPr>
        <w:t xml:space="preserve"> </w:t>
      </w:r>
      <w:r w:rsidR="00FA0028" w:rsidRPr="00433908">
        <w:rPr>
          <w:rFonts w:asciiTheme="majorBidi" w:hAnsiTheme="majorBidi" w:cstheme="majorBidi"/>
        </w:rPr>
        <w:t>require</w:t>
      </w:r>
      <w:r w:rsidRPr="00433908">
        <w:rPr>
          <w:rFonts w:asciiTheme="majorBidi" w:hAnsiTheme="majorBidi" w:cstheme="majorBidi"/>
        </w:rPr>
        <w:t xml:space="preserve"> pre-merger notification</w:t>
      </w:r>
      <w:r w:rsidR="00E73FD0">
        <w:rPr>
          <w:rFonts w:asciiTheme="majorBidi" w:hAnsiTheme="majorBidi" w:cstheme="majorBidi"/>
        </w:rPr>
        <w:t>s</w:t>
      </w:r>
      <w:r w:rsidRPr="00433908">
        <w:rPr>
          <w:rFonts w:asciiTheme="majorBidi" w:hAnsiTheme="majorBidi" w:cstheme="majorBidi"/>
        </w:rPr>
        <w:t xml:space="preserve"> to be </w:t>
      </w:r>
      <w:r w:rsidR="00E73FD0">
        <w:rPr>
          <w:rFonts w:asciiTheme="majorBidi" w:hAnsiTheme="majorBidi" w:cstheme="majorBidi"/>
        </w:rPr>
        <w:t xml:space="preserve">filed with the </w:t>
      </w:r>
      <w:r w:rsidRPr="00433908">
        <w:rPr>
          <w:rFonts w:asciiTheme="majorBidi" w:hAnsiTheme="majorBidi" w:cstheme="majorBidi"/>
        </w:rPr>
        <w:t>antitrust agencies</w:t>
      </w:r>
      <w:r w:rsidR="00E159B7" w:rsidRPr="00433908">
        <w:rPr>
          <w:rFonts w:asciiTheme="majorBidi" w:hAnsiTheme="majorBidi" w:cstheme="majorBidi"/>
        </w:rPr>
        <w:t>.</w:t>
      </w:r>
      <w:r w:rsidRPr="00433908">
        <w:rPr>
          <w:rFonts w:asciiTheme="majorBidi" w:hAnsiTheme="majorBidi" w:cstheme="majorBidi"/>
        </w:rPr>
        <w:t xml:space="preserve"> </w:t>
      </w:r>
      <w:r w:rsidR="0052643B" w:rsidRPr="00433908">
        <w:rPr>
          <w:rFonts w:asciiTheme="majorBidi" w:hAnsiTheme="majorBidi" w:cstheme="majorBidi"/>
        </w:rPr>
        <w:t xml:space="preserve">When such a filing is required, the transaction may not be completed until a </w:t>
      </w:r>
      <w:r w:rsidR="00B73E7E" w:rsidRPr="00433908">
        <w:rPr>
          <w:rFonts w:asciiTheme="majorBidi" w:hAnsiTheme="majorBidi" w:cstheme="majorBidi"/>
        </w:rPr>
        <w:t xml:space="preserve">statutory </w:t>
      </w:r>
      <w:r w:rsidR="0052643B" w:rsidRPr="00433908">
        <w:rPr>
          <w:rFonts w:asciiTheme="majorBidi" w:hAnsiTheme="majorBidi" w:cstheme="majorBidi"/>
        </w:rPr>
        <w:t xml:space="preserve">period of time has elapsed, </w:t>
      </w:r>
      <w:r w:rsidR="00E73FD0">
        <w:rPr>
          <w:rFonts w:asciiTheme="majorBidi" w:hAnsiTheme="majorBidi" w:cstheme="majorBidi"/>
        </w:rPr>
        <w:t xml:space="preserve">during which </w:t>
      </w:r>
      <w:r w:rsidR="0052643B" w:rsidRPr="00433908">
        <w:rPr>
          <w:rFonts w:asciiTheme="majorBidi" w:hAnsiTheme="majorBidi" w:cstheme="majorBidi"/>
        </w:rPr>
        <w:t xml:space="preserve">the antitrust agencies </w:t>
      </w:r>
      <w:r w:rsidR="00B73E7E" w:rsidRPr="00433908">
        <w:rPr>
          <w:rFonts w:asciiTheme="majorBidi" w:hAnsiTheme="majorBidi" w:cstheme="majorBidi"/>
        </w:rPr>
        <w:t>assess whether or not the effect of the proposed transaction may be</w:t>
      </w:r>
      <w:r w:rsidR="0052643B" w:rsidRPr="00433908">
        <w:rPr>
          <w:rFonts w:asciiTheme="majorBidi" w:hAnsiTheme="majorBidi" w:cstheme="majorBidi"/>
        </w:rPr>
        <w:t xml:space="preserve"> </w:t>
      </w:r>
      <w:r w:rsidR="00B73E7E" w:rsidRPr="00433908">
        <w:rPr>
          <w:rFonts w:asciiTheme="majorBidi" w:hAnsiTheme="majorBidi" w:cstheme="majorBidi"/>
        </w:rPr>
        <w:t xml:space="preserve">to </w:t>
      </w:r>
      <w:r w:rsidR="0052643B" w:rsidRPr="00433908">
        <w:rPr>
          <w:rFonts w:asciiTheme="majorBidi" w:hAnsiTheme="majorBidi" w:cstheme="majorBidi"/>
        </w:rPr>
        <w:t>substantially lessen com</w:t>
      </w:r>
      <w:r w:rsidR="00B73E7E" w:rsidRPr="00433908">
        <w:rPr>
          <w:rFonts w:asciiTheme="majorBidi" w:hAnsiTheme="majorBidi" w:cstheme="majorBidi"/>
        </w:rPr>
        <w:t>petition or tend to create a monopoly</w:t>
      </w:r>
      <w:r w:rsidR="00D3221A">
        <w:rPr>
          <w:rFonts w:asciiTheme="majorBidi" w:hAnsiTheme="majorBidi" w:cstheme="majorBidi"/>
        </w:rPr>
        <w:t xml:space="preserve"> in any line of commerce</w:t>
      </w:r>
      <w:r w:rsidR="00B73E7E" w:rsidRPr="00433908">
        <w:rPr>
          <w:rFonts w:asciiTheme="majorBidi" w:hAnsiTheme="majorBidi" w:cstheme="majorBidi"/>
        </w:rPr>
        <w:t>,</w:t>
      </w:r>
      <w:r w:rsidR="002C1957" w:rsidRPr="00433908">
        <w:rPr>
          <w:rFonts w:asciiTheme="majorBidi" w:hAnsiTheme="majorBidi" w:cstheme="majorBidi"/>
        </w:rPr>
        <w:t xml:space="preserve"> as per s</w:t>
      </w:r>
      <w:r w:rsidR="0052643B" w:rsidRPr="00433908">
        <w:rPr>
          <w:rFonts w:asciiTheme="majorBidi" w:hAnsiTheme="majorBidi" w:cstheme="majorBidi"/>
        </w:rPr>
        <w:t>ection 7 of the Clayton Act</w:t>
      </w:r>
      <w:r w:rsidR="005C78E6">
        <w:rPr>
          <w:rFonts w:asciiTheme="majorBidi" w:hAnsiTheme="majorBidi" w:cstheme="majorBidi"/>
        </w:rPr>
        <w:t>.</w:t>
      </w:r>
      <w:r w:rsidR="0052643B" w:rsidRPr="00433908">
        <w:rPr>
          <w:rStyle w:val="FootnoteReference"/>
          <w:rFonts w:asciiTheme="majorBidi" w:hAnsiTheme="majorBidi" w:cstheme="majorBidi"/>
        </w:rPr>
        <w:footnoteReference w:id="19"/>
      </w:r>
      <w:r w:rsidR="0052643B" w:rsidRPr="00433908">
        <w:rPr>
          <w:rFonts w:asciiTheme="majorBidi" w:hAnsiTheme="majorBidi" w:cstheme="majorBidi"/>
        </w:rPr>
        <w:t xml:space="preserve"> </w:t>
      </w:r>
      <w:r w:rsidR="005C78E6">
        <w:rPr>
          <w:rFonts w:asciiTheme="majorBidi" w:hAnsiTheme="majorBidi" w:cstheme="majorBidi"/>
        </w:rPr>
        <w:t>I</w:t>
      </w:r>
      <w:r w:rsidR="00351DDB">
        <w:rPr>
          <w:rFonts w:asciiTheme="majorBidi" w:hAnsiTheme="majorBidi" w:cstheme="majorBidi"/>
        </w:rPr>
        <w:t xml:space="preserve">f the effect of the transaction </w:t>
      </w:r>
      <w:r w:rsidR="00131C65">
        <w:rPr>
          <w:rFonts w:asciiTheme="majorBidi" w:hAnsiTheme="majorBidi" w:cstheme="majorBidi"/>
        </w:rPr>
        <w:t xml:space="preserve">may be to substantially lessen competition in any line of commerce, </w:t>
      </w:r>
      <w:r w:rsidR="001F7228" w:rsidRPr="00433908">
        <w:rPr>
          <w:rFonts w:asciiTheme="majorBidi" w:hAnsiTheme="majorBidi" w:cstheme="majorBidi"/>
        </w:rPr>
        <w:t>the agencies</w:t>
      </w:r>
      <w:r w:rsidR="00664E6F" w:rsidRPr="00433908">
        <w:rPr>
          <w:rFonts w:asciiTheme="majorBidi" w:hAnsiTheme="majorBidi" w:cstheme="majorBidi"/>
        </w:rPr>
        <w:t xml:space="preserve"> may attempt to block the merger. </w:t>
      </w:r>
      <w:r w:rsidRPr="00433908">
        <w:rPr>
          <w:rFonts w:asciiTheme="majorBidi" w:hAnsiTheme="majorBidi" w:cstheme="majorBidi"/>
        </w:rPr>
        <w:t xml:space="preserve">The </w:t>
      </w:r>
      <w:r w:rsidR="00B73E7E" w:rsidRPr="00433908">
        <w:rPr>
          <w:rFonts w:asciiTheme="majorBidi" w:hAnsiTheme="majorBidi" w:cstheme="majorBidi"/>
        </w:rPr>
        <w:t>HSR</w:t>
      </w:r>
      <w:r w:rsidRPr="00433908">
        <w:rPr>
          <w:rFonts w:asciiTheme="majorBidi" w:hAnsiTheme="majorBidi" w:cstheme="majorBidi"/>
        </w:rPr>
        <w:t xml:space="preserve"> exempts acquisitions from the pre-merger notification when the acquirer will not hold over ten percent of the issuer’s voting securities, and when the acquisition is made “solely for the purpose of investment”.</w:t>
      </w:r>
      <w:r w:rsidRPr="00433908">
        <w:rPr>
          <w:rStyle w:val="FootnoteReference"/>
          <w:rFonts w:asciiTheme="majorBidi" w:hAnsiTheme="majorBidi" w:cstheme="majorBidi"/>
        </w:rPr>
        <w:footnoteReference w:id="20"/>
      </w:r>
      <w:r w:rsidRPr="00433908">
        <w:rPr>
          <w:rFonts w:asciiTheme="majorBidi" w:hAnsiTheme="majorBidi" w:cstheme="majorBidi"/>
        </w:rPr>
        <w:t xml:space="preserve"> </w:t>
      </w:r>
      <w:r w:rsidR="00B73E7E" w:rsidRPr="00433908">
        <w:rPr>
          <w:rFonts w:asciiTheme="majorBidi" w:hAnsiTheme="majorBidi" w:cstheme="majorBidi"/>
        </w:rPr>
        <w:t xml:space="preserve">This exemption was, as mentioned, thought to apply to purely </w:t>
      </w:r>
      <w:r w:rsidR="00B73E7E" w:rsidRPr="00433908">
        <w:rPr>
          <w:rFonts w:asciiTheme="majorBidi" w:hAnsiTheme="majorBidi" w:cstheme="majorBidi"/>
        </w:rPr>
        <w:lastRenderedPageBreak/>
        <w:t>passive investments.</w:t>
      </w:r>
      <w:bookmarkStart w:id="4" w:name="_Ref492456071"/>
      <w:r w:rsidR="00B73E7E" w:rsidRPr="00433908">
        <w:rPr>
          <w:rStyle w:val="FootnoteReference"/>
          <w:rFonts w:asciiTheme="majorBidi" w:hAnsiTheme="majorBidi" w:cstheme="majorBidi"/>
        </w:rPr>
        <w:footnoteReference w:id="21"/>
      </w:r>
      <w:bookmarkEnd w:id="4"/>
      <w:r w:rsidR="00B73E7E" w:rsidRPr="00433908">
        <w:rPr>
          <w:rFonts w:asciiTheme="majorBidi" w:hAnsiTheme="majorBidi" w:cstheme="majorBidi"/>
        </w:rPr>
        <w:t xml:space="preserve"> </w:t>
      </w:r>
      <w:r w:rsidRPr="00433908">
        <w:rPr>
          <w:rFonts w:asciiTheme="majorBidi" w:hAnsiTheme="majorBidi" w:cstheme="majorBidi"/>
        </w:rPr>
        <w:t xml:space="preserve">Both economically and legally, </w:t>
      </w:r>
      <w:r w:rsidR="00D83894" w:rsidRPr="00433908">
        <w:rPr>
          <w:rFonts w:asciiTheme="majorBidi" w:hAnsiTheme="majorBidi" w:cstheme="majorBidi"/>
        </w:rPr>
        <w:t xml:space="preserve">purely </w:t>
      </w:r>
      <w:r w:rsidRPr="00433908">
        <w:rPr>
          <w:rFonts w:asciiTheme="majorBidi" w:hAnsiTheme="majorBidi" w:cstheme="majorBidi"/>
        </w:rPr>
        <w:t>passive investment was considered to raise no antitrust concern.</w:t>
      </w:r>
      <w:bookmarkStart w:id="5" w:name="_Ref500145690"/>
      <w:r w:rsidRPr="00433908">
        <w:rPr>
          <w:rStyle w:val="FootnoteReference"/>
          <w:rFonts w:asciiTheme="majorBidi" w:hAnsiTheme="majorBidi" w:cstheme="majorBidi"/>
        </w:rPr>
        <w:footnoteReference w:id="22"/>
      </w:r>
      <w:bookmarkEnd w:id="5"/>
    </w:p>
    <w:p w14:paraId="6F981BC2" w14:textId="77777777" w:rsidR="00100C78" w:rsidRPr="00433908" w:rsidRDefault="00100C78" w:rsidP="001C13D6">
      <w:pPr>
        <w:jc w:val="both"/>
        <w:rPr>
          <w:rFonts w:asciiTheme="majorBidi" w:hAnsiTheme="majorBidi" w:cstheme="majorBidi"/>
        </w:rPr>
      </w:pPr>
    </w:p>
    <w:p w14:paraId="44A21CC2" w14:textId="5D8604D5" w:rsidR="00680C82" w:rsidRPr="00433908" w:rsidRDefault="00AE6591" w:rsidP="00C31B65">
      <w:pPr>
        <w:jc w:val="both"/>
        <w:rPr>
          <w:rFonts w:asciiTheme="majorBidi" w:hAnsiTheme="majorBidi" w:cstheme="majorBidi"/>
        </w:rPr>
      </w:pPr>
      <w:r w:rsidRPr="00433908">
        <w:rPr>
          <w:rFonts w:asciiTheme="majorBidi" w:hAnsiTheme="majorBidi" w:cstheme="majorBidi"/>
        </w:rPr>
        <w:t>However, recent academic work has argued that t</w:t>
      </w:r>
      <w:r w:rsidR="00E50B01" w:rsidRPr="00433908">
        <w:rPr>
          <w:rFonts w:asciiTheme="majorBidi" w:hAnsiTheme="majorBidi" w:cstheme="majorBidi"/>
        </w:rPr>
        <w:t>he phenomenon of several institutional investors holding equity across firms that compete in oligopolistic product markets</w:t>
      </w:r>
      <w:r w:rsidRPr="00433908">
        <w:rPr>
          <w:rFonts w:asciiTheme="majorBidi" w:hAnsiTheme="majorBidi" w:cstheme="majorBidi"/>
        </w:rPr>
        <w:t xml:space="preserve"> is competitively harmful</w:t>
      </w:r>
      <w:r w:rsidR="00E50B01" w:rsidRPr="00433908">
        <w:rPr>
          <w:rFonts w:asciiTheme="majorBidi" w:hAnsiTheme="majorBidi" w:cstheme="majorBidi"/>
        </w:rPr>
        <w:t xml:space="preserve">. </w:t>
      </w:r>
      <w:r w:rsidR="00DD1A23" w:rsidRPr="00433908">
        <w:rPr>
          <w:rFonts w:asciiTheme="majorBidi" w:hAnsiTheme="majorBidi" w:cstheme="majorBidi"/>
        </w:rPr>
        <w:t>Notwithstanding the uncontested benefits of diversification, the</w:t>
      </w:r>
      <w:r w:rsidR="00E50B01" w:rsidRPr="00433908">
        <w:rPr>
          <w:rFonts w:asciiTheme="majorBidi" w:hAnsiTheme="majorBidi" w:cstheme="majorBidi"/>
        </w:rPr>
        <w:t xml:space="preserve"> phenomenon </w:t>
      </w:r>
      <w:r w:rsidR="00DD1A23" w:rsidRPr="00433908">
        <w:rPr>
          <w:rFonts w:asciiTheme="majorBidi" w:hAnsiTheme="majorBidi" w:cstheme="majorBidi"/>
        </w:rPr>
        <w:t xml:space="preserve">of </w:t>
      </w:r>
      <w:r w:rsidR="00AE7D0D" w:rsidRPr="00433908">
        <w:rPr>
          <w:rFonts w:asciiTheme="majorBidi" w:hAnsiTheme="majorBidi" w:cstheme="majorBidi"/>
        </w:rPr>
        <w:t xml:space="preserve">common </w:t>
      </w:r>
      <w:r w:rsidR="0075209B" w:rsidRPr="00433908">
        <w:rPr>
          <w:rFonts w:asciiTheme="majorBidi" w:hAnsiTheme="majorBidi" w:cstheme="majorBidi"/>
        </w:rPr>
        <w:t>ownership</w:t>
      </w:r>
      <w:r w:rsidR="00DD1A23" w:rsidRPr="00433908">
        <w:rPr>
          <w:rFonts w:asciiTheme="majorBidi" w:hAnsiTheme="majorBidi" w:cstheme="majorBidi"/>
        </w:rPr>
        <w:t xml:space="preserve">, </w:t>
      </w:r>
      <w:r w:rsidR="0032582F" w:rsidRPr="00433908">
        <w:rPr>
          <w:rFonts w:asciiTheme="majorBidi" w:hAnsiTheme="majorBidi" w:cstheme="majorBidi"/>
        </w:rPr>
        <w:t xml:space="preserve">also </w:t>
      </w:r>
      <w:r w:rsidR="00004960" w:rsidRPr="00433908">
        <w:rPr>
          <w:rFonts w:asciiTheme="majorBidi" w:hAnsiTheme="majorBidi" w:cstheme="majorBidi"/>
        </w:rPr>
        <w:t xml:space="preserve">referred to as </w:t>
      </w:r>
      <w:r w:rsidR="00DD1A23" w:rsidRPr="00433908">
        <w:rPr>
          <w:rFonts w:asciiTheme="majorBidi" w:hAnsiTheme="majorBidi" w:cstheme="majorBidi"/>
        </w:rPr>
        <w:t>horizontal shareholding</w:t>
      </w:r>
      <w:r w:rsidR="00004960" w:rsidRPr="00433908">
        <w:rPr>
          <w:rFonts w:asciiTheme="majorBidi" w:hAnsiTheme="majorBidi" w:cstheme="majorBidi"/>
        </w:rPr>
        <w:t xml:space="preserve"> or interlocking shareholding</w:t>
      </w:r>
      <w:r w:rsidR="00DD1A23" w:rsidRPr="00433908">
        <w:rPr>
          <w:rFonts w:asciiTheme="majorBidi" w:hAnsiTheme="majorBidi" w:cstheme="majorBidi"/>
        </w:rPr>
        <w:t xml:space="preserve">, by institutional investors </w:t>
      </w:r>
      <w:r w:rsidR="00E50B01" w:rsidRPr="00433908">
        <w:rPr>
          <w:rFonts w:asciiTheme="majorBidi" w:hAnsiTheme="majorBidi" w:cstheme="majorBidi"/>
        </w:rPr>
        <w:t>is argued to result in anti-competitive equilibria</w:t>
      </w:r>
      <w:r w:rsidR="0032582F" w:rsidRPr="00433908">
        <w:rPr>
          <w:rFonts w:asciiTheme="majorBidi" w:hAnsiTheme="majorBidi" w:cstheme="majorBidi"/>
        </w:rPr>
        <w:t>.</w:t>
      </w:r>
      <w:r w:rsidR="00E50B01" w:rsidRPr="00433908">
        <w:rPr>
          <w:rFonts w:asciiTheme="majorBidi" w:hAnsiTheme="majorBidi" w:cstheme="majorBidi"/>
        </w:rPr>
        <w:t xml:space="preserve"> </w:t>
      </w:r>
      <w:r w:rsidR="0032582F" w:rsidRPr="00433908">
        <w:rPr>
          <w:rFonts w:asciiTheme="majorBidi" w:hAnsiTheme="majorBidi" w:cstheme="majorBidi"/>
        </w:rPr>
        <w:t>Importantly, t</w:t>
      </w:r>
      <w:r w:rsidR="00E50B01" w:rsidRPr="00433908">
        <w:rPr>
          <w:rFonts w:asciiTheme="majorBidi" w:hAnsiTheme="majorBidi" w:cstheme="majorBidi"/>
        </w:rPr>
        <w:t xml:space="preserve">he argument is that </w:t>
      </w:r>
      <w:r w:rsidR="001C13D6" w:rsidRPr="00433908">
        <w:rPr>
          <w:rFonts w:asciiTheme="majorBidi" w:hAnsiTheme="majorBidi" w:cstheme="majorBidi"/>
        </w:rPr>
        <w:t xml:space="preserve">institutional investors’ </w:t>
      </w:r>
      <w:r w:rsidR="0075209B" w:rsidRPr="00433908">
        <w:rPr>
          <w:rFonts w:asciiTheme="majorBidi" w:hAnsiTheme="majorBidi" w:cstheme="majorBidi"/>
        </w:rPr>
        <w:t>cross ownership</w:t>
      </w:r>
      <w:r w:rsidR="001C13D6" w:rsidRPr="00433908">
        <w:rPr>
          <w:rFonts w:asciiTheme="majorBidi" w:hAnsiTheme="majorBidi" w:cstheme="majorBidi"/>
        </w:rPr>
        <w:t xml:space="preserve"> of stock in oligopolistic markets </w:t>
      </w:r>
      <w:r w:rsidR="00E50B01" w:rsidRPr="00433908">
        <w:rPr>
          <w:rFonts w:asciiTheme="majorBidi" w:hAnsiTheme="majorBidi" w:cstheme="majorBidi"/>
        </w:rPr>
        <w:t>result</w:t>
      </w:r>
      <w:r w:rsidR="001C13D6" w:rsidRPr="00433908">
        <w:rPr>
          <w:rFonts w:asciiTheme="majorBidi" w:hAnsiTheme="majorBidi" w:cstheme="majorBidi"/>
        </w:rPr>
        <w:t>s</w:t>
      </w:r>
      <w:r w:rsidR="00E50B01" w:rsidRPr="00433908">
        <w:rPr>
          <w:rFonts w:asciiTheme="majorBidi" w:hAnsiTheme="majorBidi" w:cstheme="majorBidi"/>
        </w:rPr>
        <w:t xml:space="preserve"> in coordinated-like </w:t>
      </w:r>
      <w:r w:rsidR="002C1957" w:rsidRPr="00433908">
        <w:rPr>
          <w:rFonts w:asciiTheme="majorBidi" w:hAnsiTheme="majorBidi" w:cstheme="majorBidi"/>
        </w:rPr>
        <w:t>anti-</w:t>
      </w:r>
      <w:r w:rsidR="00E50B01" w:rsidRPr="00433908">
        <w:rPr>
          <w:rFonts w:asciiTheme="majorBidi" w:hAnsiTheme="majorBidi" w:cstheme="majorBidi"/>
        </w:rPr>
        <w:t>competiti</w:t>
      </w:r>
      <w:r w:rsidR="002C1957" w:rsidRPr="00433908">
        <w:rPr>
          <w:rFonts w:asciiTheme="majorBidi" w:hAnsiTheme="majorBidi" w:cstheme="majorBidi"/>
        </w:rPr>
        <w:t>ve pricing</w:t>
      </w:r>
      <w:r w:rsidR="00E50B01" w:rsidRPr="00433908">
        <w:rPr>
          <w:rFonts w:asciiTheme="majorBidi" w:hAnsiTheme="majorBidi" w:cstheme="majorBidi"/>
        </w:rPr>
        <w:t xml:space="preserve"> </w:t>
      </w:r>
      <w:r w:rsidR="001F7228" w:rsidRPr="00433908">
        <w:rPr>
          <w:rFonts w:asciiTheme="majorBidi" w:hAnsiTheme="majorBidi" w:cstheme="majorBidi"/>
          <w:i/>
          <w:iCs/>
        </w:rPr>
        <w:t xml:space="preserve">even if these </w:t>
      </w:r>
      <w:r w:rsidR="00DA1B75" w:rsidRPr="00433908">
        <w:rPr>
          <w:rFonts w:asciiTheme="majorBidi" w:hAnsiTheme="majorBidi" w:cstheme="majorBidi"/>
          <w:i/>
          <w:iCs/>
        </w:rPr>
        <w:t xml:space="preserve">institutional investors do not control any of the firms in which they invest, and </w:t>
      </w:r>
      <w:r w:rsidR="001F7228" w:rsidRPr="00433908">
        <w:rPr>
          <w:rFonts w:asciiTheme="majorBidi" w:hAnsiTheme="majorBidi" w:cstheme="majorBidi"/>
          <w:i/>
          <w:iCs/>
        </w:rPr>
        <w:t>r</w:t>
      </w:r>
      <w:r w:rsidR="00E50B01" w:rsidRPr="00433908">
        <w:rPr>
          <w:rFonts w:asciiTheme="majorBidi" w:hAnsiTheme="majorBidi" w:cstheme="majorBidi"/>
          <w:i/>
          <w:iCs/>
        </w:rPr>
        <w:t>egardless of these institutional investors’ conduct</w:t>
      </w:r>
      <w:r w:rsidR="0032582F" w:rsidRPr="00433908">
        <w:rPr>
          <w:rFonts w:asciiTheme="majorBidi" w:hAnsiTheme="majorBidi" w:cstheme="majorBidi"/>
          <w:i/>
          <w:iCs/>
        </w:rPr>
        <w:t>; that is even if they do not coordinate in any way</w:t>
      </w:r>
      <w:r w:rsidR="00E50B01" w:rsidRPr="00433908">
        <w:rPr>
          <w:rFonts w:asciiTheme="majorBidi" w:hAnsiTheme="majorBidi" w:cstheme="majorBidi"/>
        </w:rPr>
        <w:t>.</w:t>
      </w:r>
      <w:bookmarkStart w:id="6" w:name="_Ref492475720"/>
      <w:r w:rsidR="00E50B01" w:rsidRPr="00433908">
        <w:rPr>
          <w:rStyle w:val="FootnoteReference"/>
          <w:rFonts w:asciiTheme="majorBidi" w:hAnsiTheme="majorBidi" w:cstheme="majorBidi"/>
        </w:rPr>
        <w:footnoteReference w:id="23"/>
      </w:r>
      <w:bookmarkEnd w:id="6"/>
      <w:r w:rsidR="00E50B01" w:rsidRPr="00433908">
        <w:rPr>
          <w:rFonts w:asciiTheme="majorBidi" w:hAnsiTheme="majorBidi" w:cstheme="majorBidi"/>
        </w:rPr>
        <w:t xml:space="preserve"> </w:t>
      </w:r>
      <w:r w:rsidR="00C43D96" w:rsidRPr="00433908">
        <w:rPr>
          <w:rFonts w:asciiTheme="majorBidi" w:hAnsiTheme="majorBidi" w:cstheme="majorBidi"/>
        </w:rPr>
        <w:t>Although no coordination</w:t>
      </w:r>
      <w:r w:rsidR="001C13D6" w:rsidRPr="00433908">
        <w:rPr>
          <w:rFonts w:asciiTheme="majorBidi" w:hAnsiTheme="majorBidi" w:cstheme="majorBidi"/>
        </w:rPr>
        <w:t xml:space="preserve"> is alleged</w:t>
      </w:r>
      <w:r w:rsidR="00C43D96" w:rsidRPr="00433908">
        <w:rPr>
          <w:rFonts w:asciiTheme="majorBidi" w:hAnsiTheme="majorBidi" w:cstheme="majorBidi"/>
        </w:rPr>
        <w:t xml:space="preserve">, and although coordination amongst institutional investors is </w:t>
      </w:r>
      <w:r w:rsidR="002C1957" w:rsidRPr="00433908">
        <w:rPr>
          <w:rFonts w:asciiTheme="majorBidi" w:hAnsiTheme="majorBidi" w:cstheme="majorBidi"/>
        </w:rPr>
        <w:t xml:space="preserve">considered </w:t>
      </w:r>
      <w:r w:rsidR="00C43D96" w:rsidRPr="00433908">
        <w:rPr>
          <w:rFonts w:asciiTheme="majorBidi" w:hAnsiTheme="majorBidi" w:cstheme="majorBidi"/>
        </w:rPr>
        <w:t>unlikely</w:t>
      </w:r>
      <w:r w:rsidR="002C1957" w:rsidRPr="00433908">
        <w:rPr>
          <w:rFonts w:asciiTheme="majorBidi" w:hAnsiTheme="majorBidi" w:cstheme="majorBidi"/>
        </w:rPr>
        <w:t>,</w:t>
      </w:r>
      <w:r w:rsidR="00C43D96" w:rsidRPr="00433908">
        <w:rPr>
          <w:rStyle w:val="FootnoteReference"/>
          <w:rFonts w:asciiTheme="majorBidi" w:hAnsiTheme="majorBidi" w:cstheme="majorBidi"/>
        </w:rPr>
        <w:footnoteReference w:id="24"/>
      </w:r>
      <w:r w:rsidR="002B1B16" w:rsidRPr="00433908">
        <w:rPr>
          <w:rFonts w:asciiTheme="majorBidi" w:hAnsiTheme="majorBidi" w:cstheme="majorBidi"/>
        </w:rPr>
        <w:t xml:space="preserve"> as it violates section 1 of the Sherman Act</w:t>
      </w:r>
      <w:r w:rsidR="00680C82" w:rsidRPr="00433908">
        <w:rPr>
          <w:rFonts w:asciiTheme="majorBidi" w:hAnsiTheme="majorBidi" w:cstheme="majorBidi"/>
        </w:rPr>
        <w:t>,</w:t>
      </w:r>
      <w:bookmarkStart w:id="7" w:name="_Ref491799009"/>
      <w:r w:rsidR="002B1B16" w:rsidRPr="00433908">
        <w:rPr>
          <w:rStyle w:val="FootnoteReference"/>
          <w:rFonts w:asciiTheme="majorBidi" w:hAnsiTheme="majorBidi" w:cstheme="majorBidi"/>
        </w:rPr>
        <w:footnoteReference w:id="25"/>
      </w:r>
      <w:bookmarkEnd w:id="7"/>
      <w:r w:rsidR="00680C82" w:rsidRPr="00433908">
        <w:rPr>
          <w:rFonts w:asciiTheme="majorBidi" w:hAnsiTheme="majorBidi" w:cstheme="majorBidi"/>
        </w:rPr>
        <w:t xml:space="preserve"> the argument advanced in the recent literature is that the very structure of the market in these circumstances results in harm to competition</w:t>
      </w:r>
      <w:r w:rsidR="00C31B65" w:rsidRPr="00433908">
        <w:rPr>
          <w:rFonts w:asciiTheme="majorBidi" w:hAnsiTheme="majorBidi" w:cstheme="majorBidi"/>
        </w:rPr>
        <w:t xml:space="preserve"> as a direct consequence of common ownership. </w:t>
      </w:r>
      <w:r w:rsidR="00680C82" w:rsidRPr="00433908">
        <w:rPr>
          <w:rFonts w:asciiTheme="majorBidi" w:hAnsiTheme="majorBidi" w:cstheme="majorBidi"/>
        </w:rPr>
        <w:t>E</w:t>
      </w:r>
      <w:r w:rsidR="00E50B01" w:rsidRPr="00433908">
        <w:rPr>
          <w:rFonts w:asciiTheme="majorBidi" w:hAnsiTheme="majorBidi" w:cstheme="majorBidi"/>
        </w:rPr>
        <w:t xml:space="preserve">ven if </w:t>
      </w:r>
      <w:r w:rsidR="00C31B65" w:rsidRPr="00433908">
        <w:rPr>
          <w:rFonts w:asciiTheme="majorBidi" w:hAnsiTheme="majorBidi" w:cstheme="majorBidi"/>
        </w:rPr>
        <w:t>institutional investors</w:t>
      </w:r>
      <w:r w:rsidR="00E50B01" w:rsidRPr="00433908">
        <w:rPr>
          <w:rFonts w:asciiTheme="majorBidi" w:hAnsiTheme="majorBidi" w:cstheme="majorBidi"/>
        </w:rPr>
        <w:t xml:space="preserve"> do not coordinate, transfer information that they have received as shareholders from one firm to the other, or actively instruct managers, </w:t>
      </w:r>
      <w:r w:rsidR="00680C82" w:rsidRPr="00433908">
        <w:rPr>
          <w:rFonts w:asciiTheme="majorBidi" w:hAnsiTheme="majorBidi" w:cstheme="majorBidi"/>
        </w:rPr>
        <w:t>“…no such communication or coordination is necessary for the basic anti-competitive effect, which turns purely on the structural incentives created by horizontal shareholdings”.</w:t>
      </w:r>
      <w:bookmarkStart w:id="8" w:name="_Ref492547471"/>
      <w:r w:rsidR="00680C82" w:rsidRPr="00433908">
        <w:rPr>
          <w:rStyle w:val="FootnoteReference"/>
          <w:rFonts w:asciiTheme="majorBidi" w:hAnsiTheme="majorBidi" w:cstheme="majorBidi"/>
        </w:rPr>
        <w:footnoteReference w:id="26"/>
      </w:r>
      <w:bookmarkEnd w:id="8"/>
      <w:r w:rsidR="00636343" w:rsidRPr="00433908">
        <w:rPr>
          <w:rFonts w:asciiTheme="majorBidi" w:hAnsiTheme="majorBidi" w:cstheme="majorBidi"/>
        </w:rPr>
        <w:t xml:space="preserve"> </w:t>
      </w:r>
    </w:p>
    <w:p w14:paraId="6B10BB2F" w14:textId="77777777" w:rsidR="00DD1A23" w:rsidRPr="00433908" w:rsidRDefault="00DD1A23" w:rsidP="00680C82">
      <w:pPr>
        <w:jc w:val="both"/>
        <w:rPr>
          <w:rFonts w:asciiTheme="majorBidi" w:hAnsiTheme="majorBidi" w:cstheme="majorBidi"/>
        </w:rPr>
      </w:pPr>
    </w:p>
    <w:p w14:paraId="7EE10DA2" w14:textId="5D28E771" w:rsidR="00DA1B75" w:rsidRPr="00433908" w:rsidRDefault="00DA1B75" w:rsidP="00230091">
      <w:pPr>
        <w:jc w:val="both"/>
        <w:rPr>
          <w:rFonts w:asciiTheme="majorBidi" w:hAnsiTheme="majorBidi" w:cstheme="majorBidi"/>
        </w:rPr>
      </w:pPr>
      <w:r w:rsidRPr="00433908">
        <w:rPr>
          <w:rFonts w:asciiTheme="majorBidi" w:hAnsiTheme="majorBidi" w:cstheme="majorBidi"/>
        </w:rPr>
        <w:t>A recent empirical article has found evidence supporting the hypothesis that cross</w:t>
      </w:r>
      <w:r w:rsidR="003D273A" w:rsidRPr="00433908">
        <w:rPr>
          <w:rFonts w:asciiTheme="majorBidi" w:hAnsiTheme="majorBidi" w:cstheme="majorBidi"/>
        </w:rPr>
        <w:t xml:space="preserve"> ownership</w:t>
      </w:r>
      <w:r w:rsidRPr="00433908">
        <w:rPr>
          <w:rFonts w:asciiTheme="majorBidi" w:hAnsiTheme="majorBidi" w:cstheme="majorBidi"/>
        </w:rPr>
        <w:t xml:space="preserve"> by institutional investors dampen</w:t>
      </w:r>
      <w:r w:rsidR="003D273A" w:rsidRPr="00433908">
        <w:rPr>
          <w:rFonts w:asciiTheme="majorBidi" w:hAnsiTheme="majorBidi" w:cstheme="majorBidi"/>
        </w:rPr>
        <w:t>s</w:t>
      </w:r>
      <w:r w:rsidRPr="00433908">
        <w:rPr>
          <w:rFonts w:asciiTheme="majorBidi" w:hAnsiTheme="majorBidi" w:cstheme="majorBidi"/>
        </w:rPr>
        <w:t xml:space="preserve"> competition. </w:t>
      </w:r>
      <w:r w:rsidR="000210AE" w:rsidRPr="00433908">
        <w:rPr>
          <w:rFonts w:asciiTheme="majorBidi" w:hAnsiTheme="majorBidi" w:cstheme="majorBidi"/>
        </w:rPr>
        <w:t xml:space="preserve">Azar et al. </w:t>
      </w:r>
      <w:r w:rsidR="004950DA" w:rsidRPr="00433908">
        <w:rPr>
          <w:rFonts w:asciiTheme="majorBidi" w:hAnsiTheme="majorBidi" w:cstheme="majorBidi"/>
        </w:rPr>
        <w:t>attempt to assess the effect of a change in concentration among institutional investors that hold stock in the airline industry on ticket prices</w:t>
      </w:r>
      <w:r w:rsidR="000210AE" w:rsidRPr="00433908">
        <w:rPr>
          <w:rFonts w:asciiTheme="majorBidi" w:hAnsiTheme="majorBidi" w:cstheme="majorBidi"/>
        </w:rPr>
        <w:t xml:space="preserve">. Azar et al. </w:t>
      </w:r>
      <w:r w:rsidRPr="00433908">
        <w:rPr>
          <w:rFonts w:asciiTheme="majorBidi" w:hAnsiTheme="majorBidi" w:cstheme="majorBidi"/>
        </w:rPr>
        <w:t xml:space="preserve">use a modified measurement of concentration </w:t>
      </w:r>
      <w:r w:rsidR="000210AE" w:rsidRPr="00433908">
        <w:rPr>
          <w:rFonts w:asciiTheme="majorBidi" w:hAnsiTheme="majorBidi" w:cstheme="majorBidi"/>
        </w:rPr>
        <w:t xml:space="preserve">that accounts for ownership-concentration </w:t>
      </w:r>
      <w:r w:rsidRPr="00433908">
        <w:rPr>
          <w:rFonts w:asciiTheme="majorBidi" w:hAnsiTheme="majorBidi" w:cstheme="majorBidi"/>
        </w:rPr>
        <w:t>(a modified HHI</w:t>
      </w:r>
      <w:r w:rsidR="000210AE" w:rsidRPr="00433908">
        <w:rPr>
          <w:rFonts w:asciiTheme="majorBidi" w:hAnsiTheme="majorBidi" w:cstheme="majorBidi"/>
        </w:rPr>
        <w:t>, “MHHI”</w:t>
      </w:r>
      <w:r w:rsidRPr="00433908">
        <w:rPr>
          <w:rFonts w:asciiTheme="majorBidi" w:hAnsiTheme="majorBidi" w:cstheme="majorBidi"/>
        </w:rPr>
        <w:t xml:space="preserve">), originally developed by </w:t>
      </w:r>
      <w:proofErr w:type="spellStart"/>
      <w:r w:rsidRPr="00433908">
        <w:rPr>
          <w:rFonts w:asciiTheme="majorBidi" w:hAnsiTheme="majorBidi" w:cstheme="majorBidi"/>
        </w:rPr>
        <w:t>O’brien</w:t>
      </w:r>
      <w:proofErr w:type="spellEnd"/>
      <w:r w:rsidRPr="00433908">
        <w:rPr>
          <w:rFonts w:asciiTheme="majorBidi" w:hAnsiTheme="majorBidi" w:cstheme="majorBidi"/>
        </w:rPr>
        <w:t xml:space="preserve"> and Salop.</w:t>
      </w:r>
      <w:r w:rsidRPr="00433908">
        <w:rPr>
          <w:rStyle w:val="FootnoteReference"/>
          <w:rFonts w:asciiTheme="majorBidi" w:hAnsiTheme="majorBidi" w:cstheme="majorBidi"/>
        </w:rPr>
        <w:footnoteReference w:id="27"/>
      </w:r>
      <w:r w:rsidRPr="00433908">
        <w:rPr>
          <w:rFonts w:asciiTheme="majorBidi" w:hAnsiTheme="majorBidi" w:cstheme="majorBidi"/>
        </w:rPr>
        <w:t xml:space="preserve"> </w:t>
      </w:r>
      <w:r w:rsidR="004950DA" w:rsidRPr="00433908">
        <w:rPr>
          <w:rFonts w:asciiTheme="majorBidi" w:hAnsiTheme="majorBidi" w:cstheme="majorBidi"/>
        </w:rPr>
        <w:t xml:space="preserve">They exploit a merger </w:t>
      </w:r>
      <w:r w:rsidR="00E73FD0">
        <w:rPr>
          <w:rFonts w:asciiTheme="majorBidi" w:hAnsiTheme="majorBidi" w:cstheme="majorBidi"/>
        </w:rPr>
        <w:t xml:space="preserve">between </w:t>
      </w:r>
      <w:r w:rsidR="004950DA" w:rsidRPr="00433908">
        <w:rPr>
          <w:rFonts w:asciiTheme="majorBidi" w:hAnsiTheme="majorBidi" w:cstheme="majorBidi"/>
        </w:rPr>
        <w:t>institutional investors, BlackRock’s acquisition of Barclays Global Investors,</w:t>
      </w:r>
      <w:r w:rsidR="004950DA" w:rsidRPr="00433908">
        <w:rPr>
          <w:rStyle w:val="FootnoteReference"/>
          <w:rFonts w:asciiTheme="majorBidi" w:hAnsiTheme="majorBidi" w:cstheme="majorBidi"/>
        </w:rPr>
        <w:footnoteReference w:id="28"/>
      </w:r>
      <w:r w:rsidR="004950DA" w:rsidRPr="00433908">
        <w:rPr>
          <w:rFonts w:asciiTheme="majorBidi" w:hAnsiTheme="majorBidi" w:cstheme="majorBidi"/>
        </w:rPr>
        <w:t xml:space="preserve"> and </w:t>
      </w:r>
      <w:r w:rsidRPr="00433908">
        <w:rPr>
          <w:rFonts w:asciiTheme="majorBidi" w:hAnsiTheme="majorBidi" w:cstheme="majorBidi"/>
        </w:rPr>
        <w:t xml:space="preserve">identify a positive effect of </w:t>
      </w:r>
      <w:r w:rsidR="004950DA" w:rsidRPr="00433908">
        <w:rPr>
          <w:rFonts w:asciiTheme="majorBidi" w:hAnsiTheme="majorBidi" w:cstheme="majorBidi"/>
        </w:rPr>
        <w:t xml:space="preserve">the increase in (shareholder-level) concentration </w:t>
      </w:r>
      <w:r w:rsidRPr="00433908">
        <w:rPr>
          <w:rFonts w:asciiTheme="majorBidi" w:hAnsiTheme="majorBidi" w:cstheme="majorBidi"/>
        </w:rPr>
        <w:t>on ticket prices.</w:t>
      </w:r>
      <w:r w:rsidR="000210AE" w:rsidRPr="00433908">
        <w:rPr>
          <w:rFonts w:asciiTheme="majorBidi" w:hAnsiTheme="majorBidi" w:cstheme="majorBidi"/>
        </w:rPr>
        <w:t xml:space="preserve"> They find that ticket prices were 3% - </w:t>
      </w:r>
      <w:r w:rsidR="005535FD" w:rsidRPr="00433908">
        <w:rPr>
          <w:rFonts w:asciiTheme="majorBidi" w:hAnsiTheme="majorBidi" w:cstheme="majorBidi"/>
        </w:rPr>
        <w:t>7</w:t>
      </w:r>
      <w:r w:rsidR="000210AE" w:rsidRPr="00433908">
        <w:rPr>
          <w:rFonts w:asciiTheme="majorBidi" w:hAnsiTheme="majorBidi" w:cstheme="majorBidi"/>
        </w:rPr>
        <w:t>% higher</w:t>
      </w:r>
      <w:r w:rsidR="005535FD" w:rsidRPr="00433908">
        <w:rPr>
          <w:rFonts w:asciiTheme="majorBidi" w:hAnsiTheme="majorBidi" w:cstheme="majorBidi"/>
        </w:rPr>
        <w:t xml:space="preserve"> under </w:t>
      </w:r>
      <w:r w:rsidR="003D273A" w:rsidRPr="00433908">
        <w:rPr>
          <w:rFonts w:asciiTheme="majorBidi" w:hAnsiTheme="majorBidi" w:cstheme="majorBidi"/>
        </w:rPr>
        <w:t xml:space="preserve">common </w:t>
      </w:r>
      <w:r w:rsidR="005535FD" w:rsidRPr="00433908">
        <w:rPr>
          <w:rFonts w:asciiTheme="majorBidi" w:hAnsiTheme="majorBidi" w:cstheme="majorBidi"/>
        </w:rPr>
        <w:t>ownership than they would have been under separate ownership</w:t>
      </w:r>
      <w:r w:rsidR="000210AE" w:rsidRPr="00433908">
        <w:rPr>
          <w:rFonts w:asciiTheme="majorBidi" w:hAnsiTheme="majorBidi" w:cstheme="majorBidi"/>
        </w:rPr>
        <w:t xml:space="preserve">. Although this may seem like </w:t>
      </w:r>
      <w:r w:rsidR="000210AE" w:rsidRPr="00433908">
        <w:rPr>
          <w:rFonts w:asciiTheme="majorBidi" w:hAnsiTheme="majorBidi" w:cstheme="majorBidi"/>
        </w:rPr>
        <w:lastRenderedPageBreak/>
        <w:t xml:space="preserve">a small price-increase, given the profitability in the industry (approximately </w:t>
      </w:r>
      <w:r w:rsidR="005535FD" w:rsidRPr="00433908">
        <w:rPr>
          <w:rFonts w:asciiTheme="majorBidi" w:hAnsiTheme="majorBidi" w:cstheme="majorBidi"/>
        </w:rPr>
        <w:t>4</w:t>
      </w:r>
      <w:r w:rsidR="000210AE" w:rsidRPr="00433908">
        <w:rPr>
          <w:rFonts w:asciiTheme="majorBidi" w:hAnsiTheme="majorBidi" w:cstheme="majorBidi"/>
        </w:rPr>
        <w:t>%), it is a significant change.</w:t>
      </w:r>
      <w:r w:rsidR="004950DA" w:rsidRPr="00433908">
        <w:rPr>
          <w:rStyle w:val="FootnoteReference"/>
          <w:rFonts w:asciiTheme="majorBidi" w:hAnsiTheme="majorBidi" w:cstheme="majorBidi"/>
        </w:rPr>
        <w:footnoteReference w:id="29"/>
      </w:r>
      <w:r w:rsidR="00EA03F6" w:rsidRPr="00433908">
        <w:rPr>
          <w:rFonts w:asciiTheme="majorBidi" w:hAnsiTheme="majorBidi" w:cstheme="majorBidi"/>
        </w:rPr>
        <w:t xml:space="preserve"> </w:t>
      </w:r>
      <w:r w:rsidR="003D273A" w:rsidRPr="00433908">
        <w:rPr>
          <w:rFonts w:asciiTheme="majorBidi" w:hAnsiTheme="majorBidi" w:cstheme="majorBidi"/>
        </w:rPr>
        <w:t xml:space="preserve">The </w:t>
      </w:r>
      <w:r w:rsidR="005535FD" w:rsidRPr="00433908">
        <w:rPr>
          <w:rFonts w:asciiTheme="majorBidi" w:hAnsiTheme="majorBidi" w:cstheme="majorBidi"/>
        </w:rPr>
        <w:t xml:space="preserve">empirical </w:t>
      </w:r>
      <w:r w:rsidR="00C9194E" w:rsidRPr="00433908">
        <w:rPr>
          <w:rFonts w:asciiTheme="majorBidi" w:hAnsiTheme="majorBidi" w:cstheme="majorBidi"/>
        </w:rPr>
        <w:t>findings have</w:t>
      </w:r>
      <w:r w:rsidR="003D273A" w:rsidRPr="00433908">
        <w:rPr>
          <w:rFonts w:asciiTheme="majorBidi" w:hAnsiTheme="majorBidi" w:cstheme="majorBidi"/>
        </w:rPr>
        <w:t xml:space="preserve"> been </w:t>
      </w:r>
      <w:r w:rsidR="001D2D0D">
        <w:rPr>
          <w:rFonts w:asciiTheme="majorBidi" w:hAnsiTheme="majorBidi" w:cstheme="majorBidi"/>
        </w:rPr>
        <w:t xml:space="preserve">challenged </w:t>
      </w:r>
      <w:r w:rsidR="003D273A" w:rsidRPr="00433908">
        <w:rPr>
          <w:rFonts w:asciiTheme="majorBidi" w:hAnsiTheme="majorBidi" w:cstheme="majorBidi"/>
        </w:rPr>
        <w:t xml:space="preserve">by </w:t>
      </w:r>
      <w:r w:rsidR="004E2D67">
        <w:rPr>
          <w:rFonts w:asciiTheme="majorBidi" w:hAnsiTheme="majorBidi" w:cstheme="majorBidi"/>
        </w:rPr>
        <w:t xml:space="preserve">Daniel </w:t>
      </w:r>
      <w:proofErr w:type="spellStart"/>
      <w:r w:rsidR="005D0F7A">
        <w:rPr>
          <w:rFonts w:asciiTheme="majorBidi" w:hAnsiTheme="majorBidi" w:cstheme="majorBidi"/>
        </w:rPr>
        <w:t>O’brien</w:t>
      </w:r>
      <w:proofErr w:type="spellEnd"/>
      <w:r w:rsidR="005D0F7A">
        <w:rPr>
          <w:rFonts w:asciiTheme="majorBidi" w:hAnsiTheme="majorBidi" w:cstheme="majorBidi"/>
        </w:rPr>
        <w:t xml:space="preserve"> and </w:t>
      </w:r>
      <w:r w:rsidR="004E2D67">
        <w:rPr>
          <w:rFonts w:asciiTheme="majorBidi" w:hAnsiTheme="majorBidi" w:cstheme="majorBidi"/>
        </w:rPr>
        <w:t xml:space="preserve">Keith </w:t>
      </w:r>
      <w:proofErr w:type="spellStart"/>
      <w:r w:rsidR="005D0F7A">
        <w:rPr>
          <w:rFonts w:asciiTheme="majorBidi" w:hAnsiTheme="majorBidi" w:cstheme="majorBidi"/>
        </w:rPr>
        <w:t>Waehrer</w:t>
      </w:r>
      <w:bookmarkStart w:id="9" w:name="_Ref504980063"/>
      <w:proofErr w:type="spellEnd"/>
      <w:r w:rsidR="005D0F7A">
        <w:rPr>
          <w:rStyle w:val="FootnoteReference"/>
          <w:rFonts w:asciiTheme="majorBidi" w:hAnsiTheme="majorBidi" w:cstheme="majorBidi"/>
        </w:rPr>
        <w:footnoteReference w:id="30"/>
      </w:r>
      <w:bookmarkEnd w:id="9"/>
      <w:r w:rsidR="005D0F7A">
        <w:rPr>
          <w:rFonts w:asciiTheme="majorBidi" w:hAnsiTheme="majorBidi" w:cstheme="majorBidi"/>
        </w:rPr>
        <w:t xml:space="preserve"> and by </w:t>
      </w:r>
      <w:r w:rsidR="003D273A" w:rsidRPr="00433908">
        <w:rPr>
          <w:rFonts w:asciiTheme="majorBidi" w:hAnsiTheme="majorBidi" w:cstheme="majorBidi"/>
        </w:rPr>
        <w:t xml:space="preserve">Edward Rock and Daniel </w:t>
      </w:r>
      <w:proofErr w:type="spellStart"/>
      <w:r w:rsidR="003D273A" w:rsidRPr="00433908">
        <w:rPr>
          <w:rFonts w:asciiTheme="majorBidi" w:hAnsiTheme="majorBidi" w:cstheme="majorBidi"/>
        </w:rPr>
        <w:t>Rubinfeld</w:t>
      </w:r>
      <w:bookmarkStart w:id="10" w:name="_Ref496813395"/>
      <w:proofErr w:type="spellEnd"/>
      <w:r w:rsidR="008A4F1D">
        <w:rPr>
          <w:rFonts w:asciiTheme="majorBidi" w:hAnsiTheme="majorBidi" w:cstheme="majorBidi"/>
        </w:rPr>
        <w:t>.</w:t>
      </w:r>
      <w:r w:rsidR="005535FD" w:rsidRPr="00433908">
        <w:rPr>
          <w:rStyle w:val="FootnoteReference"/>
          <w:rFonts w:asciiTheme="majorBidi" w:hAnsiTheme="majorBidi" w:cstheme="majorBidi"/>
        </w:rPr>
        <w:footnoteReference w:id="31"/>
      </w:r>
      <w:bookmarkEnd w:id="10"/>
      <w:r w:rsidR="005535FD" w:rsidRPr="00433908">
        <w:rPr>
          <w:rFonts w:asciiTheme="majorBidi" w:hAnsiTheme="majorBidi" w:cstheme="majorBidi"/>
        </w:rPr>
        <w:t xml:space="preserve"> </w:t>
      </w:r>
      <w:r w:rsidR="008A4F1D">
        <w:rPr>
          <w:rFonts w:asciiTheme="majorBidi" w:hAnsiTheme="majorBidi" w:cstheme="majorBidi"/>
        </w:rPr>
        <w:t>A</w:t>
      </w:r>
      <w:r w:rsidR="00FC36E3">
        <w:rPr>
          <w:rFonts w:asciiTheme="majorBidi" w:hAnsiTheme="majorBidi" w:cstheme="majorBidi"/>
        </w:rPr>
        <w:t xml:space="preserve"> </w:t>
      </w:r>
      <w:r w:rsidR="0047564D">
        <w:rPr>
          <w:rFonts w:asciiTheme="majorBidi" w:hAnsiTheme="majorBidi" w:cstheme="majorBidi"/>
        </w:rPr>
        <w:t>newer</w:t>
      </w:r>
      <w:r w:rsidR="00196B79">
        <w:rPr>
          <w:rFonts w:asciiTheme="majorBidi" w:hAnsiTheme="majorBidi" w:cstheme="majorBidi"/>
        </w:rPr>
        <w:t xml:space="preserve"> </w:t>
      </w:r>
      <w:r w:rsidR="00DD58CC">
        <w:rPr>
          <w:rFonts w:asciiTheme="majorBidi" w:hAnsiTheme="majorBidi" w:cstheme="majorBidi"/>
        </w:rPr>
        <w:t>stud</w:t>
      </w:r>
      <w:r w:rsidR="00196B79">
        <w:rPr>
          <w:rFonts w:asciiTheme="majorBidi" w:hAnsiTheme="majorBidi" w:cstheme="majorBidi"/>
        </w:rPr>
        <w:t>y</w:t>
      </w:r>
      <w:r w:rsidR="00DD58CC">
        <w:rPr>
          <w:rFonts w:asciiTheme="majorBidi" w:hAnsiTheme="majorBidi" w:cstheme="majorBidi"/>
        </w:rPr>
        <w:t xml:space="preserve"> </w:t>
      </w:r>
      <w:r w:rsidR="00196B79">
        <w:rPr>
          <w:rFonts w:asciiTheme="majorBidi" w:hAnsiTheme="majorBidi" w:cstheme="majorBidi"/>
        </w:rPr>
        <w:t xml:space="preserve">examining the same industry while </w:t>
      </w:r>
      <w:r w:rsidR="00ED6156">
        <w:rPr>
          <w:rFonts w:asciiTheme="majorBidi" w:hAnsiTheme="majorBidi" w:cstheme="majorBidi"/>
        </w:rPr>
        <w:t>addressing</w:t>
      </w:r>
      <w:r w:rsidR="006434D1">
        <w:rPr>
          <w:rFonts w:asciiTheme="majorBidi" w:hAnsiTheme="majorBidi" w:cstheme="majorBidi"/>
        </w:rPr>
        <w:t xml:space="preserve"> the methodological issues identified in the </w:t>
      </w:r>
      <w:r w:rsidR="005D0F7A">
        <w:rPr>
          <w:rFonts w:asciiTheme="majorBidi" w:hAnsiTheme="majorBidi" w:cstheme="majorBidi"/>
        </w:rPr>
        <w:t xml:space="preserve">key </w:t>
      </w:r>
      <w:r w:rsidR="006434D1">
        <w:rPr>
          <w:rFonts w:asciiTheme="majorBidi" w:hAnsiTheme="majorBidi" w:cstheme="majorBidi"/>
        </w:rPr>
        <w:t>empirical research</w:t>
      </w:r>
      <w:r w:rsidR="008A4F1D">
        <w:rPr>
          <w:rFonts w:asciiTheme="majorBidi" w:hAnsiTheme="majorBidi" w:cstheme="majorBidi"/>
        </w:rPr>
        <w:t>,</w:t>
      </w:r>
      <w:bookmarkStart w:id="11" w:name="_Ref504980397"/>
      <w:r w:rsidR="00ED6156">
        <w:rPr>
          <w:rStyle w:val="FootnoteReference"/>
          <w:rFonts w:asciiTheme="majorBidi" w:hAnsiTheme="majorBidi" w:cstheme="majorBidi"/>
        </w:rPr>
        <w:footnoteReference w:id="32"/>
      </w:r>
      <w:bookmarkEnd w:id="11"/>
      <w:r w:rsidR="006434D1">
        <w:rPr>
          <w:rFonts w:asciiTheme="majorBidi" w:hAnsiTheme="majorBidi" w:cstheme="majorBidi"/>
        </w:rPr>
        <w:t xml:space="preserve"> </w:t>
      </w:r>
      <w:r w:rsidR="008A4F1D">
        <w:rPr>
          <w:rFonts w:asciiTheme="majorBidi" w:hAnsiTheme="majorBidi" w:cstheme="majorBidi"/>
        </w:rPr>
        <w:t xml:space="preserve">as well as </w:t>
      </w:r>
      <w:r w:rsidR="00ED6156">
        <w:rPr>
          <w:rFonts w:asciiTheme="majorBidi" w:hAnsiTheme="majorBidi" w:cstheme="majorBidi"/>
        </w:rPr>
        <w:t>another empirical study focusing on the banking industry</w:t>
      </w:r>
      <w:bookmarkStart w:id="12" w:name="_Ref504982791"/>
      <w:r w:rsidR="0047564D">
        <w:rPr>
          <w:rFonts w:asciiTheme="majorBidi" w:hAnsiTheme="majorBidi" w:cstheme="majorBidi"/>
        </w:rPr>
        <w:t>,</w:t>
      </w:r>
      <w:r w:rsidR="00ED6156">
        <w:rPr>
          <w:rStyle w:val="FootnoteReference"/>
          <w:rFonts w:asciiTheme="majorBidi" w:hAnsiTheme="majorBidi" w:cstheme="majorBidi"/>
        </w:rPr>
        <w:footnoteReference w:id="33"/>
      </w:r>
      <w:bookmarkEnd w:id="12"/>
      <w:r w:rsidR="00ED6156">
        <w:rPr>
          <w:rFonts w:asciiTheme="majorBidi" w:hAnsiTheme="majorBidi" w:cstheme="majorBidi"/>
        </w:rPr>
        <w:t xml:space="preserve"> </w:t>
      </w:r>
      <w:r w:rsidR="005D0F7A">
        <w:rPr>
          <w:rFonts w:asciiTheme="majorBidi" w:hAnsiTheme="majorBidi" w:cstheme="majorBidi"/>
        </w:rPr>
        <w:t xml:space="preserve">have </w:t>
      </w:r>
      <w:r w:rsidR="001D2D0D">
        <w:rPr>
          <w:rFonts w:asciiTheme="majorBidi" w:hAnsiTheme="majorBidi" w:cstheme="majorBidi"/>
        </w:rPr>
        <w:t xml:space="preserve">found </w:t>
      </w:r>
      <w:r w:rsidR="00DD58CC">
        <w:rPr>
          <w:rFonts w:asciiTheme="majorBidi" w:hAnsiTheme="majorBidi" w:cstheme="majorBidi"/>
        </w:rPr>
        <w:t>different results</w:t>
      </w:r>
      <w:r w:rsidR="005D0F7A">
        <w:rPr>
          <w:rFonts w:asciiTheme="majorBidi" w:hAnsiTheme="majorBidi" w:cstheme="majorBidi"/>
        </w:rPr>
        <w:t>.</w:t>
      </w:r>
      <w:r w:rsidR="00ED6156">
        <w:rPr>
          <w:rFonts w:asciiTheme="majorBidi" w:hAnsiTheme="majorBidi" w:cstheme="majorBidi"/>
        </w:rPr>
        <w:t xml:space="preserve"> The former </w:t>
      </w:r>
      <w:r w:rsidR="00FC36E3">
        <w:rPr>
          <w:rFonts w:asciiTheme="majorBidi" w:hAnsiTheme="majorBidi" w:cstheme="majorBidi"/>
        </w:rPr>
        <w:t xml:space="preserve">of these two very recent </w:t>
      </w:r>
      <w:r w:rsidR="00ED6156">
        <w:rPr>
          <w:rFonts w:asciiTheme="majorBidi" w:hAnsiTheme="majorBidi" w:cstheme="majorBidi"/>
        </w:rPr>
        <w:t>stud</w:t>
      </w:r>
      <w:r w:rsidR="00FC36E3">
        <w:rPr>
          <w:rFonts w:asciiTheme="majorBidi" w:hAnsiTheme="majorBidi" w:cstheme="majorBidi"/>
        </w:rPr>
        <w:t>ies</w:t>
      </w:r>
      <w:r w:rsidR="00ED6156">
        <w:rPr>
          <w:rFonts w:asciiTheme="majorBidi" w:hAnsiTheme="majorBidi" w:cstheme="majorBidi"/>
        </w:rPr>
        <w:t xml:space="preserve"> found no effect of common ownership on prices, and the latter found mixed (although preliminary) results.</w:t>
      </w:r>
      <w:r w:rsidR="001D2D0D">
        <w:rPr>
          <w:rFonts w:asciiTheme="majorBidi" w:hAnsiTheme="majorBidi" w:cstheme="majorBidi"/>
        </w:rPr>
        <w:t xml:space="preserve"> </w:t>
      </w:r>
      <w:r w:rsidR="005D0F7A">
        <w:rPr>
          <w:rFonts w:asciiTheme="majorBidi" w:hAnsiTheme="majorBidi" w:cstheme="majorBidi"/>
        </w:rPr>
        <w:t>T</w:t>
      </w:r>
      <w:r w:rsidR="001D2D0D">
        <w:rPr>
          <w:rFonts w:asciiTheme="majorBidi" w:hAnsiTheme="majorBidi" w:cstheme="majorBidi"/>
        </w:rPr>
        <w:t xml:space="preserve">he empirical findings </w:t>
      </w:r>
      <w:r w:rsidR="005D0F7A">
        <w:rPr>
          <w:rFonts w:asciiTheme="majorBidi" w:hAnsiTheme="majorBidi" w:cstheme="majorBidi"/>
        </w:rPr>
        <w:t xml:space="preserve">are therefore </w:t>
      </w:r>
      <w:r w:rsidR="001D2D0D">
        <w:rPr>
          <w:rFonts w:asciiTheme="majorBidi" w:hAnsiTheme="majorBidi" w:cstheme="majorBidi"/>
        </w:rPr>
        <w:t>quite mixed</w:t>
      </w:r>
      <w:r w:rsidR="00D47579">
        <w:rPr>
          <w:rFonts w:asciiTheme="majorBidi" w:hAnsiTheme="majorBidi" w:cstheme="majorBidi"/>
        </w:rPr>
        <w:t>, at the very least</w:t>
      </w:r>
      <w:r w:rsidR="001D2D0D">
        <w:rPr>
          <w:rFonts w:asciiTheme="majorBidi" w:hAnsiTheme="majorBidi" w:cstheme="majorBidi"/>
        </w:rPr>
        <w:t xml:space="preserve">. </w:t>
      </w:r>
      <w:r w:rsidR="00FC36E3">
        <w:rPr>
          <w:rFonts w:asciiTheme="majorBidi" w:hAnsiTheme="majorBidi" w:cstheme="majorBidi"/>
        </w:rPr>
        <w:t>B</w:t>
      </w:r>
      <w:r w:rsidR="003D273A" w:rsidRPr="00433908">
        <w:rPr>
          <w:rFonts w:asciiTheme="majorBidi" w:hAnsiTheme="majorBidi" w:cstheme="majorBidi"/>
        </w:rPr>
        <w:t xml:space="preserve">ut </w:t>
      </w:r>
      <w:r w:rsidR="00C9194E" w:rsidRPr="00433908">
        <w:rPr>
          <w:rFonts w:asciiTheme="majorBidi" w:hAnsiTheme="majorBidi" w:cstheme="majorBidi"/>
        </w:rPr>
        <w:t xml:space="preserve">the empirical study </w:t>
      </w:r>
      <w:r w:rsidR="00FC36E3">
        <w:rPr>
          <w:rFonts w:asciiTheme="majorBidi" w:hAnsiTheme="majorBidi" w:cstheme="majorBidi"/>
        </w:rPr>
        <w:t xml:space="preserve">by </w:t>
      </w:r>
      <w:proofErr w:type="spellStart"/>
      <w:r w:rsidR="00FC36E3">
        <w:rPr>
          <w:rFonts w:asciiTheme="majorBidi" w:hAnsiTheme="majorBidi" w:cstheme="majorBidi"/>
        </w:rPr>
        <w:t>Azaret</w:t>
      </w:r>
      <w:proofErr w:type="spellEnd"/>
      <w:r w:rsidR="00FC36E3">
        <w:rPr>
          <w:rFonts w:asciiTheme="majorBidi" w:hAnsiTheme="majorBidi" w:cstheme="majorBidi"/>
        </w:rPr>
        <w:t xml:space="preserve"> al. has </w:t>
      </w:r>
      <w:r w:rsidR="0047564D">
        <w:rPr>
          <w:rFonts w:asciiTheme="majorBidi" w:hAnsiTheme="majorBidi" w:cstheme="majorBidi"/>
        </w:rPr>
        <w:t xml:space="preserve">nonetheless </w:t>
      </w:r>
      <w:r w:rsidR="00FC36E3">
        <w:rPr>
          <w:rFonts w:asciiTheme="majorBidi" w:hAnsiTheme="majorBidi" w:cstheme="majorBidi"/>
        </w:rPr>
        <w:t xml:space="preserve">been extremely influential, and </w:t>
      </w:r>
      <w:r w:rsidR="0047564D">
        <w:rPr>
          <w:rFonts w:asciiTheme="majorBidi" w:hAnsiTheme="majorBidi" w:cstheme="majorBidi"/>
        </w:rPr>
        <w:t>is</w:t>
      </w:r>
      <w:r w:rsidR="003D273A" w:rsidRPr="00433908">
        <w:rPr>
          <w:rFonts w:asciiTheme="majorBidi" w:hAnsiTheme="majorBidi" w:cstheme="majorBidi"/>
        </w:rPr>
        <w:t xml:space="preserve"> </w:t>
      </w:r>
      <w:r w:rsidR="005535FD" w:rsidRPr="00433908">
        <w:rPr>
          <w:rFonts w:asciiTheme="majorBidi" w:hAnsiTheme="majorBidi" w:cstheme="majorBidi"/>
        </w:rPr>
        <w:t>heavily relied on by proponents of the theory of competitive harm.</w:t>
      </w:r>
      <w:r w:rsidR="005535FD" w:rsidRPr="00433908">
        <w:rPr>
          <w:rStyle w:val="FootnoteReference"/>
          <w:rFonts w:asciiTheme="majorBidi" w:hAnsiTheme="majorBidi" w:cstheme="majorBidi"/>
        </w:rPr>
        <w:footnoteReference w:id="34"/>
      </w:r>
    </w:p>
    <w:p w14:paraId="787C1181" w14:textId="77777777" w:rsidR="004950DA" w:rsidRPr="00433908" w:rsidRDefault="004950DA" w:rsidP="000210AE">
      <w:pPr>
        <w:jc w:val="both"/>
        <w:rPr>
          <w:rFonts w:asciiTheme="majorBidi" w:hAnsiTheme="majorBidi" w:cstheme="majorBidi"/>
        </w:rPr>
      </w:pPr>
    </w:p>
    <w:p w14:paraId="520F5E38" w14:textId="5F7F2646" w:rsidR="00AE6591" w:rsidRPr="00433908" w:rsidRDefault="00AE6591" w:rsidP="00230091">
      <w:pPr>
        <w:jc w:val="both"/>
        <w:rPr>
          <w:rFonts w:asciiTheme="majorBidi" w:hAnsiTheme="majorBidi" w:cstheme="majorBidi"/>
        </w:rPr>
      </w:pPr>
      <w:r w:rsidRPr="00433908">
        <w:rPr>
          <w:rFonts w:asciiTheme="majorBidi" w:hAnsiTheme="majorBidi" w:cstheme="majorBidi"/>
        </w:rPr>
        <w:t>N</w:t>
      </w:r>
      <w:r w:rsidR="00DB277A" w:rsidRPr="00433908">
        <w:rPr>
          <w:rFonts w:asciiTheme="majorBidi" w:hAnsiTheme="majorBidi" w:cstheme="majorBidi"/>
        </w:rPr>
        <w:t>aturally</w:t>
      </w:r>
      <w:r w:rsidR="00A53163">
        <w:rPr>
          <w:rFonts w:asciiTheme="majorBidi" w:hAnsiTheme="majorBidi" w:cstheme="majorBidi"/>
        </w:rPr>
        <w:t>, the</w:t>
      </w:r>
      <w:r w:rsidR="00A53163">
        <w:rPr>
          <w:rFonts w:asciiTheme="majorBidi" w:hAnsiTheme="majorBidi" w:cstheme="majorBidi" w:hint="cs"/>
          <w:rtl/>
        </w:rPr>
        <w:t xml:space="preserve"> </w:t>
      </w:r>
      <w:r w:rsidRPr="00433908">
        <w:rPr>
          <w:rFonts w:asciiTheme="majorBidi" w:hAnsiTheme="majorBidi" w:cstheme="majorBidi"/>
        </w:rPr>
        <w:t xml:space="preserve">recent economic analyses </w:t>
      </w:r>
      <w:r w:rsidR="00FC36E3">
        <w:rPr>
          <w:rFonts w:asciiTheme="majorBidi" w:hAnsiTheme="majorBidi" w:cstheme="majorBidi"/>
        </w:rPr>
        <w:t xml:space="preserve">suggesting that passive cross ownership may have an anti-competitive structural effect </w:t>
      </w:r>
      <w:r w:rsidRPr="00433908">
        <w:rPr>
          <w:rFonts w:asciiTheme="majorBidi" w:hAnsiTheme="majorBidi" w:cstheme="majorBidi"/>
        </w:rPr>
        <w:t xml:space="preserve">have been supplemented </w:t>
      </w:r>
      <w:r w:rsidR="002C1957" w:rsidRPr="00433908">
        <w:rPr>
          <w:rFonts w:asciiTheme="majorBidi" w:hAnsiTheme="majorBidi" w:cstheme="majorBidi"/>
        </w:rPr>
        <w:t>by</w:t>
      </w:r>
      <w:r w:rsidRPr="00433908">
        <w:rPr>
          <w:rFonts w:asciiTheme="majorBidi" w:hAnsiTheme="majorBidi" w:cstheme="majorBidi"/>
        </w:rPr>
        <w:t xml:space="preserve"> legal arguments suggesting that </w:t>
      </w:r>
      <w:r w:rsidR="00912A52" w:rsidRPr="00433908">
        <w:rPr>
          <w:rFonts w:asciiTheme="majorBidi" w:hAnsiTheme="majorBidi" w:cstheme="majorBidi"/>
        </w:rPr>
        <w:t>institutional investors</w:t>
      </w:r>
      <w:r w:rsidR="003D273A" w:rsidRPr="00433908">
        <w:rPr>
          <w:rFonts w:asciiTheme="majorBidi" w:hAnsiTheme="majorBidi" w:cstheme="majorBidi"/>
        </w:rPr>
        <w:t>’ common ownership of oligopolistic firms’ stock</w:t>
      </w:r>
      <w:r w:rsidR="00912A52" w:rsidRPr="00433908">
        <w:rPr>
          <w:rFonts w:asciiTheme="majorBidi" w:hAnsiTheme="majorBidi" w:cstheme="majorBidi"/>
        </w:rPr>
        <w:t xml:space="preserve"> should require </w:t>
      </w:r>
      <w:r w:rsidR="0052643B" w:rsidRPr="00433908">
        <w:rPr>
          <w:rFonts w:asciiTheme="majorBidi" w:hAnsiTheme="majorBidi" w:cstheme="majorBidi"/>
        </w:rPr>
        <w:t xml:space="preserve">pre-merger filing </w:t>
      </w:r>
      <w:r w:rsidR="00912A52" w:rsidRPr="00433908">
        <w:rPr>
          <w:rFonts w:asciiTheme="majorBidi" w:hAnsiTheme="majorBidi" w:cstheme="majorBidi"/>
        </w:rPr>
        <w:t>(and antitrust scrutiny) under the HSR</w:t>
      </w:r>
      <w:r w:rsidR="003D273A" w:rsidRPr="00433908">
        <w:rPr>
          <w:rFonts w:asciiTheme="majorBidi" w:hAnsiTheme="majorBidi" w:cstheme="majorBidi"/>
        </w:rPr>
        <w:t xml:space="preserve"> even if these are passive investments</w:t>
      </w:r>
      <w:r w:rsidR="00912A52" w:rsidRPr="00433908">
        <w:rPr>
          <w:rFonts w:asciiTheme="majorBidi" w:hAnsiTheme="majorBidi" w:cstheme="majorBidi"/>
        </w:rPr>
        <w:t xml:space="preserve">. </w:t>
      </w:r>
      <w:r w:rsidR="002C1957" w:rsidRPr="00433908">
        <w:rPr>
          <w:rFonts w:asciiTheme="majorBidi" w:hAnsiTheme="majorBidi" w:cstheme="majorBidi"/>
        </w:rPr>
        <w:t>T</w:t>
      </w:r>
      <w:r w:rsidR="003D273A" w:rsidRPr="00433908">
        <w:rPr>
          <w:rFonts w:asciiTheme="majorBidi" w:hAnsiTheme="majorBidi" w:cstheme="majorBidi"/>
        </w:rPr>
        <w:t>he ‘investment-only’ exemption</w:t>
      </w:r>
      <w:r w:rsidR="00912A52" w:rsidRPr="00433908">
        <w:rPr>
          <w:rFonts w:asciiTheme="majorBidi" w:hAnsiTheme="majorBidi" w:cstheme="majorBidi"/>
        </w:rPr>
        <w:t xml:space="preserve"> should be construed</w:t>
      </w:r>
      <w:r w:rsidR="002C1957" w:rsidRPr="00433908">
        <w:rPr>
          <w:rFonts w:asciiTheme="majorBidi" w:hAnsiTheme="majorBidi" w:cstheme="majorBidi"/>
        </w:rPr>
        <w:t>, so it has been argued,</w:t>
      </w:r>
      <w:r w:rsidR="00912A52" w:rsidRPr="00433908">
        <w:rPr>
          <w:rFonts w:asciiTheme="majorBidi" w:hAnsiTheme="majorBidi" w:cstheme="majorBidi"/>
        </w:rPr>
        <w:t xml:space="preserve"> to be inapplicable to such acquisitions</w:t>
      </w:r>
      <w:r w:rsidR="002C1957" w:rsidRPr="00433908">
        <w:rPr>
          <w:rFonts w:asciiTheme="majorBidi" w:hAnsiTheme="majorBidi" w:cstheme="majorBidi"/>
        </w:rPr>
        <w:t xml:space="preserve">, and </w:t>
      </w:r>
      <w:r w:rsidR="00B26F9E" w:rsidRPr="00433908">
        <w:rPr>
          <w:rFonts w:asciiTheme="majorBidi" w:hAnsiTheme="majorBidi" w:cstheme="majorBidi"/>
        </w:rPr>
        <w:t>cross</w:t>
      </w:r>
      <w:r w:rsidR="003D273A" w:rsidRPr="00433908">
        <w:rPr>
          <w:rFonts w:asciiTheme="majorBidi" w:hAnsiTheme="majorBidi" w:cstheme="majorBidi"/>
        </w:rPr>
        <w:t xml:space="preserve"> ownership</w:t>
      </w:r>
      <w:r w:rsidR="002C1957" w:rsidRPr="00433908">
        <w:rPr>
          <w:rFonts w:asciiTheme="majorBidi" w:hAnsiTheme="majorBidi" w:cstheme="majorBidi"/>
        </w:rPr>
        <w:t xml:space="preserve"> of this kind should be considered to run afoul of section 7 of the Clayton Act.</w:t>
      </w:r>
      <w:r w:rsidR="000640DD" w:rsidRPr="00433908">
        <w:rPr>
          <w:rStyle w:val="FootnoteReference"/>
          <w:rFonts w:asciiTheme="majorBidi" w:hAnsiTheme="majorBidi" w:cstheme="majorBidi"/>
        </w:rPr>
        <w:footnoteReference w:id="35"/>
      </w:r>
    </w:p>
    <w:p w14:paraId="6DC12F0F" w14:textId="77777777" w:rsidR="00DB277A" w:rsidRPr="00433908" w:rsidRDefault="00DB277A" w:rsidP="00DB277A">
      <w:pPr>
        <w:jc w:val="both"/>
        <w:rPr>
          <w:rFonts w:asciiTheme="majorBidi" w:hAnsiTheme="majorBidi" w:cstheme="majorBidi"/>
        </w:rPr>
      </w:pPr>
    </w:p>
    <w:p w14:paraId="47EF871D" w14:textId="17FEA3E6" w:rsidR="00CE12AA" w:rsidRPr="00433908" w:rsidRDefault="00912A52" w:rsidP="008F68F0">
      <w:pPr>
        <w:jc w:val="both"/>
        <w:rPr>
          <w:rFonts w:asciiTheme="majorBidi" w:hAnsiTheme="majorBidi" w:cstheme="majorBidi"/>
        </w:rPr>
      </w:pPr>
      <w:r w:rsidRPr="00433908">
        <w:rPr>
          <w:rFonts w:asciiTheme="majorBidi" w:hAnsiTheme="majorBidi" w:cstheme="majorBidi"/>
        </w:rPr>
        <w:t>There are in</w:t>
      </w:r>
      <w:r w:rsidR="00DD1A23" w:rsidRPr="00433908">
        <w:rPr>
          <w:rFonts w:asciiTheme="majorBidi" w:hAnsiTheme="majorBidi" w:cstheme="majorBidi"/>
        </w:rPr>
        <w:t>dic</w:t>
      </w:r>
      <w:r w:rsidRPr="00433908">
        <w:rPr>
          <w:rFonts w:asciiTheme="majorBidi" w:hAnsiTheme="majorBidi" w:cstheme="majorBidi"/>
        </w:rPr>
        <w:t>i</w:t>
      </w:r>
      <w:r w:rsidR="00DD1A23" w:rsidRPr="00433908">
        <w:rPr>
          <w:rFonts w:asciiTheme="majorBidi" w:hAnsiTheme="majorBidi" w:cstheme="majorBidi"/>
        </w:rPr>
        <w:t>a that the</w:t>
      </w:r>
      <w:r w:rsidR="00E50B01" w:rsidRPr="00433908">
        <w:rPr>
          <w:rFonts w:asciiTheme="majorBidi" w:hAnsiTheme="majorBidi" w:cstheme="majorBidi"/>
        </w:rPr>
        <w:t xml:space="preserve"> academic writings </w:t>
      </w:r>
      <w:r w:rsidR="00DD1A23" w:rsidRPr="00433908">
        <w:rPr>
          <w:rFonts w:asciiTheme="majorBidi" w:hAnsiTheme="majorBidi" w:cstheme="majorBidi"/>
        </w:rPr>
        <w:t xml:space="preserve">challenging institutional investors’ business model </w:t>
      </w:r>
      <w:r w:rsidR="00E50B01" w:rsidRPr="00433908">
        <w:rPr>
          <w:rFonts w:asciiTheme="majorBidi" w:hAnsiTheme="majorBidi" w:cstheme="majorBidi"/>
        </w:rPr>
        <w:t>have found a willing ear at the federal antitrust agencies, the Antitrust Division at the Department of Justice and the Federal Trade Commis</w:t>
      </w:r>
      <w:r w:rsidR="00DA1B75" w:rsidRPr="00433908">
        <w:rPr>
          <w:rFonts w:asciiTheme="majorBidi" w:hAnsiTheme="majorBidi" w:cstheme="majorBidi"/>
        </w:rPr>
        <w:t>sion, which</w:t>
      </w:r>
      <w:r w:rsidR="00E50B01" w:rsidRPr="00433908">
        <w:rPr>
          <w:rFonts w:asciiTheme="majorBidi" w:hAnsiTheme="majorBidi" w:cstheme="majorBidi"/>
        </w:rPr>
        <w:t xml:space="preserve"> have </w:t>
      </w:r>
      <w:r w:rsidR="00DD1A23" w:rsidRPr="00433908">
        <w:rPr>
          <w:rFonts w:asciiTheme="majorBidi" w:hAnsiTheme="majorBidi" w:cstheme="majorBidi"/>
        </w:rPr>
        <w:t>reportedly</w:t>
      </w:r>
      <w:r w:rsidR="00E50B01" w:rsidRPr="00433908">
        <w:rPr>
          <w:rFonts w:asciiTheme="majorBidi" w:hAnsiTheme="majorBidi" w:cstheme="majorBidi"/>
        </w:rPr>
        <w:t xml:space="preserve"> begun to investigate instances of this strategy in several industries.</w:t>
      </w:r>
      <w:bookmarkStart w:id="13" w:name="_Ref491888779"/>
      <w:r w:rsidR="00E50B01" w:rsidRPr="00433908">
        <w:rPr>
          <w:rStyle w:val="FootnoteReference"/>
          <w:rFonts w:asciiTheme="majorBidi" w:hAnsiTheme="majorBidi" w:cstheme="majorBidi"/>
        </w:rPr>
        <w:footnoteReference w:id="36"/>
      </w:r>
      <w:bookmarkEnd w:id="13"/>
      <w:r w:rsidR="00CE12AA" w:rsidRPr="00433908">
        <w:rPr>
          <w:rFonts w:asciiTheme="majorBidi" w:hAnsiTheme="majorBidi" w:cstheme="majorBidi"/>
        </w:rPr>
        <w:t xml:space="preserve"> </w:t>
      </w:r>
      <w:r w:rsidR="00DA1B75" w:rsidRPr="00433908">
        <w:rPr>
          <w:rFonts w:asciiTheme="majorBidi" w:hAnsiTheme="majorBidi" w:cstheme="majorBidi"/>
        </w:rPr>
        <w:t xml:space="preserve">These investigations </w:t>
      </w:r>
      <w:r w:rsidR="008F68F0">
        <w:rPr>
          <w:rFonts w:asciiTheme="majorBidi" w:hAnsiTheme="majorBidi" w:cstheme="majorBidi"/>
        </w:rPr>
        <w:t xml:space="preserve">are a </w:t>
      </w:r>
      <w:r w:rsidR="00CE12AA" w:rsidRPr="00433908">
        <w:rPr>
          <w:rFonts w:asciiTheme="majorBidi" w:hAnsiTheme="majorBidi" w:cstheme="majorBidi"/>
        </w:rPr>
        <w:t>potential attack on the entire system of </w:t>
      </w:r>
      <w:hyperlink r:id="rId8" w:tooltip="More articles about mutual funds and exchange-traded funds." w:history="1">
        <w:r w:rsidR="00CE12AA" w:rsidRPr="00433908">
          <w:rPr>
            <w:rFonts w:asciiTheme="majorBidi" w:hAnsiTheme="majorBidi" w:cstheme="majorBidi"/>
          </w:rPr>
          <w:t>mutual fund</w:t>
        </w:r>
      </w:hyperlink>
      <w:r w:rsidR="00CE12AA" w:rsidRPr="00433908">
        <w:rPr>
          <w:rFonts w:asciiTheme="majorBidi" w:hAnsiTheme="majorBidi" w:cstheme="majorBidi"/>
        </w:rPr>
        <w:t> holdings.</w:t>
      </w:r>
      <w:r w:rsidR="00CE12AA" w:rsidRPr="00433908">
        <w:rPr>
          <w:rStyle w:val="FootnoteReference"/>
          <w:rFonts w:asciiTheme="majorBidi" w:hAnsiTheme="majorBidi" w:cstheme="majorBidi"/>
        </w:rPr>
        <w:footnoteReference w:id="37"/>
      </w:r>
    </w:p>
    <w:p w14:paraId="0A3B6F08" w14:textId="77777777" w:rsidR="00100C78" w:rsidRPr="00433908" w:rsidRDefault="00100C78" w:rsidP="001C13D6">
      <w:pPr>
        <w:jc w:val="both"/>
        <w:rPr>
          <w:rFonts w:asciiTheme="majorBidi" w:hAnsiTheme="majorBidi" w:cstheme="majorBidi"/>
        </w:rPr>
      </w:pPr>
    </w:p>
    <w:p w14:paraId="7B57494E" w14:textId="1C916F25" w:rsidR="002C1957" w:rsidRPr="00433908" w:rsidRDefault="002C1957" w:rsidP="00DB277A">
      <w:pPr>
        <w:jc w:val="both"/>
        <w:rPr>
          <w:rFonts w:asciiTheme="majorBidi" w:hAnsiTheme="majorBidi" w:cstheme="majorBidi"/>
        </w:rPr>
      </w:pPr>
      <w:r w:rsidRPr="00433908">
        <w:rPr>
          <w:rFonts w:asciiTheme="majorBidi" w:hAnsiTheme="majorBidi" w:cstheme="majorBidi"/>
        </w:rPr>
        <w:t xml:space="preserve">The now-prevalent view that passive investments by institutional investors </w:t>
      </w:r>
      <w:r w:rsidR="00DB277A" w:rsidRPr="00433908">
        <w:rPr>
          <w:rFonts w:asciiTheme="majorBidi" w:hAnsiTheme="majorBidi" w:cstheme="majorBidi"/>
        </w:rPr>
        <w:t xml:space="preserve">is competitively harmful </w:t>
      </w:r>
      <w:r w:rsidRPr="00433908">
        <w:rPr>
          <w:rFonts w:asciiTheme="majorBidi" w:hAnsiTheme="majorBidi" w:cstheme="majorBidi"/>
        </w:rPr>
        <w:t>ha</w:t>
      </w:r>
      <w:r w:rsidR="00DB277A" w:rsidRPr="00433908">
        <w:rPr>
          <w:rFonts w:asciiTheme="majorBidi" w:hAnsiTheme="majorBidi" w:cstheme="majorBidi"/>
        </w:rPr>
        <w:t>s</w:t>
      </w:r>
      <w:r w:rsidRPr="00433908">
        <w:rPr>
          <w:rFonts w:asciiTheme="majorBidi" w:hAnsiTheme="majorBidi" w:cstheme="majorBidi"/>
        </w:rPr>
        <w:t xml:space="preserve"> even brought about suggestions to limit institutional investors’ diversification, limiting them to either </w:t>
      </w:r>
      <w:r w:rsidR="000640DD" w:rsidRPr="00433908">
        <w:rPr>
          <w:rFonts w:asciiTheme="majorBidi" w:hAnsiTheme="majorBidi" w:cstheme="majorBidi"/>
        </w:rPr>
        <w:t xml:space="preserve">owning stock in no more than one firm per (oligopolistic) industry, or holding stock </w:t>
      </w:r>
      <w:r w:rsidR="003C3341" w:rsidRPr="00433908">
        <w:rPr>
          <w:rFonts w:asciiTheme="majorBidi" w:hAnsiTheme="majorBidi" w:cstheme="majorBidi"/>
        </w:rPr>
        <w:t xml:space="preserve">not exceeding 1% </w:t>
      </w:r>
      <w:r w:rsidR="00D00766" w:rsidRPr="00433908">
        <w:rPr>
          <w:rFonts w:asciiTheme="majorBidi" w:hAnsiTheme="majorBidi" w:cstheme="majorBidi"/>
        </w:rPr>
        <w:t xml:space="preserve">of the total value of </w:t>
      </w:r>
      <w:r w:rsidR="003C3341" w:rsidRPr="00433908">
        <w:rPr>
          <w:rFonts w:asciiTheme="majorBidi" w:hAnsiTheme="majorBidi" w:cstheme="majorBidi"/>
        </w:rPr>
        <w:t>any (oligopolistic) industry.</w:t>
      </w:r>
      <w:bookmarkStart w:id="14" w:name="_Ref492625719"/>
      <w:r w:rsidR="003C3341" w:rsidRPr="00433908">
        <w:rPr>
          <w:rStyle w:val="FootnoteReference"/>
          <w:rFonts w:asciiTheme="majorBidi" w:hAnsiTheme="majorBidi" w:cstheme="majorBidi"/>
        </w:rPr>
        <w:footnoteReference w:id="38"/>
      </w:r>
      <w:bookmarkEnd w:id="14"/>
    </w:p>
    <w:p w14:paraId="2B1C64E4" w14:textId="77777777" w:rsidR="002C1957" w:rsidRPr="00433908" w:rsidRDefault="002C1957" w:rsidP="001C13D6">
      <w:pPr>
        <w:jc w:val="both"/>
        <w:rPr>
          <w:rFonts w:asciiTheme="majorBidi" w:hAnsiTheme="majorBidi" w:cstheme="majorBidi"/>
        </w:rPr>
      </w:pPr>
    </w:p>
    <w:p w14:paraId="028893AE" w14:textId="05180C20" w:rsidR="001E2A11" w:rsidRPr="00433908" w:rsidRDefault="002D5C32" w:rsidP="00A53163">
      <w:pPr>
        <w:jc w:val="both"/>
        <w:rPr>
          <w:rFonts w:asciiTheme="majorBidi" w:hAnsiTheme="majorBidi" w:cstheme="majorBidi"/>
        </w:rPr>
      </w:pPr>
      <w:r w:rsidRPr="00433908">
        <w:rPr>
          <w:rFonts w:asciiTheme="majorBidi" w:hAnsiTheme="majorBidi" w:cstheme="majorBidi"/>
        </w:rPr>
        <w:t>This Paper argues th</w:t>
      </w:r>
      <w:r w:rsidR="00996012" w:rsidRPr="00433908">
        <w:rPr>
          <w:rFonts w:asciiTheme="majorBidi" w:hAnsiTheme="majorBidi" w:cstheme="majorBidi"/>
        </w:rPr>
        <w:t xml:space="preserve">e opposite. It argues that </w:t>
      </w:r>
      <w:r w:rsidRPr="00433908">
        <w:rPr>
          <w:rFonts w:asciiTheme="majorBidi" w:hAnsiTheme="majorBidi" w:cstheme="majorBidi"/>
        </w:rPr>
        <w:t>the competitive concerns are misplaced</w:t>
      </w:r>
      <w:r w:rsidR="00C66700" w:rsidRPr="00433908">
        <w:rPr>
          <w:rFonts w:asciiTheme="majorBidi" w:hAnsiTheme="majorBidi" w:cstheme="majorBidi"/>
        </w:rPr>
        <w:t>, and that antitrust law should not deal with</w:t>
      </w:r>
      <w:r w:rsidR="00FC01E7" w:rsidRPr="00433908">
        <w:rPr>
          <w:rFonts w:asciiTheme="majorBidi" w:hAnsiTheme="majorBidi" w:cstheme="majorBidi"/>
        </w:rPr>
        <w:t xml:space="preserve"> </w:t>
      </w:r>
      <w:r w:rsidR="00DA7E2A" w:rsidRPr="00433908">
        <w:rPr>
          <w:rFonts w:asciiTheme="majorBidi" w:hAnsiTheme="majorBidi" w:cstheme="majorBidi"/>
        </w:rPr>
        <w:t xml:space="preserve">purely </w:t>
      </w:r>
      <w:r w:rsidR="00C66700" w:rsidRPr="00433908">
        <w:rPr>
          <w:rFonts w:asciiTheme="majorBidi" w:hAnsiTheme="majorBidi" w:cstheme="majorBidi"/>
        </w:rPr>
        <w:t>passive investments</w:t>
      </w:r>
      <w:r w:rsidR="00FC01E7" w:rsidRPr="00433908">
        <w:rPr>
          <w:rFonts w:asciiTheme="majorBidi" w:hAnsiTheme="majorBidi" w:cstheme="majorBidi"/>
        </w:rPr>
        <w:t xml:space="preserve"> </w:t>
      </w:r>
      <w:r w:rsidR="00C66700" w:rsidRPr="00433908">
        <w:rPr>
          <w:rFonts w:asciiTheme="majorBidi" w:hAnsiTheme="majorBidi" w:cstheme="majorBidi"/>
        </w:rPr>
        <w:t>by institutional investors</w:t>
      </w:r>
      <w:r w:rsidR="00965E04" w:rsidRPr="00433908">
        <w:rPr>
          <w:rFonts w:asciiTheme="majorBidi" w:hAnsiTheme="majorBidi" w:cstheme="majorBidi"/>
        </w:rPr>
        <w:t xml:space="preserve">, </w:t>
      </w:r>
      <w:r w:rsidR="00965E04" w:rsidRPr="00433908">
        <w:rPr>
          <w:rFonts w:asciiTheme="majorBidi" w:hAnsiTheme="majorBidi" w:cstheme="majorBidi"/>
        </w:rPr>
        <w:lastRenderedPageBreak/>
        <w:t xml:space="preserve">specifically when several institutional investors </w:t>
      </w:r>
      <w:r w:rsidR="00DD5D21" w:rsidRPr="00433908">
        <w:rPr>
          <w:rFonts w:asciiTheme="majorBidi" w:hAnsiTheme="majorBidi" w:cstheme="majorBidi"/>
        </w:rPr>
        <w:t xml:space="preserve">jointly </w:t>
      </w:r>
      <w:r w:rsidR="00965E04" w:rsidRPr="00433908">
        <w:rPr>
          <w:rFonts w:asciiTheme="majorBidi" w:hAnsiTheme="majorBidi" w:cstheme="majorBidi"/>
        </w:rPr>
        <w:t>hold stock or debt in competing firms</w:t>
      </w:r>
      <w:r w:rsidRPr="00433908">
        <w:rPr>
          <w:rFonts w:asciiTheme="majorBidi" w:hAnsiTheme="majorBidi" w:cstheme="majorBidi"/>
        </w:rPr>
        <w:t>.</w:t>
      </w:r>
      <w:r w:rsidR="00996012" w:rsidRPr="00433908">
        <w:rPr>
          <w:rFonts w:asciiTheme="majorBidi" w:hAnsiTheme="majorBidi" w:cstheme="majorBidi"/>
        </w:rPr>
        <w:t xml:space="preserve"> </w:t>
      </w:r>
      <w:r w:rsidR="00883AAE" w:rsidRPr="00433908">
        <w:rPr>
          <w:rFonts w:asciiTheme="majorBidi" w:hAnsiTheme="majorBidi" w:cstheme="majorBidi"/>
        </w:rPr>
        <w:t xml:space="preserve">The argument pressed in this Paper is that absent </w:t>
      </w:r>
      <w:r w:rsidR="0018388D" w:rsidRPr="00433908">
        <w:rPr>
          <w:rFonts w:asciiTheme="majorBidi" w:hAnsiTheme="majorBidi" w:cstheme="majorBidi"/>
        </w:rPr>
        <w:t xml:space="preserve">control of the firms and </w:t>
      </w:r>
      <w:r w:rsidR="00883AAE" w:rsidRPr="00433908">
        <w:rPr>
          <w:rFonts w:asciiTheme="majorBidi" w:hAnsiTheme="majorBidi" w:cstheme="majorBidi"/>
        </w:rPr>
        <w:t>coordination between institutional investors, which is</w:t>
      </w:r>
      <w:r w:rsidR="003C3341" w:rsidRPr="00433908">
        <w:rPr>
          <w:rFonts w:asciiTheme="majorBidi" w:hAnsiTheme="majorBidi" w:cstheme="majorBidi"/>
        </w:rPr>
        <w:t>, as mentioned,</w:t>
      </w:r>
      <w:r w:rsidR="00883AAE" w:rsidRPr="00433908">
        <w:rPr>
          <w:rFonts w:asciiTheme="majorBidi" w:hAnsiTheme="majorBidi" w:cstheme="majorBidi"/>
        </w:rPr>
        <w:t xml:space="preserve"> neither alleged in these recent academic writings nor likely given the potential criminal liability associated with it,</w:t>
      </w:r>
      <w:bookmarkStart w:id="15" w:name="_Ref492807210"/>
      <w:r w:rsidR="00883AAE" w:rsidRPr="00433908">
        <w:rPr>
          <w:rStyle w:val="FootnoteReference"/>
          <w:rFonts w:asciiTheme="majorBidi" w:hAnsiTheme="majorBidi" w:cstheme="majorBidi"/>
        </w:rPr>
        <w:footnoteReference w:id="39"/>
      </w:r>
      <w:bookmarkEnd w:id="15"/>
      <w:r w:rsidR="00883AAE" w:rsidRPr="00433908">
        <w:rPr>
          <w:rFonts w:asciiTheme="majorBidi" w:hAnsiTheme="majorBidi" w:cstheme="majorBidi"/>
        </w:rPr>
        <w:t xml:space="preserve"> passive </w:t>
      </w:r>
      <w:r w:rsidR="00FC36E3">
        <w:rPr>
          <w:rFonts w:asciiTheme="majorBidi" w:hAnsiTheme="majorBidi" w:cstheme="majorBidi"/>
        </w:rPr>
        <w:t xml:space="preserve">(non-controlling) </w:t>
      </w:r>
      <w:r w:rsidR="00DD5D21" w:rsidRPr="00433908">
        <w:rPr>
          <w:rFonts w:asciiTheme="majorBidi" w:hAnsiTheme="majorBidi" w:cstheme="majorBidi"/>
        </w:rPr>
        <w:t xml:space="preserve">common ownership of stock </w:t>
      </w:r>
      <w:r w:rsidR="00883AAE" w:rsidRPr="00433908">
        <w:rPr>
          <w:rFonts w:asciiTheme="majorBidi" w:hAnsiTheme="majorBidi" w:cstheme="majorBidi"/>
        </w:rPr>
        <w:t xml:space="preserve">does not worsen the competitive situation. </w:t>
      </w:r>
      <w:r w:rsidR="00A53163">
        <w:rPr>
          <w:rFonts w:asciiTheme="majorBidi" w:hAnsiTheme="majorBidi" w:cstheme="majorBidi"/>
        </w:rPr>
        <w:t>C</w:t>
      </w:r>
      <w:r w:rsidR="00DD5D21" w:rsidRPr="00433908">
        <w:rPr>
          <w:rFonts w:asciiTheme="majorBidi" w:hAnsiTheme="majorBidi" w:cstheme="majorBidi"/>
        </w:rPr>
        <w:t>ommon ownership</w:t>
      </w:r>
      <w:r w:rsidR="00883AAE" w:rsidRPr="00433908">
        <w:rPr>
          <w:rFonts w:asciiTheme="majorBidi" w:hAnsiTheme="majorBidi" w:cstheme="majorBidi"/>
        </w:rPr>
        <w:t xml:space="preserve"> by </w:t>
      </w:r>
      <w:r w:rsidR="00FC36E3">
        <w:rPr>
          <w:rFonts w:asciiTheme="majorBidi" w:hAnsiTheme="majorBidi" w:cstheme="majorBidi"/>
        </w:rPr>
        <w:t xml:space="preserve">non-controlling </w:t>
      </w:r>
      <w:r w:rsidR="00883AAE" w:rsidRPr="00433908">
        <w:rPr>
          <w:rFonts w:asciiTheme="majorBidi" w:hAnsiTheme="majorBidi" w:cstheme="majorBidi"/>
        </w:rPr>
        <w:t>institutional investors do</w:t>
      </w:r>
      <w:r w:rsidR="00DD5D21" w:rsidRPr="00433908">
        <w:rPr>
          <w:rFonts w:asciiTheme="majorBidi" w:hAnsiTheme="majorBidi" w:cstheme="majorBidi"/>
        </w:rPr>
        <w:t>es</w:t>
      </w:r>
      <w:r w:rsidR="00883AAE" w:rsidRPr="00433908">
        <w:rPr>
          <w:rFonts w:asciiTheme="majorBidi" w:hAnsiTheme="majorBidi" w:cstheme="majorBidi"/>
        </w:rPr>
        <w:t xml:space="preserve"> not incentivize managers to compete any less vigorously than they would ha</w:t>
      </w:r>
      <w:r w:rsidR="00C27460" w:rsidRPr="00433908">
        <w:rPr>
          <w:rFonts w:asciiTheme="majorBidi" w:hAnsiTheme="majorBidi" w:cstheme="majorBidi"/>
        </w:rPr>
        <w:t>ve absent</w:t>
      </w:r>
      <w:r w:rsidR="00DD5D21" w:rsidRPr="00433908">
        <w:rPr>
          <w:rFonts w:asciiTheme="majorBidi" w:hAnsiTheme="majorBidi" w:cstheme="majorBidi"/>
        </w:rPr>
        <w:t xml:space="preserve"> this common ownership</w:t>
      </w:r>
      <w:r w:rsidR="00C27460" w:rsidRPr="00433908">
        <w:rPr>
          <w:rFonts w:asciiTheme="majorBidi" w:hAnsiTheme="majorBidi" w:cstheme="majorBidi"/>
        </w:rPr>
        <w:t>.</w:t>
      </w:r>
      <w:r w:rsidR="001E2A11" w:rsidRPr="00433908">
        <w:rPr>
          <w:rFonts w:asciiTheme="majorBidi" w:hAnsiTheme="majorBidi" w:cstheme="majorBidi"/>
        </w:rPr>
        <w:t xml:space="preserve"> The key observation developed in this Paper is that in contrast to other potentially anti-competitive settings</w:t>
      </w:r>
      <w:r w:rsidR="00847335" w:rsidRPr="00433908">
        <w:rPr>
          <w:rFonts w:asciiTheme="majorBidi" w:hAnsiTheme="majorBidi" w:cstheme="majorBidi"/>
        </w:rPr>
        <w:t xml:space="preserve"> (or anti-competitive conduct)</w:t>
      </w:r>
      <w:r w:rsidR="001E2A11" w:rsidRPr="00433908">
        <w:rPr>
          <w:rFonts w:asciiTheme="majorBidi" w:hAnsiTheme="majorBidi" w:cstheme="majorBidi"/>
        </w:rPr>
        <w:t xml:space="preserve">, in the setting of passive cross ownership, at least one of the firms </w:t>
      </w:r>
      <w:r w:rsidR="001E2A11" w:rsidRPr="00433908">
        <w:rPr>
          <w:rFonts w:asciiTheme="majorBidi" w:hAnsiTheme="majorBidi" w:cstheme="majorBidi"/>
          <w:i/>
          <w:iCs/>
        </w:rPr>
        <w:t>loses</w:t>
      </w:r>
      <w:r w:rsidR="001E2A11" w:rsidRPr="00433908">
        <w:rPr>
          <w:rFonts w:asciiTheme="majorBidi" w:hAnsiTheme="majorBidi" w:cstheme="majorBidi"/>
        </w:rPr>
        <w:t xml:space="preserve"> from coordination. Supra-competitive pricing does not benefit all </w:t>
      </w:r>
      <w:r w:rsidR="00847335" w:rsidRPr="00433908">
        <w:rPr>
          <w:rFonts w:asciiTheme="majorBidi" w:hAnsiTheme="majorBidi" w:cstheme="majorBidi"/>
        </w:rPr>
        <w:t xml:space="preserve">coordinating </w:t>
      </w:r>
      <w:r w:rsidR="001E2A11" w:rsidRPr="00433908">
        <w:rPr>
          <w:rFonts w:asciiTheme="majorBidi" w:hAnsiTheme="majorBidi" w:cstheme="majorBidi"/>
        </w:rPr>
        <w:t>participants</w:t>
      </w:r>
      <w:r w:rsidR="00847335" w:rsidRPr="00433908">
        <w:rPr>
          <w:rFonts w:asciiTheme="majorBidi" w:hAnsiTheme="majorBidi" w:cstheme="majorBidi"/>
        </w:rPr>
        <w:t>. Rather, some participants lose, so that others may increase their profits.</w:t>
      </w:r>
      <w:r w:rsidR="001E2A11" w:rsidRPr="00433908">
        <w:rPr>
          <w:rFonts w:asciiTheme="majorBidi" w:hAnsiTheme="majorBidi" w:cstheme="majorBidi"/>
        </w:rPr>
        <w:t xml:space="preserve"> Therefore, the theory of competitive harm advanced </w:t>
      </w:r>
      <w:r w:rsidR="004C1787" w:rsidRPr="00433908">
        <w:rPr>
          <w:rFonts w:asciiTheme="majorBidi" w:hAnsiTheme="majorBidi" w:cstheme="majorBidi"/>
        </w:rPr>
        <w:t>in</w:t>
      </w:r>
      <w:r w:rsidR="001E2A11" w:rsidRPr="00433908">
        <w:rPr>
          <w:rFonts w:asciiTheme="majorBidi" w:hAnsiTheme="majorBidi" w:cstheme="majorBidi"/>
        </w:rPr>
        <w:t xml:space="preserve"> the recent literature is predicated, at times implicitly, on management’s willingness to act in a manner that is detrimental to the firm. </w:t>
      </w:r>
      <w:r w:rsidR="00847335" w:rsidRPr="00433908">
        <w:rPr>
          <w:rFonts w:asciiTheme="majorBidi" w:hAnsiTheme="majorBidi" w:cstheme="majorBidi"/>
        </w:rPr>
        <w:t xml:space="preserve">While this is, of course, possible, it requires some mechanism that will incentivize management to act in such a manner. And this mechanism is absent in the setting of passive </w:t>
      </w:r>
      <w:r w:rsidR="00A53163">
        <w:rPr>
          <w:rFonts w:asciiTheme="majorBidi" w:hAnsiTheme="majorBidi" w:cstheme="majorBidi"/>
        </w:rPr>
        <w:t xml:space="preserve">non-controlling </w:t>
      </w:r>
      <w:r w:rsidR="00847335" w:rsidRPr="00433908">
        <w:rPr>
          <w:rFonts w:asciiTheme="majorBidi" w:hAnsiTheme="majorBidi" w:cstheme="majorBidi"/>
        </w:rPr>
        <w:t>cross ownership.</w:t>
      </w:r>
      <w:r w:rsidR="004C1787" w:rsidRPr="00433908">
        <w:rPr>
          <w:rFonts w:asciiTheme="majorBidi" w:hAnsiTheme="majorBidi" w:cstheme="majorBidi"/>
        </w:rPr>
        <w:t xml:space="preserve"> I develop the concept of ‘unilateral coordination’, which – while linguistically self-contradicting by definition – helps illustrate the difference in the competitive harm alleged in the current setting and the competitive harm regularly associated wit</w:t>
      </w:r>
      <w:r w:rsidR="00FC36E3">
        <w:rPr>
          <w:rFonts w:asciiTheme="majorBidi" w:hAnsiTheme="majorBidi" w:cstheme="majorBidi"/>
        </w:rPr>
        <w:t>h concentrated product markets.</w:t>
      </w:r>
    </w:p>
    <w:p w14:paraId="616D93B5" w14:textId="77777777" w:rsidR="00847335" w:rsidRPr="00433908" w:rsidRDefault="00847335" w:rsidP="00847335">
      <w:pPr>
        <w:jc w:val="both"/>
        <w:rPr>
          <w:rFonts w:asciiTheme="majorBidi" w:hAnsiTheme="majorBidi" w:cstheme="majorBidi"/>
        </w:rPr>
      </w:pPr>
    </w:p>
    <w:p w14:paraId="7FC096B2" w14:textId="4A24D5D0" w:rsidR="00883AAE" w:rsidRPr="00433908" w:rsidRDefault="00996012" w:rsidP="00FC36E3">
      <w:pPr>
        <w:jc w:val="both"/>
        <w:rPr>
          <w:rFonts w:asciiTheme="majorBidi" w:hAnsiTheme="majorBidi" w:cstheme="majorBidi"/>
        </w:rPr>
      </w:pPr>
      <w:r w:rsidRPr="00433908">
        <w:rPr>
          <w:rFonts w:asciiTheme="majorBidi" w:hAnsiTheme="majorBidi" w:cstheme="majorBidi"/>
        </w:rPr>
        <w:t xml:space="preserve">The </w:t>
      </w:r>
      <w:r w:rsidR="001B478B">
        <w:rPr>
          <w:rFonts w:asciiTheme="majorBidi" w:hAnsiTheme="majorBidi" w:cstheme="majorBidi"/>
        </w:rPr>
        <w:t xml:space="preserve">Paper also addresses the empirical studies. Some of the studies, namely the recent studies finding no correlation between shareholder-level concentration and prices, support the theory advanced in this Paper, although – as mentioned – the empirical evidence is mixed. The Paper briefly </w:t>
      </w:r>
      <w:r w:rsidR="00FC36E3">
        <w:rPr>
          <w:rFonts w:asciiTheme="majorBidi" w:hAnsiTheme="majorBidi" w:cstheme="majorBidi"/>
        </w:rPr>
        <w:t xml:space="preserve">reviews the key critique of </w:t>
      </w:r>
      <w:r w:rsidRPr="00433908">
        <w:rPr>
          <w:rFonts w:asciiTheme="majorBidi" w:hAnsiTheme="majorBidi" w:cstheme="majorBidi"/>
        </w:rPr>
        <w:t xml:space="preserve">the </w:t>
      </w:r>
      <w:r w:rsidR="00697439" w:rsidRPr="00433908">
        <w:rPr>
          <w:rFonts w:asciiTheme="majorBidi" w:hAnsiTheme="majorBidi" w:cstheme="majorBidi"/>
        </w:rPr>
        <w:t>empirical findings</w:t>
      </w:r>
      <w:r w:rsidR="001B478B">
        <w:rPr>
          <w:rFonts w:asciiTheme="majorBidi" w:hAnsiTheme="majorBidi" w:cstheme="majorBidi"/>
        </w:rPr>
        <w:t xml:space="preserve"> supporting the opposite theory, building mainly on </w:t>
      </w:r>
      <w:r w:rsidR="00DD5D21" w:rsidRPr="00433908">
        <w:rPr>
          <w:rFonts w:asciiTheme="majorBidi" w:hAnsiTheme="majorBidi" w:cstheme="majorBidi"/>
        </w:rPr>
        <w:t xml:space="preserve">Rock and </w:t>
      </w:r>
      <w:proofErr w:type="spellStart"/>
      <w:r w:rsidR="00DD5D21" w:rsidRPr="00433908">
        <w:rPr>
          <w:rFonts w:asciiTheme="majorBidi" w:hAnsiTheme="majorBidi" w:cstheme="majorBidi"/>
        </w:rPr>
        <w:t>Rubinfeld’s</w:t>
      </w:r>
      <w:proofErr w:type="spellEnd"/>
      <w:r w:rsidR="00DD5D21" w:rsidRPr="00433908">
        <w:rPr>
          <w:rFonts w:asciiTheme="majorBidi" w:hAnsiTheme="majorBidi" w:cstheme="majorBidi"/>
        </w:rPr>
        <w:t xml:space="preserve"> </w:t>
      </w:r>
      <w:r w:rsidR="001B478B">
        <w:rPr>
          <w:rFonts w:asciiTheme="majorBidi" w:hAnsiTheme="majorBidi" w:cstheme="majorBidi"/>
        </w:rPr>
        <w:t xml:space="preserve">comprehensive analysis of the shortcomings of </w:t>
      </w:r>
      <w:r w:rsidR="00DD5D21" w:rsidRPr="00433908">
        <w:rPr>
          <w:rFonts w:asciiTheme="majorBidi" w:hAnsiTheme="majorBidi" w:cstheme="majorBidi"/>
        </w:rPr>
        <w:t>th</w:t>
      </w:r>
      <w:r w:rsidR="001B478B">
        <w:rPr>
          <w:rFonts w:asciiTheme="majorBidi" w:hAnsiTheme="majorBidi" w:cstheme="majorBidi"/>
        </w:rPr>
        <w:t>ose empirical findings.</w:t>
      </w:r>
    </w:p>
    <w:p w14:paraId="0566D5CE" w14:textId="14E118FE" w:rsidR="00883AAE" w:rsidRPr="00433908" w:rsidRDefault="00883AAE" w:rsidP="00883AAE">
      <w:pPr>
        <w:jc w:val="both"/>
        <w:rPr>
          <w:rFonts w:asciiTheme="majorBidi" w:hAnsiTheme="majorBidi" w:cstheme="majorBidi"/>
        </w:rPr>
      </w:pPr>
    </w:p>
    <w:p w14:paraId="47B3D993" w14:textId="539D2AC4" w:rsidR="004A4BE5" w:rsidRPr="00433908" w:rsidRDefault="00883AAE" w:rsidP="00FC36E3">
      <w:pPr>
        <w:jc w:val="both"/>
        <w:rPr>
          <w:rFonts w:asciiTheme="majorBidi" w:hAnsiTheme="majorBidi" w:cstheme="majorBidi"/>
        </w:rPr>
      </w:pPr>
      <w:r w:rsidRPr="00433908">
        <w:rPr>
          <w:rFonts w:asciiTheme="majorBidi" w:hAnsiTheme="majorBidi" w:cstheme="majorBidi"/>
        </w:rPr>
        <w:t xml:space="preserve">Since the argument developed focuses on the </w:t>
      </w:r>
      <w:r w:rsidRPr="00433908">
        <w:rPr>
          <w:rFonts w:asciiTheme="majorBidi" w:hAnsiTheme="majorBidi" w:cstheme="majorBidi"/>
          <w:i/>
          <w:iCs/>
        </w:rPr>
        <w:t>mechanism</w:t>
      </w:r>
      <w:r w:rsidRPr="00433908">
        <w:rPr>
          <w:rFonts w:asciiTheme="majorBidi" w:hAnsiTheme="majorBidi" w:cstheme="majorBidi"/>
        </w:rPr>
        <w:t xml:space="preserve"> through which competition is thought to be harmed, it is necessary to delve into the precise mechanisms identified in the literature. To that end, it is </w:t>
      </w:r>
      <w:r w:rsidR="004F59F9" w:rsidRPr="00433908">
        <w:rPr>
          <w:rFonts w:asciiTheme="majorBidi" w:hAnsiTheme="majorBidi" w:cstheme="majorBidi"/>
        </w:rPr>
        <w:t xml:space="preserve">helpful to begin with the setting of a single retail investor holding stakes in competing firms, </w:t>
      </w:r>
      <w:r w:rsidR="002007A0" w:rsidRPr="00433908">
        <w:rPr>
          <w:rFonts w:asciiTheme="majorBidi" w:hAnsiTheme="majorBidi" w:cstheme="majorBidi"/>
        </w:rPr>
        <w:t xml:space="preserve">and </w:t>
      </w:r>
      <w:r w:rsidR="004F59F9" w:rsidRPr="00433908">
        <w:rPr>
          <w:rFonts w:asciiTheme="majorBidi" w:hAnsiTheme="majorBidi" w:cstheme="majorBidi"/>
        </w:rPr>
        <w:t xml:space="preserve">then proceed to the more complicated setting of a single </w:t>
      </w:r>
      <w:r w:rsidR="004F59F9" w:rsidRPr="00433908">
        <w:rPr>
          <w:rFonts w:asciiTheme="majorBidi" w:hAnsiTheme="majorBidi" w:cstheme="majorBidi"/>
          <w:i/>
          <w:iCs/>
        </w:rPr>
        <w:t>passive</w:t>
      </w:r>
      <w:r w:rsidR="0018388D" w:rsidRPr="00433908">
        <w:rPr>
          <w:rFonts w:asciiTheme="majorBidi" w:hAnsiTheme="majorBidi" w:cstheme="majorBidi"/>
          <w:i/>
          <w:iCs/>
        </w:rPr>
        <w:t>, non-controlling</w:t>
      </w:r>
      <w:r w:rsidR="004F59F9" w:rsidRPr="00433908">
        <w:rPr>
          <w:rFonts w:asciiTheme="majorBidi" w:hAnsiTheme="majorBidi" w:cstheme="majorBidi"/>
        </w:rPr>
        <w:t xml:space="preserve"> investor </w:t>
      </w:r>
      <w:r w:rsidR="003C3341" w:rsidRPr="00433908">
        <w:rPr>
          <w:rFonts w:asciiTheme="majorBidi" w:hAnsiTheme="majorBidi" w:cstheme="majorBidi"/>
        </w:rPr>
        <w:t>with</w:t>
      </w:r>
      <w:r w:rsidR="002007A0" w:rsidRPr="00433908">
        <w:rPr>
          <w:rFonts w:asciiTheme="majorBidi" w:hAnsiTheme="majorBidi" w:cstheme="majorBidi"/>
        </w:rPr>
        <w:t xml:space="preserve"> </w:t>
      </w:r>
      <w:r w:rsidR="00DD5D21" w:rsidRPr="00433908">
        <w:rPr>
          <w:rFonts w:asciiTheme="majorBidi" w:hAnsiTheme="majorBidi" w:cstheme="majorBidi"/>
        </w:rPr>
        <w:t>cross-holdings</w:t>
      </w:r>
      <w:r w:rsidR="002007A0" w:rsidRPr="00433908">
        <w:rPr>
          <w:rFonts w:asciiTheme="majorBidi" w:hAnsiTheme="majorBidi" w:cstheme="majorBidi"/>
        </w:rPr>
        <w:t xml:space="preserve"> in competing firms.</w:t>
      </w:r>
      <w:r w:rsidR="004F59F9" w:rsidRPr="00433908">
        <w:rPr>
          <w:rFonts w:asciiTheme="majorBidi" w:hAnsiTheme="majorBidi" w:cstheme="majorBidi"/>
        </w:rPr>
        <w:t xml:space="preserve"> </w:t>
      </w:r>
      <w:r w:rsidR="002007A0" w:rsidRPr="00433908">
        <w:rPr>
          <w:rFonts w:asciiTheme="majorBidi" w:hAnsiTheme="majorBidi" w:cstheme="majorBidi"/>
        </w:rPr>
        <w:t xml:space="preserve">Building on the analyses of these </w:t>
      </w:r>
      <w:r w:rsidR="00996012" w:rsidRPr="00433908">
        <w:rPr>
          <w:rFonts w:asciiTheme="majorBidi" w:hAnsiTheme="majorBidi" w:cstheme="majorBidi"/>
        </w:rPr>
        <w:t xml:space="preserve">two </w:t>
      </w:r>
      <w:r w:rsidR="002007A0" w:rsidRPr="00433908">
        <w:rPr>
          <w:rFonts w:asciiTheme="majorBidi" w:hAnsiTheme="majorBidi" w:cstheme="majorBidi"/>
        </w:rPr>
        <w:t xml:space="preserve">settings, </w:t>
      </w:r>
      <w:r w:rsidR="004F59F9" w:rsidRPr="00433908">
        <w:rPr>
          <w:rFonts w:asciiTheme="majorBidi" w:hAnsiTheme="majorBidi" w:cstheme="majorBidi"/>
        </w:rPr>
        <w:t xml:space="preserve">the </w:t>
      </w:r>
      <w:r w:rsidR="005824D4" w:rsidRPr="00433908">
        <w:rPr>
          <w:rFonts w:asciiTheme="majorBidi" w:hAnsiTheme="majorBidi" w:cstheme="majorBidi"/>
        </w:rPr>
        <w:t xml:space="preserve">more complex setting </w:t>
      </w:r>
      <w:r w:rsidR="004F59F9" w:rsidRPr="00433908">
        <w:rPr>
          <w:rFonts w:asciiTheme="majorBidi" w:hAnsiTheme="majorBidi" w:cstheme="majorBidi"/>
        </w:rPr>
        <w:t xml:space="preserve">of </w:t>
      </w:r>
      <w:r w:rsidR="004F59F9" w:rsidRPr="00433908">
        <w:rPr>
          <w:rFonts w:asciiTheme="majorBidi" w:hAnsiTheme="majorBidi" w:cstheme="majorBidi"/>
          <w:i/>
          <w:iCs/>
        </w:rPr>
        <w:t>several</w:t>
      </w:r>
      <w:r w:rsidR="004F59F9" w:rsidRPr="00433908">
        <w:rPr>
          <w:rFonts w:asciiTheme="majorBidi" w:hAnsiTheme="majorBidi" w:cstheme="majorBidi"/>
        </w:rPr>
        <w:t xml:space="preserve"> passive investors </w:t>
      </w:r>
      <w:r w:rsidR="003C3341" w:rsidRPr="00433908">
        <w:rPr>
          <w:rFonts w:asciiTheme="majorBidi" w:hAnsiTheme="majorBidi" w:cstheme="majorBidi"/>
        </w:rPr>
        <w:t>with</w:t>
      </w:r>
      <w:r w:rsidR="004F59F9" w:rsidRPr="00433908">
        <w:rPr>
          <w:rFonts w:asciiTheme="majorBidi" w:hAnsiTheme="majorBidi" w:cstheme="majorBidi"/>
        </w:rPr>
        <w:t xml:space="preserve"> </w:t>
      </w:r>
      <w:r w:rsidR="0018388D" w:rsidRPr="00433908">
        <w:rPr>
          <w:rFonts w:asciiTheme="majorBidi" w:hAnsiTheme="majorBidi" w:cstheme="majorBidi"/>
        </w:rPr>
        <w:t xml:space="preserve">non-controlling </w:t>
      </w:r>
      <w:r w:rsidR="004F59F9" w:rsidRPr="00433908">
        <w:rPr>
          <w:rFonts w:asciiTheme="majorBidi" w:hAnsiTheme="majorBidi" w:cstheme="majorBidi"/>
        </w:rPr>
        <w:t>stakes in competing firms</w:t>
      </w:r>
      <w:r w:rsidR="002007A0" w:rsidRPr="00433908">
        <w:rPr>
          <w:rFonts w:asciiTheme="majorBidi" w:hAnsiTheme="majorBidi" w:cstheme="majorBidi"/>
        </w:rPr>
        <w:t xml:space="preserve"> can then be introduced and analyzed</w:t>
      </w:r>
      <w:r w:rsidR="004F59F9" w:rsidRPr="00433908">
        <w:rPr>
          <w:rFonts w:asciiTheme="majorBidi" w:hAnsiTheme="majorBidi" w:cstheme="majorBidi"/>
        </w:rPr>
        <w:t>.</w:t>
      </w:r>
      <w:r w:rsidR="00621014" w:rsidRPr="00433908">
        <w:rPr>
          <w:rFonts w:asciiTheme="majorBidi" w:hAnsiTheme="majorBidi" w:cstheme="majorBidi"/>
        </w:rPr>
        <w:t xml:space="preserve"> This step-by-step analysis will help reveal the challenges to the hypotheses </w:t>
      </w:r>
      <w:r w:rsidR="00231E2C" w:rsidRPr="00433908">
        <w:rPr>
          <w:rFonts w:asciiTheme="majorBidi" w:hAnsiTheme="majorBidi" w:cstheme="majorBidi"/>
        </w:rPr>
        <w:t xml:space="preserve">regarding </w:t>
      </w:r>
      <w:r w:rsidR="00FC36E3">
        <w:rPr>
          <w:rFonts w:asciiTheme="majorBidi" w:hAnsiTheme="majorBidi" w:cstheme="majorBidi"/>
        </w:rPr>
        <w:t xml:space="preserve">cross ownership </w:t>
      </w:r>
      <w:r w:rsidR="00231E2C" w:rsidRPr="00433908">
        <w:rPr>
          <w:rFonts w:asciiTheme="majorBidi" w:hAnsiTheme="majorBidi" w:cstheme="majorBidi"/>
        </w:rPr>
        <w:t>and its anti-competitive potential.</w:t>
      </w:r>
    </w:p>
    <w:p w14:paraId="0DD9F30F" w14:textId="77777777" w:rsidR="00A72020" w:rsidRPr="00433908" w:rsidRDefault="00A72020" w:rsidP="00A72020">
      <w:pPr>
        <w:jc w:val="both"/>
        <w:rPr>
          <w:rFonts w:asciiTheme="majorBidi" w:hAnsiTheme="majorBidi" w:cstheme="majorBidi"/>
        </w:rPr>
      </w:pPr>
    </w:p>
    <w:p w14:paraId="512C792D" w14:textId="7D9C52C2" w:rsidR="001B3520" w:rsidRPr="00433908" w:rsidRDefault="001B3520" w:rsidP="00FC36E3">
      <w:pPr>
        <w:jc w:val="both"/>
        <w:rPr>
          <w:rFonts w:asciiTheme="majorBidi" w:hAnsiTheme="majorBidi" w:cstheme="majorBidi"/>
          <w:rtl/>
        </w:rPr>
      </w:pPr>
      <w:r w:rsidRPr="00433908">
        <w:rPr>
          <w:rFonts w:asciiTheme="majorBidi" w:hAnsiTheme="majorBidi" w:cstheme="majorBidi"/>
        </w:rPr>
        <w:t xml:space="preserve">The remainder of this Paper is structured as follows: chapter </w:t>
      </w:r>
      <w:r w:rsidRPr="00433908">
        <w:rPr>
          <w:rFonts w:asciiTheme="majorBidi" w:hAnsiTheme="majorBidi" w:cstheme="majorBidi"/>
          <w:i/>
          <w:iCs/>
        </w:rPr>
        <w:t>I</w:t>
      </w:r>
      <w:r w:rsidRPr="00433908">
        <w:rPr>
          <w:rFonts w:asciiTheme="majorBidi" w:hAnsiTheme="majorBidi" w:cstheme="majorBidi"/>
        </w:rPr>
        <w:t xml:space="preserve"> introduces the now-prevailing view according to which the phenomenon is harmful to competition; chapter </w:t>
      </w:r>
      <w:r w:rsidRPr="00433908">
        <w:rPr>
          <w:rFonts w:asciiTheme="majorBidi" w:hAnsiTheme="majorBidi" w:cstheme="majorBidi"/>
          <w:i/>
          <w:iCs/>
        </w:rPr>
        <w:t>II</w:t>
      </w:r>
      <w:r w:rsidRPr="00433908">
        <w:rPr>
          <w:rFonts w:asciiTheme="majorBidi" w:hAnsiTheme="majorBidi" w:cstheme="majorBidi"/>
        </w:rPr>
        <w:t xml:space="preserve"> develops the key hypothesis of this Paper. It challenges the arguments presented in chapter </w:t>
      </w:r>
      <w:r w:rsidRPr="00433908">
        <w:rPr>
          <w:rFonts w:asciiTheme="majorBidi" w:hAnsiTheme="majorBidi" w:cstheme="majorBidi"/>
          <w:i/>
          <w:iCs/>
        </w:rPr>
        <w:t>I</w:t>
      </w:r>
      <w:r w:rsidRPr="00433908">
        <w:rPr>
          <w:rFonts w:asciiTheme="majorBidi" w:hAnsiTheme="majorBidi" w:cstheme="majorBidi"/>
        </w:rPr>
        <w:t>, and attempts to demonstrate that there are no anti-competitive outcomes that are attr</w:t>
      </w:r>
      <w:r w:rsidR="00883AAE" w:rsidRPr="00433908">
        <w:rPr>
          <w:rFonts w:asciiTheme="majorBidi" w:hAnsiTheme="majorBidi" w:cstheme="majorBidi"/>
        </w:rPr>
        <w:t xml:space="preserve">ibutable to truly passive </w:t>
      </w:r>
      <w:r w:rsidR="00B26F9E" w:rsidRPr="00433908">
        <w:rPr>
          <w:rFonts w:asciiTheme="majorBidi" w:hAnsiTheme="majorBidi" w:cstheme="majorBidi"/>
        </w:rPr>
        <w:t>c</w:t>
      </w:r>
      <w:r w:rsidR="00DD5D21" w:rsidRPr="00433908">
        <w:rPr>
          <w:rFonts w:asciiTheme="majorBidi" w:hAnsiTheme="majorBidi" w:cstheme="majorBidi"/>
        </w:rPr>
        <w:t>ommon ownership of stock</w:t>
      </w:r>
      <w:r w:rsidRPr="00433908">
        <w:rPr>
          <w:rFonts w:asciiTheme="majorBidi" w:hAnsiTheme="majorBidi" w:cstheme="majorBidi"/>
        </w:rPr>
        <w:t xml:space="preserve">. Chapter </w:t>
      </w:r>
      <w:r w:rsidRPr="00433908">
        <w:rPr>
          <w:rFonts w:asciiTheme="majorBidi" w:hAnsiTheme="majorBidi" w:cstheme="majorBidi"/>
          <w:i/>
          <w:iCs/>
        </w:rPr>
        <w:t xml:space="preserve">III </w:t>
      </w:r>
      <w:r w:rsidRPr="00433908">
        <w:rPr>
          <w:rFonts w:asciiTheme="majorBidi" w:hAnsiTheme="majorBidi" w:cstheme="majorBidi"/>
        </w:rPr>
        <w:t>briefly discusses th</w:t>
      </w:r>
      <w:r w:rsidR="00697439" w:rsidRPr="00433908">
        <w:rPr>
          <w:rFonts w:asciiTheme="majorBidi" w:hAnsiTheme="majorBidi" w:cstheme="majorBidi"/>
        </w:rPr>
        <w:t>e empirical evidence</w:t>
      </w:r>
      <w:r w:rsidR="00FC36E3">
        <w:rPr>
          <w:rFonts w:asciiTheme="majorBidi" w:hAnsiTheme="majorBidi" w:cstheme="majorBidi"/>
        </w:rPr>
        <w:t>.</w:t>
      </w:r>
      <w:r w:rsidR="00DD5D21" w:rsidRPr="00433908">
        <w:rPr>
          <w:rFonts w:asciiTheme="majorBidi" w:hAnsiTheme="majorBidi" w:cstheme="majorBidi"/>
        </w:rPr>
        <w:t xml:space="preserve"> </w:t>
      </w:r>
      <w:r w:rsidR="00FC36E3">
        <w:rPr>
          <w:rFonts w:asciiTheme="majorBidi" w:hAnsiTheme="majorBidi" w:cstheme="majorBidi"/>
        </w:rPr>
        <w:t xml:space="preserve">It reviews </w:t>
      </w:r>
      <w:r w:rsidR="00DD5D21" w:rsidRPr="00433908">
        <w:rPr>
          <w:rFonts w:asciiTheme="majorBidi" w:hAnsiTheme="majorBidi" w:cstheme="majorBidi"/>
        </w:rPr>
        <w:t xml:space="preserve">the criticism of the empirical findings </w:t>
      </w:r>
      <w:r w:rsidR="00FC36E3">
        <w:rPr>
          <w:rFonts w:asciiTheme="majorBidi" w:hAnsiTheme="majorBidi" w:cstheme="majorBidi"/>
        </w:rPr>
        <w:t xml:space="preserve">of competitive harm resulting from cross ownership, </w:t>
      </w:r>
      <w:r w:rsidR="00DD5D21" w:rsidRPr="00433908">
        <w:rPr>
          <w:rFonts w:asciiTheme="majorBidi" w:hAnsiTheme="majorBidi" w:cstheme="majorBidi"/>
        </w:rPr>
        <w:t xml:space="preserve">advanced by </w:t>
      </w:r>
      <w:proofErr w:type="spellStart"/>
      <w:r w:rsidR="004E2D67">
        <w:rPr>
          <w:rFonts w:asciiTheme="majorBidi" w:hAnsiTheme="majorBidi" w:cstheme="majorBidi"/>
        </w:rPr>
        <w:t>O’brien</w:t>
      </w:r>
      <w:proofErr w:type="spellEnd"/>
      <w:r w:rsidR="004E2D67">
        <w:rPr>
          <w:rFonts w:asciiTheme="majorBidi" w:hAnsiTheme="majorBidi" w:cstheme="majorBidi"/>
        </w:rPr>
        <w:t xml:space="preserve"> and </w:t>
      </w:r>
      <w:proofErr w:type="spellStart"/>
      <w:r w:rsidR="004E2D67">
        <w:rPr>
          <w:rFonts w:asciiTheme="majorBidi" w:hAnsiTheme="majorBidi" w:cstheme="majorBidi"/>
        </w:rPr>
        <w:t>Waehrer</w:t>
      </w:r>
      <w:proofErr w:type="spellEnd"/>
      <w:r w:rsidR="004E2D67" w:rsidRPr="00433908">
        <w:rPr>
          <w:rFonts w:asciiTheme="majorBidi" w:hAnsiTheme="majorBidi" w:cstheme="majorBidi"/>
        </w:rPr>
        <w:t xml:space="preserve"> </w:t>
      </w:r>
      <w:r w:rsidR="004E2D67">
        <w:rPr>
          <w:rFonts w:asciiTheme="majorBidi" w:hAnsiTheme="majorBidi" w:cstheme="majorBidi"/>
        </w:rPr>
        <w:t xml:space="preserve">and by </w:t>
      </w:r>
      <w:r w:rsidR="00DD5D21" w:rsidRPr="00433908">
        <w:rPr>
          <w:rFonts w:asciiTheme="majorBidi" w:hAnsiTheme="majorBidi" w:cstheme="majorBidi"/>
        </w:rPr>
        <w:t xml:space="preserve">Rock and </w:t>
      </w:r>
      <w:proofErr w:type="spellStart"/>
      <w:r w:rsidR="00DD5D21" w:rsidRPr="00433908">
        <w:rPr>
          <w:rFonts w:asciiTheme="majorBidi" w:hAnsiTheme="majorBidi" w:cstheme="majorBidi"/>
        </w:rPr>
        <w:t>Rubinfeld</w:t>
      </w:r>
      <w:proofErr w:type="spellEnd"/>
      <w:r w:rsidR="00FC36E3">
        <w:rPr>
          <w:rFonts w:asciiTheme="majorBidi" w:hAnsiTheme="majorBidi" w:cstheme="majorBidi"/>
        </w:rPr>
        <w:t xml:space="preserve">. It also reviews </w:t>
      </w:r>
      <w:r w:rsidR="004E2D67">
        <w:rPr>
          <w:rFonts w:asciiTheme="majorBidi" w:hAnsiTheme="majorBidi" w:cstheme="majorBidi"/>
        </w:rPr>
        <w:t>the newer (opposite) findings</w:t>
      </w:r>
      <w:r w:rsidR="00DD5D21" w:rsidRPr="00433908">
        <w:rPr>
          <w:rFonts w:asciiTheme="majorBidi" w:hAnsiTheme="majorBidi" w:cstheme="majorBidi"/>
        </w:rPr>
        <w:t>.</w:t>
      </w:r>
      <w:r w:rsidR="00697439" w:rsidRPr="00433908">
        <w:rPr>
          <w:rFonts w:asciiTheme="majorBidi" w:hAnsiTheme="majorBidi" w:cstheme="majorBidi"/>
        </w:rPr>
        <w:t xml:space="preserve"> </w:t>
      </w:r>
      <w:r w:rsidR="004E2D67">
        <w:rPr>
          <w:rFonts w:asciiTheme="majorBidi" w:hAnsiTheme="majorBidi" w:cstheme="majorBidi"/>
        </w:rPr>
        <w:t xml:space="preserve">While additional empirical work is undoubtedly called for, the theory advanced in the current Paper seems well-supported by the most recent empirical studies. </w:t>
      </w:r>
      <w:r w:rsidRPr="00433908">
        <w:rPr>
          <w:rFonts w:asciiTheme="majorBidi" w:hAnsiTheme="majorBidi" w:cstheme="majorBidi"/>
        </w:rPr>
        <w:t xml:space="preserve">Chapter </w:t>
      </w:r>
      <w:r w:rsidRPr="00433908">
        <w:rPr>
          <w:rFonts w:asciiTheme="majorBidi" w:hAnsiTheme="majorBidi" w:cstheme="majorBidi"/>
          <w:i/>
          <w:iCs/>
        </w:rPr>
        <w:t>IV</w:t>
      </w:r>
      <w:r w:rsidRPr="00433908">
        <w:rPr>
          <w:rFonts w:asciiTheme="majorBidi" w:hAnsiTheme="majorBidi" w:cstheme="majorBidi"/>
        </w:rPr>
        <w:t xml:space="preserve"> concludes.</w:t>
      </w:r>
      <w:r w:rsidR="004E2D67">
        <w:rPr>
          <w:rFonts w:asciiTheme="majorBidi" w:hAnsiTheme="majorBidi" w:cstheme="majorBidi"/>
        </w:rPr>
        <w:t xml:space="preserve"> </w:t>
      </w:r>
    </w:p>
    <w:p w14:paraId="6C656802" w14:textId="77777777" w:rsidR="005B635D" w:rsidRPr="00433908" w:rsidRDefault="005B635D" w:rsidP="00965E04">
      <w:pPr>
        <w:jc w:val="both"/>
        <w:rPr>
          <w:rFonts w:asciiTheme="majorBidi" w:hAnsiTheme="majorBidi" w:cstheme="majorBidi"/>
          <w:b/>
          <w:bCs/>
          <w:i/>
          <w:iCs/>
          <w:u w:val="single"/>
        </w:rPr>
      </w:pPr>
    </w:p>
    <w:p w14:paraId="24E9768B" w14:textId="05A81212" w:rsidR="005B635D" w:rsidRPr="00433908" w:rsidRDefault="007F5ACF" w:rsidP="00965E04">
      <w:pPr>
        <w:jc w:val="both"/>
        <w:rPr>
          <w:rFonts w:asciiTheme="majorBidi" w:hAnsiTheme="majorBidi" w:cstheme="majorBidi"/>
          <w:b/>
          <w:bCs/>
          <w:i/>
          <w:iCs/>
          <w:u w:val="single"/>
        </w:rPr>
      </w:pPr>
      <w:r w:rsidRPr="00433908">
        <w:rPr>
          <w:rFonts w:asciiTheme="majorBidi" w:hAnsiTheme="majorBidi" w:cstheme="majorBidi"/>
          <w:b/>
          <w:bCs/>
          <w:i/>
          <w:iCs/>
          <w:u w:val="single"/>
        </w:rPr>
        <w:br w:type="column"/>
      </w:r>
    </w:p>
    <w:p w14:paraId="55EA396F" w14:textId="19D00FA3" w:rsidR="004A4BE5" w:rsidRPr="00433908" w:rsidRDefault="005B635D" w:rsidP="003D0E4B">
      <w:pPr>
        <w:pStyle w:val="a"/>
        <w:numPr>
          <w:ilvl w:val="0"/>
          <w:numId w:val="14"/>
        </w:numPr>
      </w:pPr>
      <w:r w:rsidRPr="00433908">
        <w:t>The Theory of Competitive Harm</w:t>
      </w:r>
    </w:p>
    <w:p w14:paraId="7D7E061D" w14:textId="77777777" w:rsidR="001C6816" w:rsidRPr="00433908" w:rsidRDefault="001C6816" w:rsidP="001C6816">
      <w:pPr>
        <w:jc w:val="both"/>
        <w:rPr>
          <w:rFonts w:asciiTheme="majorBidi" w:hAnsiTheme="majorBidi" w:cstheme="majorBidi"/>
        </w:rPr>
      </w:pPr>
    </w:p>
    <w:p w14:paraId="0F263B00" w14:textId="77777777" w:rsidR="001C6816" w:rsidRPr="00433908" w:rsidRDefault="00EB05A3" w:rsidP="001C6816">
      <w:pPr>
        <w:jc w:val="both"/>
        <w:rPr>
          <w:rFonts w:asciiTheme="majorBidi" w:hAnsiTheme="majorBidi" w:cstheme="majorBidi"/>
        </w:rPr>
      </w:pPr>
      <w:r w:rsidRPr="00433908">
        <w:rPr>
          <w:rFonts w:asciiTheme="majorBidi" w:hAnsiTheme="majorBidi" w:cstheme="majorBidi"/>
        </w:rPr>
        <w:t xml:space="preserve">Before proceeding, </w:t>
      </w:r>
      <w:r w:rsidR="001C6816" w:rsidRPr="00433908">
        <w:rPr>
          <w:rFonts w:asciiTheme="majorBidi" w:hAnsiTheme="majorBidi" w:cstheme="majorBidi"/>
        </w:rPr>
        <w:t>two preliminary notes with respect to the structure of the product market are in order.</w:t>
      </w:r>
    </w:p>
    <w:p w14:paraId="3F77D596" w14:textId="449F69DF" w:rsidR="001C6816" w:rsidRPr="00433908" w:rsidRDefault="001C6816" w:rsidP="00DC3534">
      <w:pPr>
        <w:jc w:val="both"/>
        <w:rPr>
          <w:rFonts w:asciiTheme="majorBidi" w:hAnsiTheme="majorBidi" w:cstheme="majorBidi"/>
          <w:rtl/>
        </w:rPr>
      </w:pPr>
      <w:r w:rsidRPr="00433908">
        <w:rPr>
          <w:rFonts w:asciiTheme="majorBidi" w:hAnsiTheme="majorBidi" w:cstheme="majorBidi"/>
        </w:rPr>
        <w:t>First, the analysis developed in the literature is irrelevant to competitive product markets. Settings in which there are numerous competitors are settings in which competition is less likely to be chilled, specifically absent express coordination and agreed-upon enforcement mechanisms.</w:t>
      </w:r>
      <w:r w:rsidRPr="00433908">
        <w:rPr>
          <w:rStyle w:val="FootnoteReference"/>
          <w:rFonts w:asciiTheme="majorBidi" w:hAnsiTheme="majorBidi" w:cstheme="majorBidi"/>
        </w:rPr>
        <w:footnoteReference w:id="40"/>
      </w:r>
      <w:r w:rsidRPr="00433908">
        <w:rPr>
          <w:rFonts w:asciiTheme="majorBidi" w:hAnsiTheme="majorBidi" w:cstheme="majorBidi"/>
        </w:rPr>
        <w:t xml:space="preserve"> All agree that a prerequisite for competitive harm stemming from </w:t>
      </w:r>
      <w:r w:rsidR="00B26F9E" w:rsidRPr="00433908">
        <w:rPr>
          <w:rFonts w:asciiTheme="majorBidi" w:hAnsiTheme="majorBidi" w:cstheme="majorBidi"/>
        </w:rPr>
        <w:t>c</w:t>
      </w:r>
      <w:r w:rsidR="00DC3534" w:rsidRPr="00433908">
        <w:rPr>
          <w:rFonts w:asciiTheme="majorBidi" w:hAnsiTheme="majorBidi" w:cstheme="majorBidi"/>
        </w:rPr>
        <w:t>ommon ownership</w:t>
      </w:r>
      <w:r w:rsidRPr="00433908">
        <w:rPr>
          <w:rFonts w:asciiTheme="majorBidi" w:hAnsiTheme="majorBidi" w:cstheme="majorBidi"/>
        </w:rPr>
        <w:t xml:space="preserve"> is that the product market in </w:t>
      </w:r>
      <w:r w:rsidR="00883AAE" w:rsidRPr="00433908">
        <w:rPr>
          <w:rFonts w:asciiTheme="majorBidi" w:hAnsiTheme="majorBidi" w:cstheme="majorBidi"/>
        </w:rPr>
        <w:t xml:space="preserve">which investors </w:t>
      </w:r>
      <w:r w:rsidR="00DC3534" w:rsidRPr="00433908">
        <w:rPr>
          <w:rFonts w:asciiTheme="majorBidi" w:hAnsiTheme="majorBidi" w:cstheme="majorBidi"/>
        </w:rPr>
        <w:t xml:space="preserve">own stock </w:t>
      </w:r>
      <w:r w:rsidRPr="00433908">
        <w:rPr>
          <w:rFonts w:asciiTheme="majorBidi" w:hAnsiTheme="majorBidi" w:cstheme="majorBidi"/>
        </w:rPr>
        <w:t>be a concentrated one.</w:t>
      </w:r>
      <w:r w:rsidRPr="00433908">
        <w:rPr>
          <w:rStyle w:val="FootnoteReference"/>
          <w:rFonts w:asciiTheme="majorBidi" w:hAnsiTheme="majorBidi" w:cstheme="majorBidi"/>
        </w:rPr>
        <w:footnoteReference w:id="41"/>
      </w:r>
      <w:r w:rsidRPr="00433908">
        <w:rPr>
          <w:rFonts w:asciiTheme="majorBidi" w:hAnsiTheme="majorBidi" w:cstheme="majorBidi"/>
        </w:rPr>
        <w:t xml:space="preserve"> Following the analyses developed in recent writings, this Paper too focuses on product markets in which competition is of an oligopolistic nature. For ease of exposition, I normally use the case of a </w:t>
      </w:r>
      <w:r w:rsidR="001A7EA0" w:rsidRPr="00433908">
        <w:rPr>
          <w:rFonts w:asciiTheme="majorBidi" w:hAnsiTheme="majorBidi" w:cstheme="majorBidi"/>
        </w:rPr>
        <w:t xml:space="preserve">product-market </w:t>
      </w:r>
      <w:r w:rsidRPr="00433908">
        <w:rPr>
          <w:rFonts w:asciiTheme="majorBidi" w:hAnsiTheme="majorBidi" w:cstheme="majorBidi"/>
        </w:rPr>
        <w:t xml:space="preserve">duopoly, a two-firm industry. The analysis is equally applicable to other </w:t>
      </w:r>
      <w:r w:rsidR="00CE69F1" w:rsidRPr="00433908">
        <w:rPr>
          <w:rFonts w:asciiTheme="majorBidi" w:hAnsiTheme="majorBidi" w:cstheme="majorBidi"/>
        </w:rPr>
        <w:t xml:space="preserve">highly concentrated markets, which translates into markets with up to four major </w:t>
      </w:r>
      <w:r w:rsidR="0018388D" w:rsidRPr="00433908">
        <w:rPr>
          <w:rFonts w:asciiTheme="majorBidi" w:hAnsiTheme="majorBidi" w:cstheme="majorBidi"/>
        </w:rPr>
        <w:t>competitors</w:t>
      </w:r>
      <w:r w:rsidR="00CE69F1" w:rsidRPr="00433908">
        <w:rPr>
          <w:rFonts w:asciiTheme="majorBidi" w:hAnsiTheme="majorBidi" w:cstheme="majorBidi"/>
        </w:rPr>
        <w:t>.</w:t>
      </w:r>
      <w:r w:rsidRPr="00433908">
        <w:rPr>
          <w:rStyle w:val="FootnoteReference"/>
          <w:rFonts w:asciiTheme="majorBidi" w:hAnsiTheme="majorBidi" w:cstheme="majorBidi"/>
        </w:rPr>
        <w:footnoteReference w:id="42"/>
      </w:r>
      <w:r w:rsidR="00CE69F1" w:rsidRPr="00433908">
        <w:rPr>
          <w:rFonts w:asciiTheme="majorBidi" w:hAnsiTheme="majorBidi" w:cstheme="majorBidi"/>
        </w:rPr>
        <w:t xml:space="preserve"> Of course, the ‘but-for’ quantity-price equilibria</w:t>
      </w:r>
      <w:r w:rsidR="00453B80" w:rsidRPr="00433908">
        <w:rPr>
          <w:rFonts w:asciiTheme="majorBidi" w:hAnsiTheme="majorBidi" w:cstheme="majorBidi"/>
        </w:rPr>
        <w:t xml:space="preserve"> might be different; </w:t>
      </w:r>
      <w:r w:rsidR="00CE69F1" w:rsidRPr="00433908">
        <w:rPr>
          <w:rFonts w:asciiTheme="majorBidi" w:hAnsiTheme="majorBidi" w:cstheme="majorBidi"/>
        </w:rPr>
        <w:t>that is</w:t>
      </w:r>
      <w:r w:rsidR="00453B80" w:rsidRPr="00433908">
        <w:rPr>
          <w:rFonts w:asciiTheme="majorBidi" w:hAnsiTheme="majorBidi" w:cstheme="majorBidi"/>
        </w:rPr>
        <w:t>,</w:t>
      </w:r>
      <w:r w:rsidR="00CE69F1" w:rsidRPr="00433908">
        <w:rPr>
          <w:rFonts w:asciiTheme="majorBidi" w:hAnsiTheme="majorBidi" w:cstheme="majorBidi"/>
        </w:rPr>
        <w:t xml:space="preserve"> the equilibri</w:t>
      </w:r>
      <w:r w:rsidR="00453B80" w:rsidRPr="00433908">
        <w:rPr>
          <w:rFonts w:asciiTheme="majorBidi" w:hAnsiTheme="majorBidi" w:cstheme="majorBidi"/>
        </w:rPr>
        <w:t>um</w:t>
      </w:r>
      <w:r w:rsidR="008C6D2E" w:rsidRPr="00433908">
        <w:rPr>
          <w:rFonts w:asciiTheme="majorBidi" w:hAnsiTheme="majorBidi" w:cstheme="majorBidi"/>
        </w:rPr>
        <w:t xml:space="preserve"> in a </w:t>
      </w:r>
      <w:r w:rsidR="0081099D" w:rsidRPr="00433908">
        <w:rPr>
          <w:rFonts w:asciiTheme="majorBidi" w:hAnsiTheme="majorBidi" w:cstheme="majorBidi"/>
        </w:rPr>
        <w:t>three</w:t>
      </w:r>
      <w:r w:rsidR="004E2287" w:rsidRPr="00433908">
        <w:rPr>
          <w:rFonts w:asciiTheme="majorBidi" w:hAnsiTheme="majorBidi" w:cstheme="majorBidi"/>
        </w:rPr>
        <w:t>-firm oligopoly</w:t>
      </w:r>
      <w:r w:rsidR="008C6D2E" w:rsidRPr="00433908">
        <w:rPr>
          <w:rFonts w:asciiTheme="majorBidi" w:hAnsiTheme="majorBidi" w:cstheme="majorBidi"/>
        </w:rPr>
        <w:t xml:space="preserve"> </w:t>
      </w:r>
      <w:r w:rsidR="00453B80" w:rsidRPr="00433908">
        <w:rPr>
          <w:rFonts w:asciiTheme="majorBidi" w:hAnsiTheme="majorBidi" w:cstheme="majorBidi"/>
        </w:rPr>
        <w:t xml:space="preserve">may be different than </w:t>
      </w:r>
      <w:r w:rsidR="008C6D2E" w:rsidRPr="00433908">
        <w:rPr>
          <w:rFonts w:asciiTheme="majorBidi" w:hAnsiTheme="majorBidi" w:cstheme="majorBidi"/>
        </w:rPr>
        <w:t>the equilib</w:t>
      </w:r>
      <w:r w:rsidR="00453B80" w:rsidRPr="00433908">
        <w:rPr>
          <w:rFonts w:asciiTheme="majorBidi" w:hAnsiTheme="majorBidi" w:cstheme="majorBidi"/>
        </w:rPr>
        <w:t xml:space="preserve">rium in a </w:t>
      </w:r>
      <w:r w:rsidR="00DB456B" w:rsidRPr="00433908">
        <w:rPr>
          <w:rFonts w:asciiTheme="majorBidi" w:hAnsiTheme="majorBidi" w:cstheme="majorBidi"/>
        </w:rPr>
        <w:t xml:space="preserve">duopoly </w:t>
      </w:r>
      <w:r w:rsidR="00453B80" w:rsidRPr="00433908">
        <w:rPr>
          <w:rFonts w:asciiTheme="majorBidi" w:hAnsiTheme="majorBidi" w:cstheme="majorBidi"/>
        </w:rPr>
        <w:t xml:space="preserve">or </w:t>
      </w:r>
      <w:r w:rsidR="00DB456B" w:rsidRPr="00433908">
        <w:rPr>
          <w:rFonts w:asciiTheme="majorBidi" w:hAnsiTheme="majorBidi" w:cstheme="majorBidi"/>
        </w:rPr>
        <w:t xml:space="preserve">a </w:t>
      </w:r>
      <w:r w:rsidR="00453B80" w:rsidRPr="00433908">
        <w:rPr>
          <w:rFonts w:asciiTheme="majorBidi" w:hAnsiTheme="majorBidi" w:cstheme="majorBidi"/>
        </w:rPr>
        <w:t>four-firm industry.</w:t>
      </w:r>
      <w:r w:rsidR="00DD0146" w:rsidRPr="00433908">
        <w:rPr>
          <w:rStyle w:val="FootnoteReference"/>
          <w:rFonts w:asciiTheme="majorBidi" w:hAnsiTheme="majorBidi" w:cstheme="majorBidi"/>
        </w:rPr>
        <w:footnoteReference w:id="43"/>
      </w:r>
      <w:r w:rsidR="00453B80" w:rsidRPr="00433908">
        <w:rPr>
          <w:rFonts w:asciiTheme="majorBidi" w:hAnsiTheme="majorBidi" w:cstheme="majorBidi"/>
        </w:rPr>
        <w:t xml:space="preserve"> But in terms of the effects </w:t>
      </w:r>
      <w:r w:rsidR="00B26F9E" w:rsidRPr="00433908">
        <w:rPr>
          <w:rFonts w:asciiTheme="majorBidi" w:hAnsiTheme="majorBidi" w:cstheme="majorBidi"/>
        </w:rPr>
        <w:t>c</w:t>
      </w:r>
      <w:r w:rsidR="00DC3534" w:rsidRPr="00433908">
        <w:rPr>
          <w:rFonts w:asciiTheme="majorBidi" w:hAnsiTheme="majorBidi" w:cstheme="majorBidi"/>
        </w:rPr>
        <w:t xml:space="preserve">ommon ownership </w:t>
      </w:r>
      <w:r w:rsidR="00453B80" w:rsidRPr="00433908">
        <w:rPr>
          <w:rFonts w:asciiTheme="majorBidi" w:hAnsiTheme="majorBidi" w:cstheme="majorBidi"/>
        </w:rPr>
        <w:t>has on competition, the analysis is no different.</w:t>
      </w:r>
    </w:p>
    <w:p w14:paraId="76DDB369" w14:textId="6F5A113B" w:rsidR="005B635D" w:rsidRPr="00433908" w:rsidRDefault="001C6816" w:rsidP="004F3B13">
      <w:pPr>
        <w:jc w:val="both"/>
        <w:rPr>
          <w:rFonts w:asciiTheme="majorBidi" w:hAnsiTheme="majorBidi" w:cstheme="majorBidi"/>
        </w:rPr>
      </w:pPr>
      <w:r w:rsidRPr="00433908">
        <w:rPr>
          <w:rFonts w:asciiTheme="majorBidi" w:hAnsiTheme="majorBidi" w:cstheme="majorBidi"/>
        </w:rPr>
        <w:t xml:space="preserve">A second note, closely related to the first one, is that the analysis developed in this Paper is not to be taken to suggest that markets in which institutional investors are found </w:t>
      </w:r>
      <w:r w:rsidR="00DC3534" w:rsidRPr="00433908">
        <w:rPr>
          <w:rFonts w:asciiTheme="majorBidi" w:hAnsiTheme="majorBidi" w:cstheme="majorBidi"/>
        </w:rPr>
        <w:t xml:space="preserve">to commonly own stock </w:t>
      </w:r>
      <w:r w:rsidRPr="00433908">
        <w:rPr>
          <w:rFonts w:asciiTheme="majorBidi" w:hAnsiTheme="majorBidi" w:cstheme="majorBidi"/>
        </w:rPr>
        <w:t xml:space="preserve">are </w:t>
      </w:r>
      <w:r w:rsidR="004F3B13">
        <w:rPr>
          <w:rFonts w:asciiTheme="majorBidi" w:hAnsiTheme="majorBidi" w:cstheme="majorBidi"/>
        </w:rPr>
        <w:t xml:space="preserve">necessarily </w:t>
      </w:r>
      <w:r w:rsidRPr="00433908">
        <w:rPr>
          <w:rFonts w:asciiTheme="majorBidi" w:hAnsiTheme="majorBidi" w:cstheme="majorBidi"/>
        </w:rPr>
        <w:t>competitive. Re</w:t>
      </w:r>
      <w:r w:rsidR="00453B80" w:rsidRPr="00433908">
        <w:rPr>
          <w:rFonts w:asciiTheme="majorBidi" w:hAnsiTheme="majorBidi" w:cstheme="majorBidi"/>
        </w:rPr>
        <w:t xml:space="preserve">gardless of </w:t>
      </w:r>
      <w:r w:rsidR="00B26F9E" w:rsidRPr="00433908">
        <w:rPr>
          <w:rFonts w:asciiTheme="majorBidi" w:hAnsiTheme="majorBidi" w:cstheme="majorBidi"/>
        </w:rPr>
        <w:t>c</w:t>
      </w:r>
      <w:r w:rsidR="00DC3534" w:rsidRPr="00433908">
        <w:rPr>
          <w:rFonts w:asciiTheme="majorBidi" w:hAnsiTheme="majorBidi" w:cstheme="majorBidi"/>
        </w:rPr>
        <w:t>ommon ownership</w:t>
      </w:r>
      <w:r w:rsidRPr="00433908">
        <w:rPr>
          <w:rFonts w:asciiTheme="majorBidi" w:hAnsiTheme="majorBidi" w:cstheme="majorBidi"/>
        </w:rPr>
        <w:t>, tacit collusion (which is generally legal)</w:t>
      </w:r>
      <w:bookmarkStart w:id="16" w:name="_Ref500159198"/>
      <w:r w:rsidRPr="00433908">
        <w:rPr>
          <w:rStyle w:val="FootnoteReference"/>
          <w:rFonts w:asciiTheme="majorBidi" w:hAnsiTheme="majorBidi" w:cstheme="majorBidi"/>
        </w:rPr>
        <w:footnoteReference w:id="44"/>
      </w:r>
      <w:bookmarkEnd w:id="16"/>
      <w:r w:rsidRPr="00433908">
        <w:rPr>
          <w:rFonts w:asciiTheme="majorBidi" w:hAnsiTheme="majorBidi" w:cstheme="majorBidi"/>
        </w:rPr>
        <w:t xml:space="preserve"> occurs in concentrated product markets. Neither the existence of tacit collusion nor </w:t>
      </w:r>
      <w:r w:rsidR="00453B80" w:rsidRPr="00433908">
        <w:rPr>
          <w:rFonts w:asciiTheme="majorBidi" w:hAnsiTheme="majorBidi" w:cstheme="majorBidi"/>
        </w:rPr>
        <w:t xml:space="preserve">the concomitant supra-competitive pricing </w:t>
      </w:r>
      <w:r w:rsidRPr="00433908">
        <w:rPr>
          <w:rFonts w:asciiTheme="majorBidi" w:hAnsiTheme="majorBidi" w:cstheme="majorBidi"/>
        </w:rPr>
        <w:t>are in any way challenged.</w:t>
      </w:r>
      <w:r w:rsidR="001A7397" w:rsidRPr="00433908">
        <w:rPr>
          <w:rFonts w:asciiTheme="majorBidi" w:hAnsiTheme="majorBidi" w:cstheme="majorBidi"/>
        </w:rPr>
        <w:t xml:space="preserve"> Moreover, there might even be reason to expect firms in oligopolistic markets to be over-represented in institutional investors’ portfolios.</w:t>
      </w:r>
      <w:r w:rsidRPr="00433908">
        <w:rPr>
          <w:rStyle w:val="FootnoteReference"/>
          <w:rFonts w:asciiTheme="majorBidi" w:hAnsiTheme="majorBidi" w:cstheme="majorBidi"/>
        </w:rPr>
        <w:footnoteReference w:id="45"/>
      </w:r>
      <w:r w:rsidR="00F36102" w:rsidRPr="00433908">
        <w:rPr>
          <w:rFonts w:asciiTheme="majorBidi" w:hAnsiTheme="majorBidi" w:cstheme="majorBidi"/>
        </w:rPr>
        <w:t xml:space="preserve"> This Paper does not suggest in any way that firms in which institutional investors </w:t>
      </w:r>
      <w:r w:rsidR="00ED6B76" w:rsidRPr="00433908">
        <w:rPr>
          <w:rFonts w:asciiTheme="majorBidi" w:hAnsiTheme="majorBidi" w:cstheme="majorBidi"/>
        </w:rPr>
        <w:t xml:space="preserve">are invested are typically in fierce </w:t>
      </w:r>
      <w:r w:rsidR="00D55A4D" w:rsidRPr="00433908">
        <w:rPr>
          <w:rFonts w:asciiTheme="majorBidi" w:hAnsiTheme="majorBidi" w:cstheme="majorBidi"/>
        </w:rPr>
        <w:t xml:space="preserve">product-market </w:t>
      </w:r>
      <w:r w:rsidR="00ED6B76" w:rsidRPr="00433908">
        <w:rPr>
          <w:rFonts w:asciiTheme="majorBidi" w:hAnsiTheme="majorBidi" w:cstheme="majorBidi"/>
        </w:rPr>
        <w:t xml:space="preserve">competition. </w:t>
      </w:r>
      <w:r w:rsidRPr="00433908">
        <w:rPr>
          <w:rFonts w:asciiTheme="majorBidi" w:hAnsiTheme="majorBidi" w:cstheme="majorBidi"/>
        </w:rPr>
        <w:t xml:space="preserve">But the argument </w:t>
      </w:r>
      <w:r w:rsidR="000E0333" w:rsidRPr="00433908">
        <w:rPr>
          <w:rFonts w:asciiTheme="majorBidi" w:hAnsiTheme="majorBidi" w:cstheme="majorBidi"/>
        </w:rPr>
        <w:t xml:space="preserve">advanced </w:t>
      </w:r>
      <w:r w:rsidRPr="00433908">
        <w:rPr>
          <w:rFonts w:asciiTheme="majorBidi" w:hAnsiTheme="majorBidi" w:cstheme="majorBidi"/>
        </w:rPr>
        <w:t xml:space="preserve">in the literature is that </w:t>
      </w:r>
      <w:r w:rsidR="00ED6B76" w:rsidRPr="00433908">
        <w:rPr>
          <w:rFonts w:asciiTheme="majorBidi" w:hAnsiTheme="majorBidi" w:cstheme="majorBidi"/>
        </w:rPr>
        <w:t xml:space="preserve">when the product market is oligopolistic, </w:t>
      </w:r>
      <w:r w:rsidR="00BA7BD4" w:rsidRPr="00433908">
        <w:rPr>
          <w:rFonts w:asciiTheme="majorBidi" w:hAnsiTheme="majorBidi" w:cstheme="majorBidi"/>
        </w:rPr>
        <w:t>common ownership</w:t>
      </w:r>
      <w:r w:rsidRPr="00433908">
        <w:rPr>
          <w:rFonts w:asciiTheme="majorBidi" w:hAnsiTheme="majorBidi" w:cstheme="majorBidi"/>
        </w:rPr>
        <w:t xml:space="preserve"> </w:t>
      </w:r>
      <w:r w:rsidRPr="00433908">
        <w:rPr>
          <w:rFonts w:asciiTheme="majorBidi" w:hAnsiTheme="majorBidi" w:cstheme="majorBidi"/>
          <w:i/>
          <w:iCs/>
        </w:rPr>
        <w:t>exacerbate</w:t>
      </w:r>
      <w:r w:rsidR="00BA7BD4" w:rsidRPr="00433908">
        <w:rPr>
          <w:rFonts w:asciiTheme="majorBidi" w:hAnsiTheme="majorBidi" w:cstheme="majorBidi"/>
          <w:i/>
          <w:iCs/>
        </w:rPr>
        <w:t>s</w:t>
      </w:r>
      <w:r w:rsidR="00ED6B76" w:rsidRPr="00433908">
        <w:rPr>
          <w:rFonts w:asciiTheme="majorBidi" w:hAnsiTheme="majorBidi" w:cstheme="majorBidi"/>
        </w:rPr>
        <w:t xml:space="preserve"> the anti-competitive outcome</w:t>
      </w:r>
      <w:r w:rsidR="004C1787" w:rsidRPr="00433908">
        <w:rPr>
          <w:rFonts w:asciiTheme="majorBidi" w:hAnsiTheme="majorBidi" w:cstheme="majorBidi"/>
        </w:rPr>
        <w:t xml:space="preserve"> by inducing what I will refer to as ‘unilateral coordination’</w:t>
      </w:r>
      <w:r w:rsidRPr="00433908">
        <w:rPr>
          <w:rFonts w:asciiTheme="majorBidi" w:hAnsiTheme="majorBidi" w:cstheme="majorBidi"/>
        </w:rPr>
        <w:t xml:space="preserve">. And this Paper argues that </w:t>
      </w:r>
      <w:r w:rsidR="00ED6B76" w:rsidRPr="00433908">
        <w:rPr>
          <w:rFonts w:asciiTheme="majorBidi" w:hAnsiTheme="majorBidi" w:cstheme="majorBidi"/>
        </w:rPr>
        <w:t xml:space="preserve">they </w:t>
      </w:r>
      <w:r w:rsidR="007F44B9" w:rsidRPr="00433908">
        <w:rPr>
          <w:rFonts w:asciiTheme="majorBidi" w:hAnsiTheme="majorBidi" w:cstheme="majorBidi"/>
        </w:rPr>
        <w:t>do not.</w:t>
      </w:r>
    </w:p>
    <w:p w14:paraId="021614B1" w14:textId="6B9E9E4C" w:rsidR="005B635D" w:rsidRPr="00433908" w:rsidRDefault="000D0884" w:rsidP="001C6816">
      <w:pPr>
        <w:jc w:val="both"/>
        <w:rPr>
          <w:rFonts w:asciiTheme="majorBidi" w:hAnsiTheme="majorBidi" w:cstheme="majorBidi"/>
        </w:rPr>
      </w:pPr>
      <w:r w:rsidRPr="00433908">
        <w:rPr>
          <w:rFonts w:asciiTheme="majorBidi" w:hAnsiTheme="majorBidi" w:cstheme="majorBidi"/>
        </w:rPr>
        <w:t xml:space="preserve"> </w:t>
      </w:r>
    </w:p>
    <w:p w14:paraId="7479B437" w14:textId="77777777" w:rsidR="00497E85" w:rsidRDefault="00497E85" w:rsidP="00F60614">
      <w:pPr>
        <w:jc w:val="both"/>
        <w:rPr>
          <w:rFonts w:asciiTheme="majorBidi" w:hAnsiTheme="majorBidi" w:cstheme="majorBidi"/>
          <w:b/>
          <w:bCs/>
          <w:i/>
          <w:iCs/>
        </w:rPr>
      </w:pPr>
    </w:p>
    <w:p w14:paraId="138F20AE" w14:textId="77777777" w:rsidR="00E0538F" w:rsidRPr="00433908" w:rsidRDefault="00E0538F" w:rsidP="00F60614">
      <w:pPr>
        <w:jc w:val="both"/>
        <w:rPr>
          <w:rFonts w:asciiTheme="majorBidi" w:hAnsiTheme="majorBidi" w:cstheme="majorBidi"/>
          <w:b/>
          <w:bCs/>
          <w:i/>
          <w:iCs/>
        </w:rPr>
      </w:pPr>
    </w:p>
    <w:p w14:paraId="12B4323B" w14:textId="1FDD195B" w:rsidR="004A4BE5" w:rsidRPr="00433908" w:rsidRDefault="00B26F9E" w:rsidP="00E0538F">
      <w:pPr>
        <w:pStyle w:val="Heading2"/>
        <w:ind w:left="1418" w:hanging="992"/>
      </w:pPr>
      <w:r w:rsidRPr="00433908">
        <w:lastRenderedPageBreak/>
        <w:t>Cross-holding</w:t>
      </w:r>
      <w:r w:rsidR="004A4BE5" w:rsidRPr="00433908">
        <w:t xml:space="preserve"> by a Single </w:t>
      </w:r>
      <w:r w:rsidR="000E0333" w:rsidRPr="00433908">
        <w:t xml:space="preserve">Active </w:t>
      </w:r>
      <w:r w:rsidR="004A4BE5" w:rsidRPr="00433908">
        <w:t>Investor</w:t>
      </w:r>
    </w:p>
    <w:p w14:paraId="7D04F3E8" w14:textId="77777777" w:rsidR="00D35F11" w:rsidRPr="00433908" w:rsidRDefault="00D35F11" w:rsidP="008E0158">
      <w:pPr>
        <w:jc w:val="both"/>
        <w:rPr>
          <w:rFonts w:asciiTheme="majorBidi" w:hAnsiTheme="majorBidi" w:cstheme="majorBidi"/>
        </w:rPr>
      </w:pPr>
    </w:p>
    <w:p w14:paraId="129A4E14" w14:textId="47AAECD4" w:rsidR="00B32849" w:rsidRPr="00433908" w:rsidRDefault="00A93F17" w:rsidP="000837D2">
      <w:pPr>
        <w:jc w:val="both"/>
        <w:rPr>
          <w:rFonts w:asciiTheme="majorBidi" w:hAnsiTheme="majorBidi" w:cstheme="majorBidi"/>
        </w:rPr>
      </w:pPr>
      <w:r w:rsidRPr="00433908">
        <w:rPr>
          <w:rFonts w:asciiTheme="majorBidi" w:hAnsiTheme="majorBidi" w:cstheme="majorBidi"/>
        </w:rPr>
        <w:t xml:space="preserve">As mentioned, </w:t>
      </w:r>
      <w:r w:rsidR="003A5162" w:rsidRPr="00433908">
        <w:rPr>
          <w:rFonts w:asciiTheme="majorBidi" w:hAnsiTheme="majorBidi" w:cstheme="majorBidi"/>
        </w:rPr>
        <w:t xml:space="preserve">it is </w:t>
      </w:r>
      <w:r w:rsidRPr="00433908">
        <w:rPr>
          <w:rFonts w:asciiTheme="majorBidi" w:hAnsiTheme="majorBidi" w:cstheme="majorBidi"/>
        </w:rPr>
        <w:t xml:space="preserve">helpful to </w:t>
      </w:r>
      <w:r w:rsidR="003A5162" w:rsidRPr="00433908">
        <w:rPr>
          <w:rFonts w:asciiTheme="majorBidi" w:hAnsiTheme="majorBidi" w:cstheme="majorBidi"/>
        </w:rPr>
        <w:t xml:space="preserve">begin by </w:t>
      </w:r>
      <w:r w:rsidRPr="00433908">
        <w:rPr>
          <w:rFonts w:asciiTheme="majorBidi" w:hAnsiTheme="majorBidi" w:cstheme="majorBidi"/>
        </w:rPr>
        <w:t>focus</w:t>
      </w:r>
      <w:r w:rsidR="003A5162" w:rsidRPr="00433908">
        <w:rPr>
          <w:rFonts w:asciiTheme="majorBidi" w:hAnsiTheme="majorBidi" w:cstheme="majorBidi"/>
        </w:rPr>
        <w:t>ing</w:t>
      </w:r>
      <w:r w:rsidRPr="00433908">
        <w:rPr>
          <w:rFonts w:asciiTheme="majorBidi" w:hAnsiTheme="majorBidi" w:cstheme="majorBidi"/>
        </w:rPr>
        <w:t xml:space="preserve"> on a single </w:t>
      </w:r>
      <w:r w:rsidR="008E0158" w:rsidRPr="00433908">
        <w:rPr>
          <w:rFonts w:asciiTheme="majorBidi" w:hAnsiTheme="majorBidi" w:cstheme="majorBidi"/>
        </w:rPr>
        <w:t>retail</w:t>
      </w:r>
      <w:r w:rsidR="000925F7" w:rsidRPr="00433908">
        <w:rPr>
          <w:rFonts w:asciiTheme="majorBidi" w:hAnsiTheme="majorBidi" w:cstheme="majorBidi"/>
        </w:rPr>
        <w:t xml:space="preserve"> investor, who monitors her investment and exerts control over the management of firms in which she is invested. When such an</w:t>
      </w:r>
      <w:r w:rsidR="004F59F9" w:rsidRPr="00433908">
        <w:rPr>
          <w:rFonts w:asciiTheme="majorBidi" w:hAnsiTheme="majorBidi" w:cstheme="majorBidi"/>
        </w:rPr>
        <w:t xml:space="preserve"> investor</w:t>
      </w:r>
      <w:r w:rsidR="00FC49E0" w:rsidRPr="00433908">
        <w:rPr>
          <w:rFonts w:asciiTheme="majorBidi" w:hAnsiTheme="majorBidi" w:cstheme="majorBidi"/>
        </w:rPr>
        <w:t xml:space="preserve"> diversifies </w:t>
      </w:r>
      <w:r w:rsidR="008E0158" w:rsidRPr="00433908">
        <w:rPr>
          <w:rFonts w:asciiTheme="majorBidi" w:hAnsiTheme="majorBidi" w:cstheme="majorBidi"/>
        </w:rPr>
        <w:t xml:space="preserve">her investment </w:t>
      </w:r>
      <w:r w:rsidR="00FC49E0" w:rsidRPr="00433908">
        <w:rPr>
          <w:rFonts w:asciiTheme="majorBidi" w:hAnsiTheme="majorBidi" w:cstheme="majorBidi"/>
        </w:rPr>
        <w:t>across competing firms</w:t>
      </w:r>
      <w:r w:rsidR="002007A0" w:rsidRPr="00433908">
        <w:rPr>
          <w:rFonts w:asciiTheme="majorBidi" w:hAnsiTheme="majorBidi" w:cstheme="majorBidi"/>
        </w:rPr>
        <w:t>,</w:t>
      </w:r>
      <w:r w:rsidR="00FC49E0" w:rsidRPr="00433908">
        <w:rPr>
          <w:rFonts w:asciiTheme="majorBidi" w:hAnsiTheme="majorBidi" w:cstheme="majorBidi"/>
        </w:rPr>
        <w:t xml:space="preserve"> </w:t>
      </w:r>
      <w:r w:rsidR="000925F7" w:rsidRPr="00433908">
        <w:rPr>
          <w:rFonts w:asciiTheme="majorBidi" w:hAnsiTheme="majorBidi" w:cstheme="majorBidi"/>
        </w:rPr>
        <w:t>the competitive concern is straightforward.</w:t>
      </w:r>
      <w:r w:rsidR="005937AA" w:rsidRPr="00433908">
        <w:rPr>
          <w:rFonts w:asciiTheme="majorBidi" w:hAnsiTheme="majorBidi" w:cstheme="majorBidi"/>
        </w:rPr>
        <w:t xml:space="preserve"> </w:t>
      </w:r>
      <w:r w:rsidR="00443894" w:rsidRPr="00433908">
        <w:rPr>
          <w:rFonts w:asciiTheme="majorBidi" w:hAnsiTheme="majorBidi" w:cstheme="majorBidi"/>
        </w:rPr>
        <w:t xml:space="preserve">Any investor that has a stake in two or more competitors will naturally prefer lax competition between these competitors, as the investor’s overall profits are maximized if the firms do not compete. </w:t>
      </w:r>
      <w:r w:rsidR="00FC49E0" w:rsidRPr="00433908">
        <w:rPr>
          <w:rFonts w:asciiTheme="majorBidi" w:hAnsiTheme="majorBidi" w:cstheme="majorBidi"/>
        </w:rPr>
        <w:t>At the extreme, consider an investor who owns all outstanding stock of the only two firms in an industry. Such an investor can obviously be expected to prevent all competition between the two firms</w:t>
      </w:r>
      <w:r w:rsidR="000925F7" w:rsidRPr="00433908">
        <w:rPr>
          <w:rFonts w:asciiTheme="majorBidi" w:hAnsiTheme="majorBidi" w:cstheme="majorBidi"/>
        </w:rPr>
        <w:t>, and the two firm</w:t>
      </w:r>
      <w:r w:rsidR="008E0158" w:rsidRPr="00433908">
        <w:rPr>
          <w:rFonts w:asciiTheme="majorBidi" w:hAnsiTheme="majorBidi" w:cstheme="majorBidi"/>
        </w:rPr>
        <w:t>s</w:t>
      </w:r>
      <w:r w:rsidR="000925F7" w:rsidRPr="00433908">
        <w:rPr>
          <w:rFonts w:asciiTheme="majorBidi" w:hAnsiTheme="majorBidi" w:cstheme="majorBidi"/>
        </w:rPr>
        <w:t xml:space="preserve"> will conduct themselves as if they were one, restricting output and raising prices to the monopolistic level</w:t>
      </w:r>
      <w:r w:rsidR="00FC49E0" w:rsidRPr="00433908">
        <w:rPr>
          <w:rFonts w:asciiTheme="majorBidi" w:hAnsiTheme="majorBidi" w:cstheme="majorBidi"/>
        </w:rPr>
        <w:t>.</w:t>
      </w:r>
      <w:r w:rsidR="000837D2" w:rsidRPr="00433908">
        <w:rPr>
          <w:rStyle w:val="FootnoteReference"/>
          <w:rFonts w:asciiTheme="majorBidi" w:hAnsiTheme="majorBidi" w:cstheme="majorBidi"/>
        </w:rPr>
        <w:footnoteReference w:id="46"/>
      </w:r>
    </w:p>
    <w:p w14:paraId="73451F4B" w14:textId="77777777" w:rsidR="003A5162" w:rsidRPr="00433908" w:rsidRDefault="003A5162" w:rsidP="00B8069C">
      <w:pPr>
        <w:jc w:val="both"/>
        <w:rPr>
          <w:rFonts w:asciiTheme="majorBidi" w:hAnsiTheme="majorBidi" w:cstheme="majorBidi"/>
        </w:rPr>
      </w:pPr>
    </w:p>
    <w:p w14:paraId="6A752F8D" w14:textId="77153E8B" w:rsidR="00D0471F" w:rsidRPr="00433908" w:rsidRDefault="00B32849" w:rsidP="00E410B9">
      <w:pPr>
        <w:jc w:val="both"/>
        <w:rPr>
          <w:rFonts w:asciiTheme="majorBidi" w:hAnsiTheme="majorBidi" w:cstheme="majorBidi"/>
        </w:rPr>
      </w:pPr>
      <w:r w:rsidRPr="00433908">
        <w:rPr>
          <w:rFonts w:asciiTheme="majorBidi" w:hAnsiTheme="majorBidi" w:cstheme="majorBidi"/>
        </w:rPr>
        <w:t xml:space="preserve">Even if the single investor does not hold </w:t>
      </w:r>
      <w:r w:rsidRPr="00433908">
        <w:rPr>
          <w:rFonts w:asciiTheme="majorBidi" w:hAnsiTheme="majorBidi" w:cstheme="majorBidi"/>
          <w:i/>
          <w:iCs/>
        </w:rPr>
        <w:t>all</w:t>
      </w:r>
      <w:r w:rsidRPr="00433908">
        <w:rPr>
          <w:rFonts w:asciiTheme="majorBidi" w:hAnsiTheme="majorBidi" w:cstheme="majorBidi"/>
        </w:rPr>
        <w:t xml:space="preserve"> outstanding stock of the firms, </w:t>
      </w:r>
      <w:r w:rsidR="003873BF" w:rsidRPr="00433908">
        <w:rPr>
          <w:rFonts w:asciiTheme="majorBidi" w:hAnsiTheme="majorBidi" w:cstheme="majorBidi"/>
        </w:rPr>
        <w:t>the anti-c</w:t>
      </w:r>
      <w:r w:rsidR="00081772" w:rsidRPr="00433908">
        <w:rPr>
          <w:rFonts w:asciiTheme="majorBidi" w:hAnsiTheme="majorBidi" w:cstheme="majorBidi"/>
        </w:rPr>
        <w:t>ompetitive outcome</w:t>
      </w:r>
      <w:r w:rsidRPr="00433908">
        <w:rPr>
          <w:rFonts w:asciiTheme="majorBidi" w:hAnsiTheme="majorBidi" w:cstheme="majorBidi"/>
        </w:rPr>
        <w:t xml:space="preserve"> may </w:t>
      </w:r>
      <w:r w:rsidR="003A5162" w:rsidRPr="00433908">
        <w:rPr>
          <w:rFonts w:asciiTheme="majorBidi" w:hAnsiTheme="majorBidi" w:cstheme="majorBidi"/>
        </w:rPr>
        <w:t xml:space="preserve">be </w:t>
      </w:r>
      <w:r w:rsidR="00081772" w:rsidRPr="00433908">
        <w:rPr>
          <w:rFonts w:asciiTheme="majorBidi" w:hAnsiTheme="majorBidi" w:cstheme="majorBidi"/>
        </w:rPr>
        <w:t>similar</w:t>
      </w:r>
      <w:r w:rsidRPr="00433908">
        <w:rPr>
          <w:rFonts w:asciiTheme="majorBidi" w:hAnsiTheme="majorBidi" w:cstheme="majorBidi"/>
        </w:rPr>
        <w:t xml:space="preserve">. First, even if the shareholder does not hold all outstanding stock of the firms, </w:t>
      </w:r>
      <w:r w:rsidR="003873BF" w:rsidRPr="00433908">
        <w:rPr>
          <w:rFonts w:asciiTheme="majorBidi" w:hAnsiTheme="majorBidi" w:cstheme="majorBidi"/>
        </w:rPr>
        <w:t>she</w:t>
      </w:r>
      <w:r w:rsidRPr="00433908">
        <w:rPr>
          <w:rFonts w:asciiTheme="majorBidi" w:hAnsiTheme="majorBidi" w:cstheme="majorBidi"/>
        </w:rPr>
        <w:t xml:space="preserve"> may nonetheless control the firms. </w:t>
      </w:r>
      <w:r w:rsidR="00B8069C" w:rsidRPr="00433908">
        <w:rPr>
          <w:rFonts w:asciiTheme="majorBidi" w:hAnsiTheme="majorBidi" w:cstheme="majorBidi"/>
        </w:rPr>
        <w:t>The threshold for control is lower the more dispersed ownership is.</w:t>
      </w:r>
      <w:r w:rsidR="00B8069C" w:rsidRPr="00433908">
        <w:rPr>
          <w:rStyle w:val="FootnoteReference"/>
          <w:rFonts w:asciiTheme="majorBidi" w:hAnsiTheme="majorBidi" w:cstheme="majorBidi"/>
        </w:rPr>
        <w:footnoteReference w:id="47"/>
      </w:r>
      <w:r w:rsidR="00B8069C" w:rsidRPr="00433908">
        <w:rPr>
          <w:rFonts w:asciiTheme="majorBidi" w:hAnsiTheme="majorBidi" w:cstheme="majorBidi"/>
        </w:rPr>
        <w:t xml:space="preserve"> </w:t>
      </w:r>
      <w:r w:rsidR="003873BF" w:rsidRPr="00433908">
        <w:rPr>
          <w:rFonts w:asciiTheme="majorBidi" w:hAnsiTheme="majorBidi" w:cstheme="majorBidi"/>
        </w:rPr>
        <w:t xml:space="preserve">At times, control may be achieved with relatively small holdings in one or more of the firms. </w:t>
      </w:r>
      <w:r w:rsidRPr="00433908">
        <w:rPr>
          <w:rFonts w:asciiTheme="majorBidi" w:hAnsiTheme="majorBidi" w:cstheme="majorBidi"/>
        </w:rPr>
        <w:t>If a</w:t>
      </w:r>
      <w:r w:rsidR="00B8069C" w:rsidRPr="00433908">
        <w:rPr>
          <w:rFonts w:asciiTheme="majorBidi" w:hAnsiTheme="majorBidi" w:cstheme="majorBidi"/>
        </w:rPr>
        <w:t xml:space="preserve"> shareholder</w:t>
      </w:r>
      <w:r w:rsidRPr="00433908">
        <w:rPr>
          <w:rFonts w:asciiTheme="majorBidi" w:hAnsiTheme="majorBidi" w:cstheme="majorBidi"/>
        </w:rPr>
        <w:t xml:space="preserve"> control</w:t>
      </w:r>
      <w:r w:rsidR="00B8069C" w:rsidRPr="00433908">
        <w:rPr>
          <w:rFonts w:asciiTheme="majorBidi" w:hAnsiTheme="majorBidi" w:cstheme="majorBidi"/>
        </w:rPr>
        <w:t>s</w:t>
      </w:r>
      <w:r w:rsidRPr="00433908">
        <w:rPr>
          <w:rFonts w:asciiTheme="majorBidi" w:hAnsiTheme="majorBidi" w:cstheme="majorBidi"/>
        </w:rPr>
        <w:t xml:space="preserve"> the firms in question, the firms can be expected to conduct themselves as if they were fully merged, even if the shareholder’s holdings fall far short of 100%.</w:t>
      </w:r>
      <w:r w:rsidR="001C6816" w:rsidRPr="00433908">
        <w:rPr>
          <w:rFonts w:asciiTheme="majorBidi" w:hAnsiTheme="majorBidi" w:cstheme="majorBidi"/>
        </w:rPr>
        <w:t xml:space="preserve"> A clear example of this is the situation of a two-firm industry, in which a single investor holds 51% of the outstanding stock of each of the two firms.</w:t>
      </w:r>
      <w:r w:rsidR="0050589C" w:rsidRPr="00433908">
        <w:rPr>
          <w:rFonts w:asciiTheme="majorBidi" w:hAnsiTheme="majorBidi" w:cstheme="majorBidi"/>
        </w:rPr>
        <w:t xml:space="preserve"> But even 51% of the outstanding stock is regularly far more than is required for control.</w:t>
      </w:r>
      <w:r w:rsidR="00903C01" w:rsidRPr="00433908">
        <w:rPr>
          <w:rStyle w:val="FootnoteReference"/>
          <w:rFonts w:asciiTheme="majorBidi" w:hAnsiTheme="majorBidi" w:cstheme="majorBidi"/>
        </w:rPr>
        <w:footnoteReference w:id="48"/>
      </w:r>
      <w:r w:rsidR="0050589C" w:rsidRPr="00433908">
        <w:rPr>
          <w:rFonts w:asciiTheme="majorBidi" w:hAnsiTheme="majorBidi" w:cstheme="majorBidi"/>
        </w:rPr>
        <w:t xml:space="preserve"> </w:t>
      </w:r>
      <w:r w:rsidR="00E410B9">
        <w:rPr>
          <w:rFonts w:asciiTheme="majorBidi" w:hAnsiTheme="majorBidi" w:cstheme="majorBidi"/>
        </w:rPr>
        <w:t>W</w:t>
      </w:r>
      <w:r w:rsidR="0050589C" w:rsidRPr="00433908">
        <w:rPr>
          <w:rFonts w:asciiTheme="majorBidi" w:hAnsiTheme="majorBidi" w:cstheme="majorBidi"/>
        </w:rPr>
        <w:t>hen ownership is dispersed, the same outcome may be achieved with holdings that are</w:t>
      </w:r>
      <w:r w:rsidR="00903C01" w:rsidRPr="00433908">
        <w:rPr>
          <w:rFonts w:asciiTheme="majorBidi" w:hAnsiTheme="majorBidi" w:cstheme="majorBidi"/>
        </w:rPr>
        <w:t xml:space="preserve"> smaller by orders of magnitude.</w:t>
      </w:r>
    </w:p>
    <w:p w14:paraId="25624F74" w14:textId="77777777" w:rsidR="00ED6B76" w:rsidRPr="00433908" w:rsidRDefault="00ED6B76" w:rsidP="003873BF">
      <w:pPr>
        <w:jc w:val="both"/>
        <w:rPr>
          <w:rFonts w:asciiTheme="majorBidi" w:hAnsiTheme="majorBidi" w:cstheme="majorBidi"/>
        </w:rPr>
      </w:pPr>
    </w:p>
    <w:p w14:paraId="1F25DC75" w14:textId="26B26A80" w:rsidR="00C929C1" w:rsidRPr="00433908" w:rsidRDefault="00B8069C" w:rsidP="00903C01">
      <w:pPr>
        <w:jc w:val="both"/>
        <w:rPr>
          <w:rFonts w:asciiTheme="majorBidi" w:hAnsiTheme="majorBidi" w:cstheme="majorBidi"/>
        </w:rPr>
      </w:pPr>
      <w:r w:rsidRPr="00433908">
        <w:rPr>
          <w:rFonts w:asciiTheme="majorBidi" w:hAnsiTheme="majorBidi" w:cstheme="majorBidi"/>
        </w:rPr>
        <w:t xml:space="preserve">Additionally, </w:t>
      </w:r>
      <w:r w:rsidR="00B32849" w:rsidRPr="00433908">
        <w:rPr>
          <w:rFonts w:asciiTheme="majorBidi" w:hAnsiTheme="majorBidi" w:cstheme="majorBidi"/>
        </w:rPr>
        <w:t xml:space="preserve">even if the shareholder has no control whatsoever over the firms, </w:t>
      </w:r>
      <w:r w:rsidR="00B26F9E" w:rsidRPr="00433908">
        <w:rPr>
          <w:rFonts w:asciiTheme="majorBidi" w:hAnsiTheme="majorBidi" w:cstheme="majorBidi"/>
        </w:rPr>
        <w:t>cross-holding</w:t>
      </w:r>
      <w:r w:rsidR="00B32849" w:rsidRPr="00433908">
        <w:rPr>
          <w:rFonts w:asciiTheme="majorBidi" w:hAnsiTheme="majorBidi" w:cstheme="majorBidi"/>
        </w:rPr>
        <w:t xml:space="preserve">s may facilitate cartel-like behavior through exchange of information </w:t>
      </w:r>
      <w:r w:rsidR="000E0333" w:rsidRPr="00433908">
        <w:rPr>
          <w:rFonts w:asciiTheme="majorBidi" w:hAnsiTheme="majorBidi" w:cstheme="majorBidi"/>
        </w:rPr>
        <w:t xml:space="preserve">and </w:t>
      </w:r>
      <w:r w:rsidR="00B32849" w:rsidRPr="00433908">
        <w:rPr>
          <w:rFonts w:asciiTheme="majorBidi" w:hAnsiTheme="majorBidi" w:cstheme="majorBidi"/>
        </w:rPr>
        <w:t xml:space="preserve">collusion. A shareholder that has a representative on the board of each of the firms </w:t>
      </w:r>
      <w:r w:rsidRPr="00433908">
        <w:rPr>
          <w:rFonts w:asciiTheme="majorBidi" w:hAnsiTheme="majorBidi" w:cstheme="majorBidi"/>
        </w:rPr>
        <w:t>may be</w:t>
      </w:r>
      <w:r w:rsidR="000E0333" w:rsidRPr="00433908">
        <w:rPr>
          <w:rFonts w:asciiTheme="majorBidi" w:hAnsiTheme="majorBidi" w:cstheme="majorBidi"/>
        </w:rPr>
        <w:t xml:space="preserve"> able to transfer competitively-</w:t>
      </w:r>
      <w:r w:rsidRPr="00433908">
        <w:rPr>
          <w:rFonts w:asciiTheme="majorBidi" w:hAnsiTheme="majorBidi" w:cstheme="majorBidi"/>
        </w:rPr>
        <w:t>sensitive information from one firm to the other,</w:t>
      </w:r>
      <w:r w:rsidR="000C28DD" w:rsidRPr="00433908">
        <w:rPr>
          <w:rStyle w:val="FootnoteReference"/>
          <w:rFonts w:asciiTheme="majorBidi" w:hAnsiTheme="majorBidi" w:cstheme="majorBidi"/>
        </w:rPr>
        <w:footnoteReference w:id="49"/>
      </w:r>
      <w:r w:rsidRPr="00433908">
        <w:rPr>
          <w:rFonts w:asciiTheme="majorBidi" w:hAnsiTheme="majorBidi" w:cstheme="majorBidi"/>
        </w:rPr>
        <w:t xml:space="preserve"> </w:t>
      </w:r>
      <w:r w:rsidR="000E0333" w:rsidRPr="00433908">
        <w:rPr>
          <w:rFonts w:asciiTheme="majorBidi" w:hAnsiTheme="majorBidi" w:cstheme="majorBidi"/>
        </w:rPr>
        <w:t>and</w:t>
      </w:r>
      <w:r w:rsidRPr="00433908">
        <w:rPr>
          <w:rFonts w:asciiTheme="majorBidi" w:hAnsiTheme="majorBidi" w:cstheme="majorBidi"/>
        </w:rPr>
        <w:t xml:space="preserve"> </w:t>
      </w:r>
      <w:r w:rsidR="008E0158" w:rsidRPr="00433908">
        <w:rPr>
          <w:rFonts w:asciiTheme="majorBidi" w:hAnsiTheme="majorBidi" w:cstheme="majorBidi"/>
        </w:rPr>
        <w:t>even explicitly coordinate</w:t>
      </w:r>
      <w:r w:rsidR="008613FF" w:rsidRPr="00433908">
        <w:rPr>
          <w:rFonts w:asciiTheme="majorBidi" w:hAnsiTheme="majorBidi" w:cstheme="majorBidi"/>
        </w:rPr>
        <w:t xml:space="preserve"> pricing and output</w:t>
      </w:r>
      <w:r w:rsidR="007F44B9" w:rsidRPr="00433908">
        <w:rPr>
          <w:rFonts w:asciiTheme="majorBidi" w:hAnsiTheme="majorBidi" w:cstheme="majorBidi"/>
        </w:rPr>
        <w:t>.</w:t>
      </w:r>
      <w:r w:rsidR="00D0471F" w:rsidRPr="00433908">
        <w:rPr>
          <w:rFonts w:asciiTheme="majorBidi" w:hAnsiTheme="majorBidi" w:cstheme="majorBidi"/>
        </w:rPr>
        <w:t xml:space="preserve"> </w:t>
      </w:r>
      <w:r w:rsidR="007F44B9" w:rsidRPr="00433908">
        <w:rPr>
          <w:rFonts w:asciiTheme="majorBidi" w:hAnsiTheme="majorBidi" w:cstheme="majorBidi"/>
        </w:rPr>
        <w:t xml:space="preserve">This may be the case </w:t>
      </w:r>
      <w:r w:rsidR="00D0471F" w:rsidRPr="00433908">
        <w:rPr>
          <w:rFonts w:asciiTheme="majorBidi" w:hAnsiTheme="majorBidi" w:cstheme="majorBidi"/>
        </w:rPr>
        <w:t>even if other shareholders are more influential in each of the firms than the cross-holding shareholder</w:t>
      </w:r>
      <w:r w:rsidR="007F44B9" w:rsidRPr="00433908">
        <w:rPr>
          <w:rFonts w:asciiTheme="majorBidi" w:hAnsiTheme="majorBidi" w:cstheme="majorBidi"/>
        </w:rPr>
        <w:t xml:space="preserve">, because these other shareholders </w:t>
      </w:r>
      <w:r w:rsidR="00903C01" w:rsidRPr="00433908">
        <w:rPr>
          <w:rFonts w:asciiTheme="majorBidi" w:hAnsiTheme="majorBidi" w:cstheme="majorBidi"/>
        </w:rPr>
        <w:t>also</w:t>
      </w:r>
      <w:r w:rsidR="007F44B9" w:rsidRPr="00433908">
        <w:rPr>
          <w:rFonts w:asciiTheme="majorBidi" w:hAnsiTheme="majorBidi" w:cstheme="majorBidi"/>
        </w:rPr>
        <w:t xml:space="preserve"> benefit from supra-competitive pricing</w:t>
      </w:r>
      <w:r w:rsidR="008613FF" w:rsidRPr="00433908">
        <w:rPr>
          <w:rFonts w:asciiTheme="majorBidi" w:hAnsiTheme="majorBidi" w:cstheme="majorBidi"/>
        </w:rPr>
        <w:t>.</w:t>
      </w:r>
      <w:r w:rsidR="001C1DA6" w:rsidRPr="00433908">
        <w:rPr>
          <w:rStyle w:val="FootnoteReference"/>
          <w:rFonts w:asciiTheme="majorBidi" w:hAnsiTheme="majorBidi" w:cstheme="majorBidi"/>
        </w:rPr>
        <w:footnoteReference w:id="50"/>
      </w:r>
    </w:p>
    <w:p w14:paraId="536FFDE9" w14:textId="77777777" w:rsidR="00D0471F" w:rsidRPr="00433908" w:rsidRDefault="00D0471F" w:rsidP="00621014">
      <w:pPr>
        <w:jc w:val="both"/>
        <w:rPr>
          <w:rFonts w:asciiTheme="majorBidi" w:hAnsiTheme="majorBidi" w:cstheme="majorBidi"/>
        </w:rPr>
      </w:pPr>
    </w:p>
    <w:p w14:paraId="7F492C04" w14:textId="1C515A39" w:rsidR="00C929C1" w:rsidRPr="00433908" w:rsidRDefault="00C929C1" w:rsidP="00ED6B76">
      <w:pPr>
        <w:jc w:val="both"/>
        <w:rPr>
          <w:rFonts w:asciiTheme="majorBidi" w:hAnsiTheme="majorBidi" w:cstheme="majorBidi"/>
        </w:rPr>
      </w:pPr>
      <w:r w:rsidRPr="00433908">
        <w:rPr>
          <w:rFonts w:asciiTheme="majorBidi" w:hAnsiTheme="majorBidi" w:cstheme="majorBidi"/>
        </w:rPr>
        <w:t>A single, active</w:t>
      </w:r>
      <w:r w:rsidR="00621014" w:rsidRPr="00433908">
        <w:rPr>
          <w:rFonts w:asciiTheme="majorBidi" w:hAnsiTheme="majorBidi" w:cstheme="majorBidi"/>
        </w:rPr>
        <w:t>,</w:t>
      </w:r>
      <w:r w:rsidRPr="00433908">
        <w:rPr>
          <w:rFonts w:asciiTheme="majorBidi" w:hAnsiTheme="majorBidi" w:cstheme="majorBidi"/>
        </w:rPr>
        <w:t xml:space="preserve"> </w:t>
      </w:r>
      <w:r w:rsidR="00621014" w:rsidRPr="00433908">
        <w:rPr>
          <w:rFonts w:asciiTheme="majorBidi" w:hAnsiTheme="majorBidi" w:cstheme="majorBidi"/>
          <w:b/>
          <w:bCs/>
        </w:rPr>
        <w:t>controlling</w:t>
      </w:r>
      <w:r w:rsidR="00621014" w:rsidRPr="00433908">
        <w:rPr>
          <w:rFonts w:asciiTheme="majorBidi" w:hAnsiTheme="majorBidi" w:cstheme="majorBidi"/>
        </w:rPr>
        <w:t xml:space="preserve"> </w:t>
      </w:r>
      <w:r w:rsidRPr="00433908">
        <w:rPr>
          <w:rFonts w:asciiTheme="majorBidi" w:hAnsiTheme="majorBidi" w:cstheme="majorBidi"/>
        </w:rPr>
        <w:t xml:space="preserve">shareholder </w:t>
      </w:r>
      <w:r w:rsidR="00621014" w:rsidRPr="00433908">
        <w:rPr>
          <w:rFonts w:asciiTheme="majorBidi" w:hAnsiTheme="majorBidi" w:cstheme="majorBidi"/>
        </w:rPr>
        <w:t xml:space="preserve">that holds shares in two or more competitors, </w:t>
      </w:r>
      <w:r w:rsidRPr="00433908">
        <w:rPr>
          <w:rFonts w:asciiTheme="majorBidi" w:hAnsiTheme="majorBidi" w:cstheme="majorBidi"/>
        </w:rPr>
        <w:t>may thus result</w:t>
      </w:r>
      <w:r w:rsidR="00927258" w:rsidRPr="00433908">
        <w:rPr>
          <w:rFonts w:asciiTheme="majorBidi" w:hAnsiTheme="majorBidi" w:cstheme="majorBidi"/>
        </w:rPr>
        <w:t xml:space="preserve"> in a </w:t>
      </w:r>
      <w:r w:rsidR="00621014" w:rsidRPr="00433908">
        <w:rPr>
          <w:rFonts w:asciiTheme="majorBidi" w:hAnsiTheme="majorBidi" w:cstheme="majorBidi"/>
        </w:rPr>
        <w:t xml:space="preserve">merger-like </w:t>
      </w:r>
      <w:r w:rsidR="001C1DA6" w:rsidRPr="00433908">
        <w:rPr>
          <w:rFonts w:asciiTheme="majorBidi" w:hAnsiTheme="majorBidi" w:cstheme="majorBidi"/>
        </w:rPr>
        <w:t>anti-</w:t>
      </w:r>
      <w:r w:rsidR="00621014" w:rsidRPr="00433908">
        <w:rPr>
          <w:rFonts w:asciiTheme="majorBidi" w:hAnsiTheme="majorBidi" w:cstheme="majorBidi"/>
        </w:rPr>
        <w:t xml:space="preserve">competitive outcome. And a single, active, </w:t>
      </w:r>
      <w:r w:rsidR="00621014" w:rsidRPr="00433908">
        <w:rPr>
          <w:rFonts w:asciiTheme="majorBidi" w:hAnsiTheme="majorBidi" w:cstheme="majorBidi"/>
          <w:b/>
          <w:bCs/>
        </w:rPr>
        <w:t>non</w:t>
      </w:r>
      <w:r w:rsidR="00621014" w:rsidRPr="00433908">
        <w:rPr>
          <w:rFonts w:asciiTheme="majorBidi" w:hAnsiTheme="majorBidi" w:cstheme="majorBidi"/>
        </w:rPr>
        <w:t>-controlling shareholder that holds shares in two or more competitors may facilitate collusion, whether oligopolistic coordination or outright cartelistic agreements.</w:t>
      </w:r>
    </w:p>
    <w:p w14:paraId="19B8E985" w14:textId="77777777" w:rsidR="00621014" w:rsidRPr="00433908" w:rsidRDefault="00621014" w:rsidP="00621014">
      <w:pPr>
        <w:jc w:val="both"/>
        <w:rPr>
          <w:rFonts w:asciiTheme="majorBidi" w:hAnsiTheme="majorBidi" w:cstheme="majorBidi"/>
        </w:rPr>
      </w:pPr>
    </w:p>
    <w:p w14:paraId="1B5EEC9F" w14:textId="6AD7BF4D" w:rsidR="00031FBC" w:rsidRPr="00433908" w:rsidRDefault="00D0471F" w:rsidP="00903C01">
      <w:pPr>
        <w:jc w:val="both"/>
        <w:rPr>
          <w:rFonts w:asciiTheme="majorBidi" w:hAnsiTheme="majorBidi" w:cstheme="majorBidi"/>
        </w:rPr>
      </w:pPr>
      <w:r w:rsidRPr="00433908">
        <w:rPr>
          <w:rFonts w:asciiTheme="majorBidi" w:hAnsiTheme="majorBidi" w:cstheme="majorBidi"/>
        </w:rPr>
        <w:lastRenderedPageBreak/>
        <w:t>These kinds of anti-competitive outcomes are neither novel nor controversial. Antitrust law is</w:t>
      </w:r>
      <w:r w:rsidR="008B0DDF" w:rsidRPr="00433908">
        <w:rPr>
          <w:rFonts w:asciiTheme="majorBidi" w:hAnsiTheme="majorBidi" w:cstheme="majorBidi"/>
        </w:rPr>
        <w:t xml:space="preserve">, and has </w:t>
      </w:r>
      <w:r w:rsidR="00A81909" w:rsidRPr="00433908">
        <w:rPr>
          <w:rFonts w:asciiTheme="majorBidi" w:hAnsiTheme="majorBidi" w:cstheme="majorBidi"/>
        </w:rPr>
        <w:t>long been,</w:t>
      </w:r>
      <w:r w:rsidRPr="00433908">
        <w:rPr>
          <w:rFonts w:asciiTheme="majorBidi" w:hAnsiTheme="majorBidi" w:cstheme="majorBidi"/>
        </w:rPr>
        <w:t xml:space="preserve"> well-designed to deal with them. The firs</w:t>
      </w:r>
      <w:r w:rsidR="00ED6B76" w:rsidRPr="00433908">
        <w:rPr>
          <w:rFonts w:asciiTheme="majorBidi" w:hAnsiTheme="majorBidi" w:cstheme="majorBidi"/>
        </w:rPr>
        <w:t>t</w:t>
      </w:r>
      <w:r w:rsidR="00A81909" w:rsidRPr="00433908">
        <w:rPr>
          <w:rFonts w:asciiTheme="majorBidi" w:hAnsiTheme="majorBidi" w:cstheme="majorBidi"/>
        </w:rPr>
        <w:t xml:space="preserve"> kind</w:t>
      </w:r>
      <w:r w:rsidRPr="00433908">
        <w:rPr>
          <w:rFonts w:asciiTheme="majorBidi" w:hAnsiTheme="majorBidi" w:cstheme="majorBidi"/>
        </w:rPr>
        <w:t>, cross-holdin</w:t>
      </w:r>
      <w:r w:rsidR="00ED6B76" w:rsidRPr="00433908">
        <w:rPr>
          <w:rFonts w:asciiTheme="majorBidi" w:hAnsiTheme="majorBidi" w:cstheme="majorBidi"/>
        </w:rPr>
        <w:t>g</w:t>
      </w:r>
      <w:r w:rsidRPr="00433908">
        <w:rPr>
          <w:rFonts w:asciiTheme="majorBidi" w:hAnsiTheme="majorBidi" w:cstheme="majorBidi"/>
        </w:rPr>
        <w:t xml:space="preserve"> that results in merger-like outcomes, is covered by merger control. Merger control is </w:t>
      </w:r>
      <w:r w:rsidR="000C357E" w:rsidRPr="00433908">
        <w:rPr>
          <w:rFonts w:asciiTheme="majorBidi" w:hAnsiTheme="majorBidi" w:cstheme="majorBidi"/>
        </w:rPr>
        <w:t xml:space="preserve">aimed at preventing harm to competition in its </w:t>
      </w:r>
      <w:r w:rsidR="003873BF" w:rsidRPr="00433908">
        <w:rPr>
          <w:rFonts w:asciiTheme="majorBidi" w:hAnsiTheme="majorBidi" w:cstheme="majorBidi"/>
        </w:rPr>
        <w:t>incipiency</w:t>
      </w:r>
      <w:r w:rsidRPr="00433908">
        <w:rPr>
          <w:rFonts w:asciiTheme="majorBidi" w:hAnsiTheme="majorBidi" w:cstheme="majorBidi"/>
        </w:rPr>
        <w:t>.</w:t>
      </w:r>
      <w:bookmarkStart w:id="17" w:name="_Ref491862384"/>
      <w:r w:rsidR="00621014" w:rsidRPr="00433908">
        <w:rPr>
          <w:rStyle w:val="FootnoteReference"/>
          <w:rFonts w:asciiTheme="majorBidi" w:hAnsiTheme="majorBidi" w:cstheme="majorBidi"/>
        </w:rPr>
        <w:footnoteReference w:id="51"/>
      </w:r>
      <w:bookmarkEnd w:id="17"/>
      <w:r w:rsidR="00621014" w:rsidRPr="00433908">
        <w:rPr>
          <w:rFonts w:asciiTheme="majorBidi" w:hAnsiTheme="majorBidi" w:cstheme="majorBidi"/>
        </w:rPr>
        <w:t xml:space="preserve"> </w:t>
      </w:r>
      <w:r w:rsidRPr="00433908">
        <w:rPr>
          <w:rFonts w:asciiTheme="majorBidi" w:hAnsiTheme="majorBidi" w:cstheme="majorBidi"/>
        </w:rPr>
        <w:t xml:space="preserve">Acquisition of shares in a firm meeting some threshold by a shareholder of a </w:t>
      </w:r>
      <w:r w:rsidR="00903C01" w:rsidRPr="00433908">
        <w:rPr>
          <w:rFonts w:asciiTheme="majorBidi" w:hAnsiTheme="majorBidi" w:cstheme="majorBidi"/>
        </w:rPr>
        <w:t xml:space="preserve">competing </w:t>
      </w:r>
      <w:r w:rsidRPr="00433908">
        <w:rPr>
          <w:rFonts w:asciiTheme="majorBidi" w:hAnsiTheme="majorBidi" w:cstheme="majorBidi"/>
        </w:rPr>
        <w:t>firm will normally require approval</w:t>
      </w:r>
      <w:r w:rsidR="00E3494F" w:rsidRPr="00433908">
        <w:rPr>
          <w:rFonts w:asciiTheme="majorBidi" w:hAnsiTheme="majorBidi" w:cstheme="majorBidi"/>
        </w:rPr>
        <w:t>, or at least scrutiny</w:t>
      </w:r>
      <w:r w:rsidRPr="00433908">
        <w:rPr>
          <w:rFonts w:asciiTheme="majorBidi" w:hAnsiTheme="majorBidi" w:cstheme="majorBidi"/>
        </w:rPr>
        <w:t xml:space="preserve"> of some sort</w:t>
      </w:r>
      <w:r w:rsidR="00E3494F" w:rsidRPr="00433908">
        <w:rPr>
          <w:rFonts w:asciiTheme="majorBidi" w:hAnsiTheme="majorBidi" w:cstheme="majorBidi"/>
        </w:rPr>
        <w:t>,</w:t>
      </w:r>
      <w:r w:rsidRPr="00433908">
        <w:rPr>
          <w:rFonts w:asciiTheme="majorBidi" w:hAnsiTheme="majorBidi" w:cstheme="majorBidi"/>
        </w:rPr>
        <w:t xml:space="preserve"> by antitrust authorities.</w:t>
      </w:r>
      <w:r w:rsidR="00621014" w:rsidRPr="00433908">
        <w:rPr>
          <w:rStyle w:val="FootnoteReference"/>
          <w:rFonts w:asciiTheme="majorBidi" w:hAnsiTheme="majorBidi" w:cstheme="majorBidi"/>
        </w:rPr>
        <w:footnoteReference w:id="52"/>
      </w:r>
    </w:p>
    <w:p w14:paraId="277582A5" w14:textId="13DFF1C9" w:rsidR="002E3C00" w:rsidRPr="00433908" w:rsidRDefault="00E3494F" w:rsidP="00B93493">
      <w:pPr>
        <w:jc w:val="both"/>
        <w:rPr>
          <w:rFonts w:asciiTheme="majorBidi" w:hAnsiTheme="majorBidi" w:cstheme="majorBidi"/>
        </w:rPr>
      </w:pPr>
      <w:r w:rsidRPr="00433908">
        <w:rPr>
          <w:rFonts w:asciiTheme="majorBidi" w:hAnsiTheme="majorBidi" w:cstheme="majorBidi"/>
        </w:rPr>
        <w:t xml:space="preserve">The second kind of potential competitive harm, the facilitation of explicit or tacit collusion by a </w:t>
      </w:r>
      <w:r w:rsidRPr="00433908">
        <w:rPr>
          <w:rFonts w:asciiTheme="majorBidi" w:hAnsiTheme="majorBidi" w:cstheme="majorBidi"/>
          <w:b/>
          <w:bCs/>
        </w:rPr>
        <w:t>non-controlling</w:t>
      </w:r>
      <w:r w:rsidRPr="00433908">
        <w:rPr>
          <w:rFonts w:asciiTheme="majorBidi" w:hAnsiTheme="majorBidi" w:cstheme="majorBidi"/>
        </w:rPr>
        <w:t xml:space="preserve"> sharehol</w:t>
      </w:r>
      <w:r w:rsidR="005B30C6" w:rsidRPr="00433908">
        <w:rPr>
          <w:rFonts w:asciiTheme="majorBidi" w:hAnsiTheme="majorBidi" w:cstheme="majorBidi"/>
        </w:rPr>
        <w:t xml:space="preserve">der is dealt with under both </w:t>
      </w:r>
      <w:r w:rsidR="0023329E" w:rsidRPr="00433908">
        <w:rPr>
          <w:rFonts w:asciiTheme="majorBidi" w:hAnsiTheme="majorBidi" w:cstheme="majorBidi"/>
        </w:rPr>
        <w:t>the</w:t>
      </w:r>
      <w:r w:rsidRPr="00433908">
        <w:rPr>
          <w:rFonts w:asciiTheme="majorBidi" w:hAnsiTheme="majorBidi" w:cstheme="majorBidi"/>
        </w:rPr>
        <w:t xml:space="preserve"> Clayton Act and </w:t>
      </w:r>
      <w:r w:rsidR="00B73D04" w:rsidRPr="00433908">
        <w:rPr>
          <w:rFonts w:asciiTheme="majorBidi" w:hAnsiTheme="majorBidi" w:cstheme="majorBidi"/>
        </w:rPr>
        <w:t xml:space="preserve">the Sherman Act. </w:t>
      </w:r>
      <w:r w:rsidR="00601E46" w:rsidRPr="00433908">
        <w:rPr>
          <w:rFonts w:asciiTheme="majorBidi" w:hAnsiTheme="majorBidi" w:cstheme="majorBidi"/>
        </w:rPr>
        <w:t>T</w:t>
      </w:r>
      <w:r w:rsidR="0023329E" w:rsidRPr="00433908">
        <w:rPr>
          <w:rFonts w:asciiTheme="majorBidi" w:hAnsiTheme="majorBidi" w:cstheme="majorBidi"/>
        </w:rPr>
        <w:t xml:space="preserve">he Clayton Act </w:t>
      </w:r>
      <w:r w:rsidR="00644320" w:rsidRPr="00433908">
        <w:rPr>
          <w:rFonts w:asciiTheme="majorBidi" w:hAnsiTheme="majorBidi" w:cstheme="majorBidi"/>
        </w:rPr>
        <w:t xml:space="preserve">addresses such concerns in the same way it addresses the concerns associated </w:t>
      </w:r>
      <w:r w:rsidR="00B93493" w:rsidRPr="00433908">
        <w:rPr>
          <w:rFonts w:asciiTheme="majorBidi" w:hAnsiTheme="majorBidi" w:cstheme="majorBidi"/>
        </w:rPr>
        <w:t xml:space="preserve">with </w:t>
      </w:r>
      <w:r w:rsidR="00644320" w:rsidRPr="00433908">
        <w:rPr>
          <w:rFonts w:asciiTheme="majorBidi" w:hAnsiTheme="majorBidi" w:cstheme="majorBidi"/>
        </w:rPr>
        <w:t xml:space="preserve">a joint </w:t>
      </w:r>
      <w:r w:rsidR="00644320" w:rsidRPr="002C45D3">
        <w:rPr>
          <w:rFonts w:asciiTheme="majorBidi" w:hAnsiTheme="majorBidi" w:cstheme="majorBidi"/>
          <w:i/>
          <w:iCs/>
        </w:rPr>
        <w:t>controlling</w:t>
      </w:r>
      <w:r w:rsidR="00644320" w:rsidRPr="00433908">
        <w:rPr>
          <w:rFonts w:asciiTheme="majorBidi" w:hAnsiTheme="majorBidi" w:cstheme="majorBidi"/>
        </w:rPr>
        <w:t xml:space="preserve"> shareholder. It preempts the competitive harm </w:t>
      </w:r>
      <w:r w:rsidR="00644320" w:rsidRPr="00433908">
        <w:rPr>
          <w:rFonts w:asciiTheme="majorBidi" w:hAnsiTheme="majorBidi" w:cstheme="majorBidi"/>
          <w:i/>
          <w:iCs/>
        </w:rPr>
        <w:t>ex ante</w:t>
      </w:r>
      <w:r w:rsidR="00644320" w:rsidRPr="00433908">
        <w:rPr>
          <w:rFonts w:asciiTheme="majorBidi" w:hAnsiTheme="majorBidi" w:cstheme="majorBidi"/>
        </w:rPr>
        <w:t>, by enjoining the transaction.</w:t>
      </w:r>
      <w:r w:rsidR="00644320" w:rsidRPr="00433908">
        <w:rPr>
          <w:rStyle w:val="FootnoteReference"/>
          <w:rFonts w:asciiTheme="majorBidi" w:hAnsiTheme="majorBidi" w:cstheme="majorBidi"/>
        </w:rPr>
        <w:footnoteReference w:id="53"/>
      </w:r>
      <w:r w:rsidR="00644320" w:rsidRPr="00433908">
        <w:rPr>
          <w:rFonts w:asciiTheme="majorBidi" w:hAnsiTheme="majorBidi" w:cstheme="majorBidi"/>
        </w:rPr>
        <w:t xml:space="preserve"> </w:t>
      </w:r>
      <w:r w:rsidR="00063191" w:rsidRPr="00433908">
        <w:rPr>
          <w:rFonts w:asciiTheme="majorBidi" w:hAnsiTheme="majorBidi" w:cstheme="majorBidi"/>
        </w:rPr>
        <w:t>A</w:t>
      </w:r>
      <w:r w:rsidR="00BC3A11" w:rsidRPr="00433908">
        <w:rPr>
          <w:rFonts w:asciiTheme="majorBidi" w:hAnsiTheme="majorBidi" w:cstheme="majorBidi"/>
        </w:rPr>
        <w:t xml:space="preserve">n increased </w:t>
      </w:r>
      <w:r w:rsidR="00063191" w:rsidRPr="00433908">
        <w:rPr>
          <w:rFonts w:asciiTheme="majorBidi" w:hAnsiTheme="majorBidi" w:cstheme="majorBidi"/>
        </w:rPr>
        <w:t>likelihood</w:t>
      </w:r>
      <w:r w:rsidR="00601E46" w:rsidRPr="00433908">
        <w:rPr>
          <w:rFonts w:asciiTheme="majorBidi" w:hAnsiTheme="majorBidi" w:cstheme="majorBidi"/>
        </w:rPr>
        <w:t xml:space="preserve"> of </w:t>
      </w:r>
      <w:r w:rsidR="00063191" w:rsidRPr="00433908">
        <w:rPr>
          <w:rFonts w:asciiTheme="majorBidi" w:hAnsiTheme="majorBidi" w:cstheme="majorBidi"/>
        </w:rPr>
        <w:t xml:space="preserve">post-merger </w:t>
      </w:r>
      <w:r w:rsidR="00601E46" w:rsidRPr="00433908">
        <w:rPr>
          <w:rFonts w:asciiTheme="majorBidi" w:hAnsiTheme="majorBidi" w:cstheme="majorBidi"/>
        </w:rPr>
        <w:t xml:space="preserve">collusion may bring about </w:t>
      </w:r>
      <w:r w:rsidR="00903C01" w:rsidRPr="00433908">
        <w:rPr>
          <w:rFonts w:asciiTheme="majorBidi" w:hAnsiTheme="majorBidi" w:cstheme="majorBidi"/>
        </w:rPr>
        <w:t>an objection to a specific deal</w:t>
      </w:r>
      <w:r w:rsidR="00601E46" w:rsidRPr="00433908">
        <w:rPr>
          <w:rFonts w:asciiTheme="majorBidi" w:hAnsiTheme="majorBidi" w:cstheme="majorBidi"/>
        </w:rPr>
        <w:t xml:space="preserve"> </w:t>
      </w:r>
      <w:r w:rsidR="00903C01" w:rsidRPr="00433908">
        <w:rPr>
          <w:rFonts w:asciiTheme="majorBidi" w:hAnsiTheme="majorBidi" w:cstheme="majorBidi"/>
        </w:rPr>
        <w:t>(</w:t>
      </w:r>
      <w:r w:rsidR="00601E46" w:rsidRPr="00433908">
        <w:rPr>
          <w:rFonts w:asciiTheme="majorBidi" w:hAnsiTheme="majorBidi" w:cstheme="majorBidi"/>
        </w:rPr>
        <w:t>when that deal requires approval</w:t>
      </w:r>
      <w:r w:rsidR="00903C01" w:rsidRPr="00433908">
        <w:rPr>
          <w:rFonts w:asciiTheme="majorBidi" w:hAnsiTheme="majorBidi" w:cstheme="majorBidi"/>
        </w:rPr>
        <w:t>)</w:t>
      </w:r>
      <w:r w:rsidR="00B93493" w:rsidRPr="00433908">
        <w:rPr>
          <w:rFonts w:asciiTheme="majorBidi" w:hAnsiTheme="majorBidi" w:cstheme="majorBidi"/>
        </w:rPr>
        <w:t xml:space="preserve"> or post-merger scrutiny </w:t>
      </w:r>
      <w:r w:rsidR="00903C01" w:rsidRPr="00433908">
        <w:rPr>
          <w:rFonts w:asciiTheme="majorBidi" w:hAnsiTheme="majorBidi" w:cstheme="majorBidi"/>
        </w:rPr>
        <w:t>(if the deal does not require approval)</w:t>
      </w:r>
      <w:r w:rsidR="00601E46" w:rsidRPr="00433908">
        <w:rPr>
          <w:rFonts w:asciiTheme="majorBidi" w:hAnsiTheme="majorBidi" w:cstheme="majorBidi"/>
        </w:rPr>
        <w:t>.</w:t>
      </w:r>
      <w:r w:rsidR="00AE4552" w:rsidRPr="00433908">
        <w:rPr>
          <w:rStyle w:val="FootnoteReference"/>
          <w:rFonts w:asciiTheme="majorBidi" w:hAnsiTheme="majorBidi" w:cstheme="majorBidi"/>
        </w:rPr>
        <w:footnoteReference w:id="54"/>
      </w:r>
      <w:r w:rsidR="00601E46" w:rsidRPr="00433908">
        <w:rPr>
          <w:rFonts w:asciiTheme="majorBidi" w:hAnsiTheme="majorBidi" w:cstheme="majorBidi"/>
        </w:rPr>
        <w:t xml:space="preserve"> </w:t>
      </w:r>
      <w:r w:rsidR="00D50D48" w:rsidRPr="00433908">
        <w:rPr>
          <w:rFonts w:asciiTheme="majorBidi" w:hAnsiTheme="majorBidi" w:cstheme="majorBidi"/>
        </w:rPr>
        <w:t>Section 1 of the Sherman Act deals with i</w:t>
      </w:r>
      <w:r w:rsidR="00D0471F" w:rsidRPr="00433908">
        <w:rPr>
          <w:rFonts w:asciiTheme="majorBidi" w:hAnsiTheme="majorBidi" w:cstheme="majorBidi"/>
        </w:rPr>
        <w:t>nstances of horizon</w:t>
      </w:r>
      <w:r w:rsidR="001E4E3E" w:rsidRPr="00433908">
        <w:rPr>
          <w:rFonts w:asciiTheme="majorBidi" w:hAnsiTheme="majorBidi" w:cstheme="majorBidi"/>
        </w:rPr>
        <w:t xml:space="preserve">tal collusion </w:t>
      </w:r>
      <w:r w:rsidR="001E4E3E" w:rsidRPr="00433908">
        <w:rPr>
          <w:rFonts w:asciiTheme="majorBidi" w:hAnsiTheme="majorBidi" w:cstheme="majorBidi"/>
          <w:i/>
          <w:iCs/>
        </w:rPr>
        <w:t>ex post</w:t>
      </w:r>
      <w:r w:rsidR="00D50D48" w:rsidRPr="00433908">
        <w:rPr>
          <w:rFonts w:asciiTheme="majorBidi" w:hAnsiTheme="majorBidi" w:cstheme="majorBidi"/>
        </w:rPr>
        <w:t xml:space="preserve"> as an antitrust offence</w:t>
      </w:r>
      <w:r w:rsidR="001E4E3E" w:rsidRPr="00433908">
        <w:rPr>
          <w:rFonts w:asciiTheme="majorBidi" w:hAnsiTheme="majorBidi" w:cstheme="majorBidi"/>
        </w:rPr>
        <w:t>.</w:t>
      </w:r>
      <w:r w:rsidR="00D50D48" w:rsidRPr="00433908">
        <w:rPr>
          <w:rStyle w:val="FootnoteReference"/>
          <w:rFonts w:asciiTheme="majorBidi" w:hAnsiTheme="majorBidi" w:cstheme="majorBidi"/>
        </w:rPr>
        <w:footnoteReference w:id="55"/>
      </w:r>
      <w:r w:rsidR="001E4E3E" w:rsidRPr="00433908">
        <w:rPr>
          <w:rFonts w:asciiTheme="majorBidi" w:hAnsiTheme="majorBidi" w:cstheme="majorBidi"/>
        </w:rPr>
        <w:t xml:space="preserve"> This is well established in antitrust doctrine.</w:t>
      </w:r>
      <w:r w:rsidR="00903C01" w:rsidRPr="00433908">
        <w:rPr>
          <w:rStyle w:val="FootnoteReference"/>
          <w:rFonts w:asciiTheme="majorBidi" w:hAnsiTheme="majorBidi" w:cstheme="majorBidi"/>
        </w:rPr>
        <w:footnoteReference w:id="56"/>
      </w:r>
    </w:p>
    <w:p w14:paraId="0231DF9A" w14:textId="77777777" w:rsidR="008B17DF" w:rsidRPr="00433908" w:rsidRDefault="008B17DF" w:rsidP="00F60614">
      <w:pPr>
        <w:jc w:val="both"/>
        <w:rPr>
          <w:rFonts w:asciiTheme="majorBidi" w:hAnsiTheme="majorBidi" w:cstheme="majorBidi"/>
        </w:rPr>
      </w:pPr>
    </w:p>
    <w:p w14:paraId="2E509F68" w14:textId="77777777" w:rsidR="00D113B0" w:rsidRPr="00433908" w:rsidRDefault="00D113B0" w:rsidP="00F60614">
      <w:pPr>
        <w:jc w:val="both"/>
        <w:rPr>
          <w:rFonts w:asciiTheme="majorBidi" w:hAnsiTheme="majorBidi" w:cstheme="majorBidi"/>
          <w:b/>
          <w:bCs/>
          <w:i/>
          <w:iCs/>
        </w:rPr>
      </w:pPr>
    </w:p>
    <w:p w14:paraId="38ED65ED" w14:textId="683E13DE" w:rsidR="008B17DF" w:rsidRPr="00433908" w:rsidRDefault="00B26F9E" w:rsidP="00E0538F">
      <w:pPr>
        <w:pStyle w:val="Heading2"/>
        <w:ind w:left="1418" w:hanging="992"/>
      </w:pPr>
      <w:r w:rsidRPr="00433908">
        <w:t>Cross-holding</w:t>
      </w:r>
      <w:r w:rsidR="008B17DF" w:rsidRPr="00433908">
        <w:t xml:space="preserve"> by </w:t>
      </w:r>
      <w:r w:rsidR="00273680" w:rsidRPr="00433908">
        <w:t xml:space="preserve">a Single </w:t>
      </w:r>
      <w:r w:rsidR="00716FF8" w:rsidRPr="00433908">
        <w:t>Investor</w:t>
      </w:r>
      <w:r w:rsidR="007F44B9" w:rsidRPr="00433908">
        <w:t xml:space="preserve"> that is a Passive investor in one of the firms</w:t>
      </w:r>
    </w:p>
    <w:p w14:paraId="1A1CC547" w14:textId="77777777" w:rsidR="007F44B9" w:rsidRPr="00433908" w:rsidRDefault="007F44B9" w:rsidP="00D115CD">
      <w:pPr>
        <w:jc w:val="both"/>
        <w:rPr>
          <w:rFonts w:asciiTheme="majorBidi" w:hAnsiTheme="majorBidi" w:cstheme="majorBidi"/>
        </w:rPr>
      </w:pPr>
    </w:p>
    <w:p w14:paraId="1219CABC" w14:textId="6A793CB2" w:rsidR="00231E2C" w:rsidRPr="00433908" w:rsidRDefault="000925F7" w:rsidP="005535FD">
      <w:pPr>
        <w:jc w:val="both"/>
        <w:rPr>
          <w:rFonts w:asciiTheme="majorBidi" w:hAnsiTheme="majorBidi" w:cstheme="majorBidi"/>
        </w:rPr>
      </w:pPr>
      <w:r w:rsidRPr="00433908">
        <w:rPr>
          <w:rFonts w:asciiTheme="majorBidi" w:hAnsiTheme="majorBidi" w:cstheme="majorBidi"/>
        </w:rPr>
        <w:t xml:space="preserve">The analysis becomes more complex when the single investor </w:t>
      </w:r>
      <w:r w:rsidR="009143C4" w:rsidRPr="00433908">
        <w:rPr>
          <w:rFonts w:asciiTheme="majorBidi" w:hAnsiTheme="majorBidi" w:cstheme="majorBidi"/>
        </w:rPr>
        <w:t xml:space="preserve">holding stock of competing firms </w:t>
      </w:r>
      <w:r w:rsidR="007F44B9" w:rsidRPr="00433908">
        <w:rPr>
          <w:rFonts w:asciiTheme="majorBidi" w:hAnsiTheme="majorBidi" w:cstheme="majorBidi"/>
        </w:rPr>
        <w:t xml:space="preserve">controls one of the firms, but </w:t>
      </w:r>
      <w:r w:rsidRPr="00433908">
        <w:rPr>
          <w:rFonts w:asciiTheme="majorBidi" w:hAnsiTheme="majorBidi" w:cstheme="majorBidi"/>
        </w:rPr>
        <w:t xml:space="preserve">is </w:t>
      </w:r>
      <w:r w:rsidR="00B32849" w:rsidRPr="00433908">
        <w:rPr>
          <w:rFonts w:asciiTheme="majorBidi" w:hAnsiTheme="majorBidi" w:cstheme="majorBidi"/>
        </w:rPr>
        <w:t xml:space="preserve">a </w:t>
      </w:r>
      <w:r w:rsidR="005535FD" w:rsidRPr="00433908">
        <w:rPr>
          <w:rFonts w:asciiTheme="majorBidi" w:hAnsiTheme="majorBidi" w:cstheme="majorBidi"/>
        </w:rPr>
        <w:t xml:space="preserve">non-controlling </w:t>
      </w:r>
      <w:r w:rsidR="00B32849" w:rsidRPr="00433908">
        <w:rPr>
          <w:rFonts w:asciiTheme="majorBidi" w:hAnsiTheme="majorBidi" w:cstheme="majorBidi"/>
        </w:rPr>
        <w:t>passive</w:t>
      </w:r>
      <w:r w:rsidR="007F44B9" w:rsidRPr="00433908">
        <w:rPr>
          <w:rFonts w:asciiTheme="majorBidi" w:hAnsiTheme="majorBidi" w:cstheme="majorBidi"/>
        </w:rPr>
        <w:t xml:space="preserve"> </w:t>
      </w:r>
      <w:r w:rsidR="009143C4" w:rsidRPr="00433908">
        <w:rPr>
          <w:rFonts w:asciiTheme="majorBidi" w:hAnsiTheme="majorBidi" w:cstheme="majorBidi"/>
        </w:rPr>
        <w:t>investor</w:t>
      </w:r>
      <w:r w:rsidR="007F44B9" w:rsidRPr="00433908">
        <w:rPr>
          <w:rFonts w:asciiTheme="majorBidi" w:hAnsiTheme="majorBidi" w:cstheme="majorBidi"/>
        </w:rPr>
        <w:t xml:space="preserve"> in the other. </w:t>
      </w:r>
      <w:r w:rsidR="005535FD" w:rsidRPr="00433908">
        <w:rPr>
          <w:rFonts w:asciiTheme="majorBidi" w:hAnsiTheme="majorBidi" w:cstheme="majorBidi"/>
        </w:rPr>
        <w:t>This is taken to mean that the</w:t>
      </w:r>
      <w:r w:rsidR="009143C4" w:rsidRPr="00433908">
        <w:rPr>
          <w:rFonts w:asciiTheme="majorBidi" w:hAnsiTheme="majorBidi" w:cstheme="majorBidi"/>
        </w:rPr>
        <w:t xml:space="preserve"> </w:t>
      </w:r>
      <w:r w:rsidR="00EF5964" w:rsidRPr="00433908">
        <w:rPr>
          <w:rFonts w:asciiTheme="majorBidi" w:hAnsiTheme="majorBidi" w:cstheme="majorBidi"/>
        </w:rPr>
        <w:t xml:space="preserve">investor neither </w:t>
      </w:r>
      <w:r w:rsidR="00F42D67" w:rsidRPr="00433908">
        <w:rPr>
          <w:rFonts w:asciiTheme="majorBidi" w:hAnsiTheme="majorBidi" w:cstheme="majorBidi"/>
        </w:rPr>
        <w:t xml:space="preserve">dictates </w:t>
      </w:r>
      <w:r w:rsidR="00EF5964" w:rsidRPr="00433908">
        <w:rPr>
          <w:rFonts w:asciiTheme="majorBidi" w:hAnsiTheme="majorBidi" w:cstheme="majorBidi"/>
        </w:rPr>
        <w:t xml:space="preserve">the </w:t>
      </w:r>
      <w:r w:rsidR="005535FD" w:rsidRPr="00433908">
        <w:rPr>
          <w:rFonts w:asciiTheme="majorBidi" w:hAnsiTheme="majorBidi" w:cstheme="majorBidi"/>
        </w:rPr>
        <w:t xml:space="preserve">non-controlled </w:t>
      </w:r>
      <w:r w:rsidR="00EF5964" w:rsidRPr="00433908">
        <w:rPr>
          <w:rFonts w:asciiTheme="majorBidi" w:hAnsiTheme="majorBidi" w:cstheme="majorBidi"/>
        </w:rPr>
        <w:t>firms’ conduct, no</w:t>
      </w:r>
      <w:r w:rsidR="009143C4" w:rsidRPr="00433908">
        <w:rPr>
          <w:rFonts w:asciiTheme="majorBidi" w:hAnsiTheme="majorBidi" w:cstheme="majorBidi"/>
        </w:rPr>
        <w:t>r</w:t>
      </w:r>
      <w:r w:rsidR="00EF5964" w:rsidRPr="00433908">
        <w:rPr>
          <w:rFonts w:asciiTheme="majorBidi" w:hAnsiTheme="majorBidi" w:cstheme="majorBidi"/>
        </w:rPr>
        <w:t xml:space="preserve"> delivers information</w:t>
      </w:r>
      <w:r w:rsidR="00231E2C" w:rsidRPr="00433908">
        <w:rPr>
          <w:rFonts w:asciiTheme="majorBidi" w:hAnsiTheme="majorBidi" w:cstheme="majorBidi"/>
        </w:rPr>
        <w:t xml:space="preserve"> (or explicit</w:t>
      </w:r>
      <w:r w:rsidR="005535FD" w:rsidRPr="00433908">
        <w:rPr>
          <w:rFonts w:asciiTheme="majorBidi" w:hAnsiTheme="majorBidi" w:cstheme="majorBidi"/>
        </w:rPr>
        <w:t>ly coordinates</w:t>
      </w:r>
      <w:r w:rsidR="00231E2C" w:rsidRPr="00433908">
        <w:rPr>
          <w:rFonts w:asciiTheme="majorBidi" w:hAnsiTheme="majorBidi" w:cstheme="majorBidi"/>
        </w:rPr>
        <w:t>)</w:t>
      </w:r>
      <w:r w:rsidR="009143C4" w:rsidRPr="00433908">
        <w:rPr>
          <w:rFonts w:asciiTheme="majorBidi" w:hAnsiTheme="majorBidi" w:cstheme="majorBidi"/>
        </w:rPr>
        <w:t xml:space="preserve"> between the firms.</w:t>
      </w:r>
      <w:r w:rsidR="001E4E3E" w:rsidRPr="00433908">
        <w:rPr>
          <w:rStyle w:val="FootnoteReference"/>
          <w:rFonts w:asciiTheme="majorBidi" w:hAnsiTheme="majorBidi" w:cstheme="majorBidi"/>
        </w:rPr>
        <w:footnoteReference w:id="57"/>
      </w:r>
      <w:r w:rsidR="009143C4" w:rsidRPr="00433908">
        <w:rPr>
          <w:rFonts w:asciiTheme="majorBidi" w:hAnsiTheme="majorBidi" w:cstheme="majorBidi"/>
        </w:rPr>
        <w:t xml:space="preserve"> </w:t>
      </w:r>
      <w:r w:rsidR="00D115CD" w:rsidRPr="00433908">
        <w:rPr>
          <w:rFonts w:asciiTheme="majorBidi" w:hAnsiTheme="majorBidi" w:cstheme="majorBidi"/>
        </w:rPr>
        <w:t>As the firms are not controlled by the same shareholder, and as there is no coordination, the firms’ competitive conduct should ostensibly remain intact</w:t>
      </w:r>
      <w:r w:rsidR="009D1A12" w:rsidRPr="00433908">
        <w:rPr>
          <w:rFonts w:asciiTheme="majorBidi" w:hAnsiTheme="majorBidi" w:cstheme="majorBidi"/>
        </w:rPr>
        <w:t xml:space="preserve"> despite the cross-holding</w:t>
      </w:r>
      <w:r w:rsidR="00D115CD" w:rsidRPr="00433908">
        <w:rPr>
          <w:rFonts w:asciiTheme="majorBidi" w:hAnsiTheme="majorBidi" w:cstheme="majorBidi"/>
        </w:rPr>
        <w:t>.</w:t>
      </w:r>
    </w:p>
    <w:p w14:paraId="59F1DF10" w14:textId="77777777" w:rsidR="0070678A" w:rsidRPr="00433908" w:rsidRDefault="0070678A" w:rsidP="003B7401">
      <w:pPr>
        <w:jc w:val="both"/>
        <w:rPr>
          <w:rFonts w:asciiTheme="majorBidi" w:hAnsiTheme="majorBidi" w:cstheme="majorBidi"/>
        </w:rPr>
      </w:pPr>
    </w:p>
    <w:p w14:paraId="3AAF6EA5" w14:textId="7677F899" w:rsidR="008B5CD7" w:rsidRPr="00433908" w:rsidRDefault="00231E2C" w:rsidP="004F3B13">
      <w:pPr>
        <w:jc w:val="both"/>
        <w:rPr>
          <w:rFonts w:asciiTheme="majorBidi" w:hAnsiTheme="majorBidi" w:cstheme="majorBidi"/>
        </w:rPr>
      </w:pPr>
      <w:r w:rsidRPr="00433908">
        <w:rPr>
          <w:rFonts w:asciiTheme="majorBidi" w:hAnsiTheme="majorBidi" w:cstheme="majorBidi"/>
        </w:rPr>
        <w:t xml:space="preserve">Nonetheless, </w:t>
      </w:r>
      <w:r w:rsidR="008B5CD7" w:rsidRPr="00433908">
        <w:rPr>
          <w:rFonts w:asciiTheme="majorBidi" w:hAnsiTheme="majorBidi" w:cstheme="majorBidi"/>
        </w:rPr>
        <w:t>and a</w:t>
      </w:r>
      <w:r w:rsidR="00ED160F" w:rsidRPr="00433908">
        <w:rPr>
          <w:rFonts w:asciiTheme="majorBidi" w:hAnsiTheme="majorBidi" w:cstheme="majorBidi"/>
        </w:rPr>
        <w:t xml:space="preserve">lthough less straightforward, </w:t>
      </w:r>
      <w:r w:rsidR="008B5CD7" w:rsidRPr="00433908">
        <w:rPr>
          <w:rFonts w:asciiTheme="majorBidi" w:hAnsiTheme="majorBidi" w:cstheme="majorBidi"/>
        </w:rPr>
        <w:t xml:space="preserve">scholars have identified anti-competitive potential associated with such </w:t>
      </w:r>
      <w:r w:rsidR="00D115CD" w:rsidRPr="00433908">
        <w:rPr>
          <w:rFonts w:asciiTheme="majorBidi" w:hAnsiTheme="majorBidi" w:cstheme="majorBidi"/>
        </w:rPr>
        <w:t>cross-</w:t>
      </w:r>
      <w:r w:rsidR="008B5CD7" w:rsidRPr="00433908">
        <w:rPr>
          <w:rFonts w:asciiTheme="majorBidi" w:hAnsiTheme="majorBidi" w:cstheme="majorBidi"/>
        </w:rPr>
        <w:t xml:space="preserve">shareholding as well. </w:t>
      </w:r>
      <w:r w:rsidR="005535FD" w:rsidRPr="00433908">
        <w:rPr>
          <w:rFonts w:asciiTheme="majorBidi" w:hAnsiTheme="majorBidi" w:cstheme="majorBidi"/>
        </w:rPr>
        <w:t xml:space="preserve">Professor </w:t>
      </w:r>
      <w:proofErr w:type="spellStart"/>
      <w:r w:rsidR="005535FD" w:rsidRPr="00433908">
        <w:rPr>
          <w:rFonts w:asciiTheme="majorBidi" w:hAnsiTheme="majorBidi" w:cstheme="majorBidi"/>
        </w:rPr>
        <w:t>Gilo</w:t>
      </w:r>
      <w:proofErr w:type="spellEnd"/>
      <w:r w:rsidR="00B20C92" w:rsidRPr="00433908">
        <w:rPr>
          <w:rFonts w:asciiTheme="majorBidi" w:hAnsiTheme="majorBidi" w:cstheme="majorBidi"/>
        </w:rPr>
        <w:t xml:space="preserve"> refers to the case in </w:t>
      </w:r>
      <w:r w:rsidR="00B20C92" w:rsidRPr="00433908">
        <w:rPr>
          <w:rFonts w:asciiTheme="majorBidi" w:hAnsiTheme="majorBidi" w:cstheme="majorBidi"/>
        </w:rPr>
        <w:lastRenderedPageBreak/>
        <w:t>which a firm’s controller i</w:t>
      </w:r>
      <w:r w:rsidR="008B5CD7" w:rsidRPr="00433908">
        <w:rPr>
          <w:rFonts w:asciiTheme="majorBidi" w:hAnsiTheme="majorBidi" w:cstheme="majorBidi"/>
        </w:rPr>
        <w:t>nvests in the firm’s competitor</w:t>
      </w:r>
      <w:r w:rsidR="00B20C92" w:rsidRPr="00433908">
        <w:rPr>
          <w:rFonts w:asciiTheme="majorBidi" w:hAnsiTheme="majorBidi" w:cstheme="majorBidi"/>
        </w:rPr>
        <w:t xml:space="preserve"> a</w:t>
      </w:r>
      <w:r w:rsidR="008B5CD7" w:rsidRPr="00433908">
        <w:rPr>
          <w:rFonts w:asciiTheme="majorBidi" w:hAnsiTheme="majorBidi" w:cstheme="majorBidi"/>
        </w:rPr>
        <w:t>s</w:t>
      </w:r>
      <w:r w:rsidR="00B20C92" w:rsidRPr="00433908">
        <w:rPr>
          <w:rFonts w:asciiTheme="majorBidi" w:hAnsiTheme="majorBidi" w:cstheme="majorBidi"/>
        </w:rPr>
        <w:t xml:space="preserve"> “passive investment by controllers”.</w:t>
      </w:r>
      <w:r w:rsidR="00B20C92" w:rsidRPr="00433908">
        <w:rPr>
          <w:rStyle w:val="FootnoteReference"/>
          <w:rFonts w:asciiTheme="majorBidi" w:hAnsiTheme="majorBidi" w:cstheme="majorBidi"/>
        </w:rPr>
        <w:footnoteReference w:id="58"/>
      </w:r>
      <w:r w:rsidR="00B20C92" w:rsidRPr="00433908">
        <w:rPr>
          <w:rFonts w:asciiTheme="majorBidi" w:hAnsiTheme="majorBidi" w:cstheme="majorBidi"/>
        </w:rPr>
        <w:t xml:space="preserve"> </w:t>
      </w:r>
      <w:r w:rsidR="005535FD" w:rsidRPr="00433908">
        <w:rPr>
          <w:rFonts w:asciiTheme="majorBidi" w:hAnsiTheme="majorBidi" w:cstheme="majorBidi"/>
        </w:rPr>
        <w:t>He shows that u</w:t>
      </w:r>
      <w:r w:rsidR="00B20C92" w:rsidRPr="00433908">
        <w:rPr>
          <w:rFonts w:asciiTheme="majorBidi" w:hAnsiTheme="majorBidi" w:cstheme="majorBidi"/>
        </w:rPr>
        <w:t xml:space="preserve">nder such circumstances, </w:t>
      </w:r>
      <w:r w:rsidR="003B7401" w:rsidRPr="00433908">
        <w:rPr>
          <w:rFonts w:asciiTheme="majorBidi" w:hAnsiTheme="majorBidi" w:cstheme="majorBidi"/>
        </w:rPr>
        <w:t>the controller may stifle competition</w:t>
      </w:r>
      <w:r w:rsidR="00DA49B4" w:rsidRPr="00433908">
        <w:rPr>
          <w:rFonts w:asciiTheme="majorBidi" w:hAnsiTheme="majorBidi" w:cstheme="majorBidi"/>
        </w:rPr>
        <w:t>. The key idea here</w:t>
      </w:r>
      <w:r w:rsidR="00F705D2" w:rsidRPr="00433908">
        <w:rPr>
          <w:rFonts w:asciiTheme="majorBidi" w:hAnsiTheme="majorBidi" w:cstheme="majorBidi"/>
        </w:rPr>
        <w:t xml:space="preserve"> is that if the controller’s financial interest in the competitor is larger than its financial interest in the controlled firm, the controller will have a preference for profits to flow from the controlled firm to the non-controlled firm (in which </w:t>
      </w:r>
      <w:r w:rsidR="004F3B13">
        <w:rPr>
          <w:rFonts w:asciiTheme="majorBidi" w:hAnsiTheme="majorBidi" w:cstheme="majorBidi"/>
        </w:rPr>
        <w:t xml:space="preserve">the controller’s </w:t>
      </w:r>
      <w:r w:rsidR="00F705D2" w:rsidRPr="00433908">
        <w:rPr>
          <w:rFonts w:asciiTheme="majorBidi" w:hAnsiTheme="majorBidi" w:cstheme="majorBidi"/>
        </w:rPr>
        <w:t>stakes are larger). As it controls the firm from which it wants profits to flow, the controller will cause that firm to raise prices or otherwise conduct itself in a self-harming manner</w:t>
      </w:r>
      <w:r w:rsidR="009D1A12" w:rsidRPr="00433908">
        <w:rPr>
          <w:rFonts w:asciiTheme="majorBidi" w:hAnsiTheme="majorBidi" w:cstheme="majorBidi"/>
        </w:rPr>
        <w:t>,</w:t>
      </w:r>
      <w:r w:rsidR="00F705D2" w:rsidRPr="00433908">
        <w:rPr>
          <w:rFonts w:asciiTheme="majorBidi" w:hAnsiTheme="majorBidi" w:cstheme="majorBidi"/>
        </w:rPr>
        <w:t xml:space="preserve"> to the benefit of its competitor.</w:t>
      </w:r>
    </w:p>
    <w:p w14:paraId="3551926F" w14:textId="77777777" w:rsidR="008B5CD7" w:rsidRPr="00433908" w:rsidRDefault="008B5CD7" w:rsidP="008B5CD7">
      <w:pPr>
        <w:jc w:val="both"/>
        <w:rPr>
          <w:rFonts w:asciiTheme="majorBidi" w:hAnsiTheme="majorBidi" w:cstheme="majorBidi"/>
        </w:rPr>
      </w:pPr>
    </w:p>
    <w:p w14:paraId="7DE273A5" w14:textId="6A81C3D5" w:rsidR="00716FF8" w:rsidRPr="00433908" w:rsidRDefault="003B7401" w:rsidP="004F3B13">
      <w:pPr>
        <w:jc w:val="both"/>
        <w:rPr>
          <w:rFonts w:asciiTheme="majorBidi" w:hAnsiTheme="majorBidi" w:cstheme="majorBidi"/>
        </w:rPr>
      </w:pPr>
      <w:r w:rsidRPr="00433908">
        <w:rPr>
          <w:rFonts w:asciiTheme="majorBidi" w:hAnsiTheme="majorBidi" w:cstheme="majorBidi"/>
        </w:rPr>
        <w:t xml:space="preserve">Consider the following (extreme) example: Firm </w:t>
      </w:r>
      <w:r w:rsidR="001E4E3E" w:rsidRPr="00433908">
        <w:rPr>
          <w:rFonts w:asciiTheme="majorBidi" w:hAnsiTheme="majorBidi" w:cstheme="majorBidi"/>
        </w:rPr>
        <w:t>A</w:t>
      </w:r>
      <w:r w:rsidRPr="00433908">
        <w:rPr>
          <w:rFonts w:asciiTheme="majorBidi" w:hAnsiTheme="majorBidi" w:cstheme="majorBidi"/>
        </w:rPr>
        <w:t xml:space="preserve"> has a dual class stock.</w:t>
      </w:r>
      <w:r w:rsidR="00332F5F" w:rsidRPr="00433908">
        <w:rPr>
          <w:rStyle w:val="FootnoteReference"/>
          <w:rFonts w:asciiTheme="majorBidi" w:hAnsiTheme="majorBidi" w:cstheme="majorBidi"/>
        </w:rPr>
        <w:footnoteReference w:id="59"/>
      </w:r>
      <w:r w:rsidRPr="00433908">
        <w:rPr>
          <w:rFonts w:asciiTheme="majorBidi" w:hAnsiTheme="majorBidi" w:cstheme="majorBidi"/>
        </w:rPr>
        <w:t xml:space="preserve"> </w:t>
      </w:r>
      <w:r w:rsidR="001E4E3E" w:rsidRPr="00433908">
        <w:rPr>
          <w:rFonts w:asciiTheme="majorBidi" w:hAnsiTheme="majorBidi" w:cstheme="majorBidi"/>
        </w:rPr>
        <w:t>One c</w:t>
      </w:r>
      <w:r w:rsidRPr="00433908">
        <w:rPr>
          <w:rFonts w:asciiTheme="majorBidi" w:hAnsiTheme="majorBidi" w:cstheme="majorBidi"/>
        </w:rPr>
        <w:t xml:space="preserve">lass </w:t>
      </w:r>
      <w:r w:rsidR="001E4E3E" w:rsidRPr="00433908">
        <w:rPr>
          <w:rFonts w:asciiTheme="majorBidi" w:hAnsiTheme="majorBidi" w:cstheme="majorBidi"/>
        </w:rPr>
        <w:t xml:space="preserve">of </w:t>
      </w:r>
      <w:r w:rsidRPr="00433908">
        <w:rPr>
          <w:rFonts w:asciiTheme="majorBidi" w:hAnsiTheme="majorBidi" w:cstheme="majorBidi"/>
        </w:rPr>
        <w:t xml:space="preserve">shares </w:t>
      </w:r>
      <w:r w:rsidR="00273680" w:rsidRPr="00433908">
        <w:rPr>
          <w:rFonts w:asciiTheme="majorBidi" w:hAnsiTheme="majorBidi" w:cstheme="majorBidi"/>
        </w:rPr>
        <w:t>grant</w:t>
      </w:r>
      <w:r w:rsidR="001E4E3E" w:rsidRPr="00433908">
        <w:rPr>
          <w:rFonts w:asciiTheme="majorBidi" w:hAnsiTheme="majorBidi" w:cstheme="majorBidi"/>
        </w:rPr>
        <w:t>s</w:t>
      </w:r>
      <w:r w:rsidRPr="00433908">
        <w:rPr>
          <w:rFonts w:asciiTheme="majorBidi" w:hAnsiTheme="majorBidi" w:cstheme="majorBidi"/>
        </w:rPr>
        <w:t xml:space="preserve"> voting rights but no financial rights, and </w:t>
      </w:r>
      <w:r w:rsidR="001E4E3E" w:rsidRPr="00433908">
        <w:rPr>
          <w:rFonts w:asciiTheme="majorBidi" w:hAnsiTheme="majorBidi" w:cstheme="majorBidi"/>
        </w:rPr>
        <w:t>the other class</w:t>
      </w:r>
      <w:r w:rsidRPr="00433908">
        <w:rPr>
          <w:rFonts w:asciiTheme="majorBidi" w:hAnsiTheme="majorBidi" w:cstheme="majorBidi"/>
        </w:rPr>
        <w:t xml:space="preserve"> </w:t>
      </w:r>
      <w:r w:rsidR="00273680" w:rsidRPr="00433908">
        <w:rPr>
          <w:rFonts w:asciiTheme="majorBidi" w:hAnsiTheme="majorBidi" w:cstheme="majorBidi"/>
        </w:rPr>
        <w:t>grant</w:t>
      </w:r>
      <w:r w:rsidR="00BD1DA9" w:rsidRPr="00433908">
        <w:rPr>
          <w:rFonts w:asciiTheme="majorBidi" w:hAnsiTheme="majorBidi" w:cstheme="majorBidi"/>
        </w:rPr>
        <w:t>s</w:t>
      </w:r>
      <w:r w:rsidRPr="00433908">
        <w:rPr>
          <w:rFonts w:asciiTheme="majorBidi" w:hAnsiTheme="majorBidi" w:cstheme="majorBidi"/>
        </w:rPr>
        <w:t xml:space="preserve"> financial rights but no voting rights. </w:t>
      </w:r>
      <w:r w:rsidR="008B5CD7" w:rsidRPr="00433908">
        <w:rPr>
          <w:rFonts w:asciiTheme="majorBidi" w:hAnsiTheme="majorBidi" w:cstheme="majorBidi"/>
        </w:rPr>
        <w:t xml:space="preserve">Firm </w:t>
      </w:r>
      <w:r w:rsidR="00D115CD" w:rsidRPr="00433908">
        <w:rPr>
          <w:rFonts w:asciiTheme="majorBidi" w:hAnsiTheme="majorBidi" w:cstheme="majorBidi"/>
        </w:rPr>
        <w:t>A</w:t>
      </w:r>
      <w:r w:rsidRPr="00433908">
        <w:rPr>
          <w:rFonts w:asciiTheme="majorBidi" w:hAnsiTheme="majorBidi" w:cstheme="majorBidi"/>
        </w:rPr>
        <w:t xml:space="preserve">’s controller owns </w:t>
      </w:r>
      <w:r w:rsidR="00F705D2" w:rsidRPr="00433908">
        <w:rPr>
          <w:rFonts w:asciiTheme="majorBidi" w:hAnsiTheme="majorBidi" w:cstheme="majorBidi"/>
        </w:rPr>
        <w:t xml:space="preserve">all the </w:t>
      </w:r>
      <w:r w:rsidRPr="00433908">
        <w:rPr>
          <w:rFonts w:asciiTheme="majorBidi" w:hAnsiTheme="majorBidi" w:cstheme="majorBidi"/>
        </w:rPr>
        <w:t>shares</w:t>
      </w:r>
      <w:r w:rsidR="001E4E3E" w:rsidRPr="00433908">
        <w:rPr>
          <w:rFonts w:asciiTheme="majorBidi" w:hAnsiTheme="majorBidi" w:cstheme="majorBidi"/>
        </w:rPr>
        <w:t xml:space="preserve"> that grant voting rights</w:t>
      </w:r>
      <w:r w:rsidR="00F705D2" w:rsidRPr="00433908">
        <w:rPr>
          <w:rFonts w:asciiTheme="majorBidi" w:hAnsiTheme="majorBidi" w:cstheme="majorBidi"/>
        </w:rPr>
        <w:t>, but none of the shares that grant financial rights</w:t>
      </w:r>
      <w:r w:rsidRPr="00433908">
        <w:rPr>
          <w:rFonts w:asciiTheme="majorBidi" w:hAnsiTheme="majorBidi" w:cstheme="majorBidi"/>
        </w:rPr>
        <w:t xml:space="preserve">. It controls the firm, but has no financial stake in it. </w:t>
      </w:r>
      <w:r w:rsidR="00D115CD" w:rsidRPr="00433908">
        <w:rPr>
          <w:rFonts w:asciiTheme="majorBidi" w:hAnsiTheme="majorBidi" w:cstheme="majorBidi"/>
        </w:rPr>
        <w:t>Firm A</w:t>
      </w:r>
      <w:r w:rsidRPr="00433908">
        <w:rPr>
          <w:rFonts w:asciiTheme="majorBidi" w:hAnsiTheme="majorBidi" w:cstheme="majorBidi"/>
        </w:rPr>
        <w:t xml:space="preserve">’s controller also holds </w:t>
      </w:r>
      <w:r w:rsidR="0070678A" w:rsidRPr="00433908">
        <w:rPr>
          <w:rFonts w:asciiTheme="majorBidi" w:hAnsiTheme="majorBidi" w:cstheme="majorBidi"/>
        </w:rPr>
        <w:t xml:space="preserve">shares of firm </w:t>
      </w:r>
      <w:r w:rsidR="00716FF8" w:rsidRPr="00433908">
        <w:rPr>
          <w:rFonts w:asciiTheme="majorBidi" w:hAnsiTheme="majorBidi" w:cstheme="majorBidi"/>
        </w:rPr>
        <w:t>B</w:t>
      </w:r>
      <w:r w:rsidR="0070678A" w:rsidRPr="00433908">
        <w:rPr>
          <w:rFonts w:asciiTheme="majorBidi" w:hAnsiTheme="majorBidi" w:cstheme="majorBidi"/>
        </w:rPr>
        <w:t xml:space="preserve">, firm </w:t>
      </w:r>
      <w:r w:rsidR="00716FF8" w:rsidRPr="00433908">
        <w:rPr>
          <w:rFonts w:asciiTheme="majorBidi" w:hAnsiTheme="majorBidi" w:cstheme="majorBidi"/>
        </w:rPr>
        <w:t>A</w:t>
      </w:r>
      <w:r w:rsidRPr="00433908">
        <w:rPr>
          <w:rFonts w:asciiTheme="majorBidi" w:hAnsiTheme="majorBidi" w:cstheme="majorBidi"/>
        </w:rPr>
        <w:t xml:space="preserve">’s competitor. </w:t>
      </w:r>
      <w:r w:rsidR="0070678A" w:rsidRPr="00433908">
        <w:rPr>
          <w:rFonts w:asciiTheme="majorBidi" w:hAnsiTheme="majorBidi" w:cstheme="majorBidi"/>
        </w:rPr>
        <w:t xml:space="preserve">These are regular shares, and the controller thus has a financial stake in firm </w:t>
      </w:r>
      <w:r w:rsidR="00BF19D8" w:rsidRPr="00433908">
        <w:rPr>
          <w:rFonts w:asciiTheme="majorBidi" w:hAnsiTheme="majorBidi" w:cstheme="majorBidi"/>
        </w:rPr>
        <w:t>B</w:t>
      </w:r>
      <w:r w:rsidR="0070678A" w:rsidRPr="00433908">
        <w:rPr>
          <w:rFonts w:asciiTheme="majorBidi" w:hAnsiTheme="majorBidi" w:cstheme="majorBidi"/>
        </w:rPr>
        <w:t xml:space="preserve">. </w:t>
      </w:r>
      <w:r w:rsidRPr="00433908">
        <w:rPr>
          <w:rFonts w:asciiTheme="majorBidi" w:hAnsiTheme="majorBidi" w:cstheme="majorBidi"/>
        </w:rPr>
        <w:t xml:space="preserve">The controller clearly prefers profits and sales to be diverted </w:t>
      </w:r>
      <w:r w:rsidR="001E4E3E" w:rsidRPr="00433908">
        <w:rPr>
          <w:rFonts w:asciiTheme="majorBidi" w:hAnsiTheme="majorBidi" w:cstheme="majorBidi"/>
        </w:rPr>
        <w:t xml:space="preserve">from firm </w:t>
      </w:r>
      <w:r w:rsidR="00BF19D8" w:rsidRPr="00433908">
        <w:rPr>
          <w:rFonts w:asciiTheme="majorBidi" w:hAnsiTheme="majorBidi" w:cstheme="majorBidi"/>
        </w:rPr>
        <w:t xml:space="preserve">A </w:t>
      </w:r>
      <w:r w:rsidRPr="00433908">
        <w:rPr>
          <w:rFonts w:asciiTheme="majorBidi" w:hAnsiTheme="majorBidi" w:cstheme="majorBidi"/>
        </w:rPr>
        <w:t xml:space="preserve">to </w:t>
      </w:r>
      <w:r w:rsidR="0015350E" w:rsidRPr="00433908">
        <w:rPr>
          <w:rFonts w:asciiTheme="majorBidi" w:hAnsiTheme="majorBidi" w:cstheme="majorBidi"/>
        </w:rPr>
        <w:t xml:space="preserve">firm </w:t>
      </w:r>
      <w:r w:rsidR="00BF19D8" w:rsidRPr="00433908">
        <w:rPr>
          <w:rFonts w:asciiTheme="majorBidi" w:hAnsiTheme="majorBidi" w:cstheme="majorBidi"/>
        </w:rPr>
        <w:t>B</w:t>
      </w:r>
      <w:r w:rsidR="0015350E" w:rsidRPr="00433908">
        <w:rPr>
          <w:rFonts w:asciiTheme="majorBidi" w:hAnsiTheme="majorBidi" w:cstheme="majorBidi"/>
        </w:rPr>
        <w:t xml:space="preserve">. </w:t>
      </w:r>
      <w:r w:rsidR="00716FF8" w:rsidRPr="00433908">
        <w:rPr>
          <w:rFonts w:asciiTheme="majorBidi" w:hAnsiTheme="majorBidi" w:cstheme="majorBidi"/>
        </w:rPr>
        <w:t xml:space="preserve">The controller earns nothing if profits accrue to firm A, whereas profits accruing to firm B </w:t>
      </w:r>
      <w:r w:rsidR="00F705D2" w:rsidRPr="00433908">
        <w:rPr>
          <w:rFonts w:asciiTheme="majorBidi" w:hAnsiTheme="majorBidi" w:cstheme="majorBidi"/>
        </w:rPr>
        <w:t>benefit</w:t>
      </w:r>
      <w:r w:rsidR="00716FF8" w:rsidRPr="00433908">
        <w:rPr>
          <w:rFonts w:asciiTheme="majorBidi" w:hAnsiTheme="majorBidi" w:cstheme="majorBidi"/>
        </w:rPr>
        <w:t xml:space="preserve"> the shareholder. </w:t>
      </w:r>
      <w:r w:rsidR="0015350E" w:rsidRPr="00433908">
        <w:rPr>
          <w:rFonts w:asciiTheme="majorBidi" w:hAnsiTheme="majorBidi" w:cstheme="majorBidi"/>
        </w:rPr>
        <w:t xml:space="preserve">Firm </w:t>
      </w:r>
      <w:r w:rsidR="00BF19D8" w:rsidRPr="00433908">
        <w:rPr>
          <w:rFonts w:asciiTheme="majorBidi" w:hAnsiTheme="majorBidi" w:cstheme="majorBidi"/>
        </w:rPr>
        <w:t>A</w:t>
      </w:r>
      <w:r w:rsidR="0015350E" w:rsidRPr="00433908">
        <w:rPr>
          <w:rFonts w:asciiTheme="majorBidi" w:hAnsiTheme="majorBidi" w:cstheme="majorBidi"/>
        </w:rPr>
        <w:t>’s management</w:t>
      </w:r>
      <w:r w:rsidR="00F705D2" w:rsidRPr="00433908">
        <w:rPr>
          <w:rFonts w:asciiTheme="majorBidi" w:hAnsiTheme="majorBidi" w:cstheme="majorBidi"/>
        </w:rPr>
        <w:t xml:space="preserve"> can be instructed to</w:t>
      </w:r>
      <w:r w:rsidR="0015350E" w:rsidRPr="00433908">
        <w:rPr>
          <w:rFonts w:asciiTheme="majorBidi" w:hAnsiTheme="majorBidi" w:cstheme="majorBidi"/>
        </w:rPr>
        <w:t xml:space="preserve"> raise </w:t>
      </w:r>
      <w:r w:rsidR="00543C29" w:rsidRPr="00433908">
        <w:rPr>
          <w:rFonts w:asciiTheme="majorBidi" w:hAnsiTheme="majorBidi" w:cstheme="majorBidi"/>
        </w:rPr>
        <w:t xml:space="preserve">the </w:t>
      </w:r>
      <w:r w:rsidR="0015350E" w:rsidRPr="00433908">
        <w:rPr>
          <w:rFonts w:asciiTheme="majorBidi" w:hAnsiTheme="majorBidi" w:cstheme="majorBidi"/>
        </w:rPr>
        <w:t xml:space="preserve">price </w:t>
      </w:r>
      <w:r w:rsidR="00543C29" w:rsidRPr="00433908">
        <w:rPr>
          <w:rFonts w:asciiTheme="majorBidi" w:hAnsiTheme="majorBidi" w:cstheme="majorBidi"/>
        </w:rPr>
        <w:t>firm A charges for the product</w:t>
      </w:r>
      <w:r w:rsidR="004F3B13">
        <w:rPr>
          <w:rFonts w:asciiTheme="majorBidi" w:hAnsiTheme="majorBidi" w:cstheme="majorBidi"/>
        </w:rPr>
        <w:t>,</w:t>
      </w:r>
      <w:r w:rsidR="00543C29" w:rsidRPr="00433908">
        <w:rPr>
          <w:rFonts w:asciiTheme="majorBidi" w:hAnsiTheme="majorBidi" w:cstheme="majorBidi"/>
        </w:rPr>
        <w:t xml:space="preserve"> </w:t>
      </w:r>
      <w:r w:rsidR="0015350E" w:rsidRPr="00433908">
        <w:rPr>
          <w:rFonts w:asciiTheme="majorBidi" w:hAnsiTheme="majorBidi" w:cstheme="majorBidi"/>
        </w:rPr>
        <w:t xml:space="preserve">so that consumers, or a large subset of consumers, </w:t>
      </w:r>
      <w:r w:rsidR="00F705D2" w:rsidRPr="00433908">
        <w:rPr>
          <w:rFonts w:asciiTheme="majorBidi" w:hAnsiTheme="majorBidi" w:cstheme="majorBidi"/>
        </w:rPr>
        <w:t xml:space="preserve">will </w:t>
      </w:r>
      <w:r w:rsidR="0015350E" w:rsidRPr="00433908">
        <w:rPr>
          <w:rFonts w:asciiTheme="majorBidi" w:hAnsiTheme="majorBidi" w:cstheme="majorBidi"/>
        </w:rPr>
        <w:t xml:space="preserve">shift demand to firm </w:t>
      </w:r>
      <w:r w:rsidR="00BF19D8" w:rsidRPr="00433908">
        <w:rPr>
          <w:rFonts w:asciiTheme="majorBidi" w:hAnsiTheme="majorBidi" w:cstheme="majorBidi"/>
        </w:rPr>
        <w:t>B</w:t>
      </w:r>
      <w:r w:rsidR="00716FF8" w:rsidRPr="00433908">
        <w:rPr>
          <w:rFonts w:asciiTheme="majorBidi" w:hAnsiTheme="majorBidi" w:cstheme="majorBidi"/>
        </w:rPr>
        <w:t>.</w:t>
      </w:r>
    </w:p>
    <w:p w14:paraId="078A1EF4" w14:textId="3DE7717D" w:rsidR="009C75B7" w:rsidRPr="00433908" w:rsidRDefault="0015350E" w:rsidP="00716FF8">
      <w:pPr>
        <w:jc w:val="both"/>
        <w:rPr>
          <w:rFonts w:asciiTheme="majorBidi" w:hAnsiTheme="majorBidi" w:cstheme="majorBidi"/>
        </w:rPr>
      </w:pPr>
      <w:r w:rsidRPr="00433908">
        <w:rPr>
          <w:rFonts w:asciiTheme="majorBidi" w:hAnsiTheme="majorBidi" w:cstheme="majorBidi"/>
        </w:rPr>
        <w:t xml:space="preserve">The analysis can, of course, be </w:t>
      </w:r>
      <w:r w:rsidR="0070678A" w:rsidRPr="00433908">
        <w:rPr>
          <w:rFonts w:asciiTheme="majorBidi" w:hAnsiTheme="majorBidi" w:cstheme="majorBidi"/>
        </w:rPr>
        <w:t>generalized</w:t>
      </w:r>
      <w:r w:rsidRPr="00433908">
        <w:rPr>
          <w:rFonts w:asciiTheme="majorBidi" w:hAnsiTheme="majorBidi" w:cstheme="majorBidi"/>
        </w:rPr>
        <w:t>. As long as there is any divergence in the financial stake</w:t>
      </w:r>
      <w:r w:rsidR="00BF19D8" w:rsidRPr="00433908">
        <w:rPr>
          <w:rFonts w:asciiTheme="majorBidi" w:hAnsiTheme="majorBidi" w:cstheme="majorBidi"/>
        </w:rPr>
        <w:t>s</w:t>
      </w:r>
      <w:r w:rsidRPr="00433908">
        <w:rPr>
          <w:rFonts w:asciiTheme="majorBidi" w:hAnsiTheme="majorBidi" w:cstheme="majorBidi"/>
        </w:rPr>
        <w:t xml:space="preserve"> the controller has in each </w:t>
      </w:r>
      <w:r w:rsidR="0070678A" w:rsidRPr="00433908">
        <w:rPr>
          <w:rFonts w:asciiTheme="majorBidi" w:hAnsiTheme="majorBidi" w:cstheme="majorBidi"/>
        </w:rPr>
        <w:t xml:space="preserve">of the </w:t>
      </w:r>
      <w:r w:rsidRPr="00433908">
        <w:rPr>
          <w:rFonts w:asciiTheme="majorBidi" w:hAnsiTheme="majorBidi" w:cstheme="majorBidi"/>
        </w:rPr>
        <w:t>firm</w:t>
      </w:r>
      <w:r w:rsidR="0070678A" w:rsidRPr="00433908">
        <w:rPr>
          <w:rFonts w:asciiTheme="majorBidi" w:hAnsiTheme="majorBidi" w:cstheme="majorBidi"/>
        </w:rPr>
        <w:t>s</w:t>
      </w:r>
      <w:r w:rsidRPr="00433908">
        <w:rPr>
          <w:rFonts w:asciiTheme="majorBidi" w:hAnsiTheme="majorBidi" w:cstheme="majorBidi"/>
        </w:rPr>
        <w:t xml:space="preserve">, the controller will have a preference for profits to flow to the firm in which </w:t>
      </w:r>
      <w:r w:rsidR="00F705D2" w:rsidRPr="00433908">
        <w:rPr>
          <w:rFonts w:asciiTheme="majorBidi" w:hAnsiTheme="majorBidi" w:cstheme="majorBidi"/>
        </w:rPr>
        <w:t xml:space="preserve">its </w:t>
      </w:r>
      <w:r w:rsidRPr="00433908">
        <w:rPr>
          <w:rFonts w:asciiTheme="majorBidi" w:hAnsiTheme="majorBidi" w:cstheme="majorBidi"/>
        </w:rPr>
        <w:t xml:space="preserve">financial stake is the largest. And </w:t>
      </w:r>
      <w:r w:rsidR="00C44A7F" w:rsidRPr="00433908">
        <w:rPr>
          <w:rFonts w:asciiTheme="majorBidi" w:hAnsiTheme="majorBidi" w:cstheme="majorBidi"/>
        </w:rPr>
        <w:t xml:space="preserve">if the financial </w:t>
      </w:r>
      <w:r w:rsidR="009C75B7" w:rsidRPr="00433908">
        <w:rPr>
          <w:rFonts w:asciiTheme="majorBidi" w:hAnsiTheme="majorBidi" w:cstheme="majorBidi"/>
        </w:rPr>
        <w:t xml:space="preserve">holdings in the </w:t>
      </w:r>
      <w:r w:rsidR="00BF19D8" w:rsidRPr="00433908">
        <w:rPr>
          <w:rFonts w:asciiTheme="majorBidi" w:hAnsiTheme="majorBidi" w:cstheme="majorBidi"/>
        </w:rPr>
        <w:t xml:space="preserve">controlled </w:t>
      </w:r>
      <w:r w:rsidR="009C75B7" w:rsidRPr="00433908">
        <w:rPr>
          <w:rFonts w:asciiTheme="majorBidi" w:hAnsiTheme="majorBidi" w:cstheme="majorBidi"/>
        </w:rPr>
        <w:t>firm are smaller than the financial stakes in the competitor, the anti-competitive conduct may ensue.</w:t>
      </w:r>
      <w:r w:rsidR="009C75B7" w:rsidRPr="00433908">
        <w:rPr>
          <w:rStyle w:val="FootnoteReference"/>
          <w:rFonts w:asciiTheme="majorBidi" w:hAnsiTheme="majorBidi" w:cstheme="majorBidi"/>
        </w:rPr>
        <w:footnoteReference w:id="60"/>
      </w:r>
      <w:r w:rsidR="009C75B7" w:rsidRPr="00433908">
        <w:rPr>
          <w:rFonts w:asciiTheme="majorBidi" w:hAnsiTheme="majorBidi" w:cstheme="majorBidi"/>
        </w:rPr>
        <w:t xml:space="preserve"> </w:t>
      </w:r>
      <w:r w:rsidR="00C83CED" w:rsidRPr="00433908">
        <w:rPr>
          <w:rFonts w:asciiTheme="majorBidi" w:hAnsiTheme="majorBidi" w:cstheme="majorBidi"/>
        </w:rPr>
        <w:t xml:space="preserve">As </w:t>
      </w:r>
      <w:proofErr w:type="spellStart"/>
      <w:r w:rsidR="00C83CED" w:rsidRPr="00433908">
        <w:rPr>
          <w:rFonts w:asciiTheme="majorBidi" w:hAnsiTheme="majorBidi" w:cstheme="majorBidi"/>
        </w:rPr>
        <w:t>Gilo</w:t>
      </w:r>
      <w:proofErr w:type="spellEnd"/>
      <w:r w:rsidR="00C83CED" w:rsidRPr="00433908">
        <w:rPr>
          <w:rFonts w:asciiTheme="majorBidi" w:hAnsiTheme="majorBidi" w:cstheme="majorBidi"/>
        </w:rPr>
        <w:t xml:space="preserve"> summarizes:</w:t>
      </w:r>
    </w:p>
    <w:p w14:paraId="32A26433" w14:textId="77777777" w:rsidR="00C83CED" w:rsidRPr="00433908" w:rsidRDefault="00C83CED" w:rsidP="00C83CED">
      <w:pPr>
        <w:ind w:left="720"/>
        <w:jc w:val="both"/>
        <w:rPr>
          <w:rFonts w:asciiTheme="majorBidi" w:hAnsiTheme="majorBidi" w:cstheme="majorBidi"/>
        </w:rPr>
      </w:pPr>
    </w:p>
    <w:p w14:paraId="1E9140DE" w14:textId="48426F68" w:rsidR="00C83CED" w:rsidRPr="00433908" w:rsidRDefault="00C83CED" w:rsidP="001C1DA6">
      <w:pPr>
        <w:ind w:left="720" w:right="798"/>
        <w:jc w:val="both"/>
        <w:rPr>
          <w:rFonts w:asciiTheme="majorBidi" w:hAnsiTheme="majorBidi" w:cstheme="majorBidi"/>
        </w:rPr>
      </w:pPr>
      <w:r w:rsidRPr="00433908">
        <w:rPr>
          <w:rFonts w:asciiTheme="majorBidi" w:hAnsiTheme="majorBidi" w:cstheme="majorBidi"/>
        </w:rPr>
        <w:t>“In summary, when a firm’s controller (be it a parent company or an individual) invests in the firm’s competitor, in addition to the controller’s stake in the competitor, the controller’s stake in the firm it controls becomes important. The smaller the controller’s stake in the firm it controls, the less aggressively will the controller cause the firm it controls to compete. This is because the smaller the controller’s stake in the firm it controls, the more weight the controller places on its stake in the competing firm. This further implies that even relatively small stakes the controller holds in the competing firm could substantially lessen competition if the controller has a diluted stake in the firm it controls.</w:t>
      </w:r>
    </w:p>
    <w:p w14:paraId="01374184" w14:textId="7EE9A024" w:rsidR="00C83CED" w:rsidRPr="00433908" w:rsidRDefault="00C83CED" w:rsidP="001C1DA6">
      <w:pPr>
        <w:ind w:left="720" w:right="798"/>
        <w:jc w:val="both"/>
        <w:rPr>
          <w:rFonts w:asciiTheme="majorBidi" w:hAnsiTheme="majorBidi" w:cstheme="majorBidi"/>
        </w:rPr>
      </w:pPr>
      <w:r w:rsidRPr="00433908">
        <w:rPr>
          <w:rFonts w:asciiTheme="majorBidi" w:hAnsiTheme="majorBidi" w:cstheme="majorBidi"/>
        </w:rPr>
        <w:t xml:space="preserve">The analysis of passive investment by a firm’s controlling shareholder in the firm’s competitor is directly analogous to passive investment by a firm’s </w:t>
      </w:r>
      <w:r w:rsidRPr="00433908">
        <w:rPr>
          <w:rFonts w:asciiTheme="majorBidi" w:hAnsiTheme="majorBidi" w:cstheme="majorBidi"/>
          <w:i/>
          <w:iCs/>
        </w:rPr>
        <w:t>manager</w:t>
      </w:r>
      <w:r w:rsidRPr="00433908">
        <w:rPr>
          <w:rFonts w:asciiTheme="majorBidi" w:hAnsiTheme="majorBidi" w:cstheme="majorBidi"/>
        </w:rPr>
        <w:t xml:space="preserve"> in the firm’s competitor”.</w:t>
      </w:r>
      <w:r w:rsidRPr="00433908">
        <w:rPr>
          <w:rStyle w:val="FootnoteReference"/>
          <w:rFonts w:asciiTheme="majorBidi" w:hAnsiTheme="majorBidi" w:cstheme="majorBidi"/>
        </w:rPr>
        <w:footnoteReference w:id="61"/>
      </w:r>
    </w:p>
    <w:p w14:paraId="61BB4953" w14:textId="130E5D16" w:rsidR="00ED160F" w:rsidRPr="00433908" w:rsidRDefault="00ED160F" w:rsidP="003B7401">
      <w:pPr>
        <w:jc w:val="both"/>
        <w:rPr>
          <w:rFonts w:asciiTheme="majorBidi" w:hAnsiTheme="majorBidi" w:cstheme="majorBidi"/>
        </w:rPr>
      </w:pPr>
    </w:p>
    <w:p w14:paraId="63B17638" w14:textId="2391E3A6" w:rsidR="00C83CED" w:rsidRPr="00433908" w:rsidRDefault="00C83CED" w:rsidP="00C27460">
      <w:pPr>
        <w:jc w:val="both"/>
        <w:rPr>
          <w:rFonts w:asciiTheme="majorBidi" w:hAnsiTheme="majorBidi" w:cstheme="majorBidi"/>
        </w:rPr>
      </w:pPr>
      <w:r w:rsidRPr="00433908">
        <w:rPr>
          <w:rFonts w:asciiTheme="majorBidi" w:hAnsiTheme="majorBidi" w:cstheme="majorBidi"/>
        </w:rPr>
        <w:t xml:space="preserve">Of course, </w:t>
      </w:r>
      <w:r w:rsidR="009A69CD" w:rsidRPr="00433908">
        <w:rPr>
          <w:rFonts w:asciiTheme="majorBidi" w:hAnsiTheme="majorBidi" w:cstheme="majorBidi"/>
        </w:rPr>
        <w:t xml:space="preserve">as mentioned, </w:t>
      </w:r>
      <w:r w:rsidR="00040732" w:rsidRPr="00433908">
        <w:rPr>
          <w:rFonts w:asciiTheme="majorBidi" w:hAnsiTheme="majorBidi" w:cstheme="majorBidi"/>
        </w:rPr>
        <w:t xml:space="preserve">cross-holdings may </w:t>
      </w:r>
      <w:r w:rsidR="009A69CD" w:rsidRPr="00433908">
        <w:rPr>
          <w:rFonts w:asciiTheme="majorBidi" w:hAnsiTheme="majorBidi" w:cstheme="majorBidi"/>
        </w:rPr>
        <w:t xml:space="preserve">also </w:t>
      </w:r>
      <w:r w:rsidR="00040732" w:rsidRPr="00433908">
        <w:rPr>
          <w:rFonts w:asciiTheme="majorBidi" w:hAnsiTheme="majorBidi" w:cstheme="majorBidi"/>
        </w:rPr>
        <w:t xml:space="preserve">facilitate collusion, express or tacit. But the point is </w:t>
      </w:r>
      <w:r w:rsidR="0070678A" w:rsidRPr="00433908">
        <w:rPr>
          <w:rFonts w:asciiTheme="majorBidi" w:hAnsiTheme="majorBidi" w:cstheme="majorBidi"/>
        </w:rPr>
        <w:t xml:space="preserve">precisely </w:t>
      </w:r>
      <w:r w:rsidR="00716FF8" w:rsidRPr="00433908">
        <w:rPr>
          <w:rFonts w:asciiTheme="majorBidi" w:hAnsiTheme="majorBidi" w:cstheme="majorBidi"/>
        </w:rPr>
        <w:t xml:space="preserve">that </w:t>
      </w:r>
      <w:r w:rsidR="00BF19D8" w:rsidRPr="00433908">
        <w:rPr>
          <w:rFonts w:asciiTheme="majorBidi" w:hAnsiTheme="majorBidi" w:cstheme="majorBidi"/>
        </w:rPr>
        <w:t>“n</w:t>
      </w:r>
      <w:r w:rsidR="00AE151B" w:rsidRPr="00433908">
        <w:rPr>
          <w:rFonts w:asciiTheme="majorBidi" w:hAnsiTheme="majorBidi" w:cstheme="majorBidi"/>
        </w:rPr>
        <w:t>o such communication or coordination is necessary for the basic anticompetitive effect, which turns purely on structural incentives created by the interlocking shareholdings”</w:t>
      </w:r>
      <w:r w:rsidR="00BF19D8" w:rsidRPr="00433908">
        <w:rPr>
          <w:rFonts w:asciiTheme="majorBidi" w:hAnsiTheme="majorBidi" w:cstheme="majorBidi"/>
        </w:rPr>
        <w:t>.</w:t>
      </w:r>
      <w:bookmarkStart w:id="18" w:name="_Ref492547292"/>
      <w:r w:rsidR="001F036D" w:rsidRPr="00433908">
        <w:rPr>
          <w:rStyle w:val="FootnoteReference"/>
          <w:rFonts w:asciiTheme="majorBidi" w:hAnsiTheme="majorBidi" w:cstheme="majorBidi"/>
        </w:rPr>
        <w:footnoteReference w:id="62"/>
      </w:r>
      <w:bookmarkEnd w:id="18"/>
      <w:r w:rsidR="009A69CD" w:rsidRPr="00433908">
        <w:rPr>
          <w:rFonts w:asciiTheme="majorBidi" w:hAnsiTheme="majorBidi" w:cstheme="majorBidi"/>
        </w:rPr>
        <w:t xml:space="preserve"> </w:t>
      </w:r>
      <w:r w:rsidR="00716FF8" w:rsidRPr="00433908">
        <w:rPr>
          <w:rFonts w:asciiTheme="majorBidi" w:hAnsiTheme="majorBidi" w:cstheme="majorBidi"/>
        </w:rPr>
        <w:t xml:space="preserve">Even </w:t>
      </w:r>
      <w:r w:rsidR="00C27460" w:rsidRPr="00433908">
        <w:rPr>
          <w:rFonts w:asciiTheme="majorBidi" w:hAnsiTheme="majorBidi" w:cstheme="majorBidi"/>
          <w:i/>
          <w:iCs/>
        </w:rPr>
        <w:t>a</w:t>
      </w:r>
      <w:r w:rsidR="00BF19D8" w:rsidRPr="00433908">
        <w:rPr>
          <w:rFonts w:asciiTheme="majorBidi" w:hAnsiTheme="majorBidi" w:cstheme="majorBidi"/>
          <w:i/>
          <w:iCs/>
        </w:rPr>
        <w:t>bsent</w:t>
      </w:r>
      <w:r w:rsidR="00BF19D8" w:rsidRPr="00433908">
        <w:rPr>
          <w:rFonts w:asciiTheme="majorBidi" w:hAnsiTheme="majorBidi" w:cstheme="majorBidi"/>
        </w:rPr>
        <w:t xml:space="preserve"> collusion, cross-investment has anti-competitive potential. </w:t>
      </w:r>
      <w:r w:rsidR="009A69CD" w:rsidRPr="00433908">
        <w:rPr>
          <w:rFonts w:asciiTheme="majorBidi" w:hAnsiTheme="majorBidi" w:cstheme="majorBidi"/>
        </w:rPr>
        <w:t xml:space="preserve">The </w:t>
      </w:r>
      <w:r w:rsidR="009A69CD" w:rsidRPr="00433908">
        <w:rPr>
          <w:rFonts w:asciiTheme="majorBidi" w:hAnsiTheme="majorBidi" w:cstheme="majorBidi"/>
        </w:rPr>
        <w:lastRenderedPageBreak/>
        <w:t>controller</w:t>
      </w:r>
      <w:r w:rsidR="005B3C88" w:rsidRPr="00433908">
        <w:rPr>
          <w:rFonts w:asciiTheme="majorBidi" w:hAnsiTheme="majorBidi" w:cstheme="majorBidi"/>
        </w:rPr>
        <w:t xml:space="preserve"> can be expected to </w:t>
      </w:r>
      <w:r w:rsidR="009A69CD" w:rsidRPr="00433908">
        <w:rPr>
          <w:rFonts w:asciiTheme="majorBidi" w:hAnsiTheme="majorBidi" w:cstheme="majorBidi"/>
        </w:rPr>
        <w:t xml:space="preserve">cause </w:t>
      </w:r>
      <w:r w:rsidR="005B3C88" w:rsidRPr="00433908">
        <w:rPr>
          <w:rFonts w:asciiTheme="majorBidi" w:hAnsiTheme="majorBidi" w:cstheme="majorBidi"/>
        </w:rPr>
        <w:t xml:space="preserve">the controlled firm </w:t>
      </w:r>
      <w:r w:rsidR="001851F6" w:rsidRPr="00433908">
        <w:rPr>
          <w:rFonts w:asciiTheme="majorBidi" w:hAnsiTheme="majorBidi" w:cstheme="majorBidi"/>
        </w:rPr>
        <w:t xml:space="preserve">to </w:t>
      </w:r>
      <w:r w:rsidR="005B3C88" w:rsidRPr="00433908">
        <w:rPr>
          <w:rFonts w:asciiTheme="majorBidi" w:hAnsiTheme="majorBidi" w:cstheme="majorBidi"/>
        </w:rPr>
        <w:t xml:space="preserve">forego competition so as to allow the competing firm </w:t>
      </w:r>
      <w:r w:rsidR="001C1DA6" w:rsidRPr="00433908">
        <w:rPr>
          <w:rFonts w:asciiTheme="majorBidi" w:hAnsiTheme="majorBidi" w:cstheme="majorBidi"/>
        </w:rPr>
        <w:t xml:space="preserve">(in which the controller has a greater financial stake) </w:t>
      </w:r>
      <w:r w:rsidR="005B3C88" w:rsidRPr="00433908">
        <w:rPr>
          <w:rFonts w:asciiTheme="majorBidi" w:hAnsiTheme="majorBidi" w:cstheme="majorBidi"/>
        </w:rPr>
        <w:t>to reap the benefits.</w:t>
      </w:r>
      <w:bookmarkStart w:id="19" w:name="_Ref492547294"/>
      <w:r w:rsidR="002301D1" w:rsidRPr="00433908">
        <w:rPr>
          <w:rStyle w:val="FootnoteReference"/>
          <w:rFonts w:asciiTheme="majorBidi" w:hAnsiTheme="majorBidi" w:cstheme="majorBidi"/>
        </w:rPr>
        <w:footnoteReference w:id="63"/>
      </w:r>
      <w:bookmarkEnd w:id="19"/>
    </w:p>
    <w:p w14:paraId="1A22BF7B" w14:textId="77777777" w:rsidR="00040732" w:rsidRPr="00433908" w:rsidRDefault="00040732" w:rsidP="00040732">
      <w:pPr>
        <w:jc w:val="both"/>
        <w:rPr>
          <w:rFonts w:asciiTheme="majorBidi" w:hAnsiTheme="majorBidi" w:cstheme="majorBidi"/>
        </w:rPr>
      </w:pPr>
    </w:p>
    <w:p w14:paraId="6AE105A7" w14:textId="4E52F004" w:rsidR="00142674" w:rsidRPr="00433908" w:rsidRDefault="009A69CD" w:rsidP="004F3B13">
      <w:pPr>
        <w:jc w:val="both"/>
        <w:rPr>
          <w:rFonts w:asciiTheme="majorBidi" w:hAnsiTheme="majorBidi" w:cstheme="majorBidi"/>
        </w:rPr>
      </w:pPr>
      <w:r w:rsidRPr="00433908">
        <w:rPr>
          <w:rFonts w:asciiTheme="majorBidi" w:hAnsiTheme="majorBidi" w:cstheme="majorBidi"/>
        </w:rPr>
        <w:t xml:space="preserve">An extremely important </w:t>
      </w:r>
      <w:r w:rsidR="002301D1" w:rsidRPr="00433908">
        <w:rPr>
          <w:rFonts w:asciiTheme="majorBidi" w:hAnsiTheme="majorBidi" w:cstheme="majorBidi"/>
        </w:rPr>
        <w:t xml:space="preserve">observation </w:t>
      </w:r>
      <w:r w:rsidRPr="00433908">
        <w:rPr>
          <w:rFonts w:asciiTheme="majorBidi" w:hAnsiTheme="majorBidi" w:cstheme="majorBidi"/>
        </w:rPr>
        <w:t>for the argument pressed in th</w:t>
      </w:r>
      <w:r w:rsidR="004F3B13">
        <w:rPr>
          <w:rFonts w:asciiTheme="majorBidi" w:hAnsiTheme="majorBidi" w:cstheme="majorBidi"/>
        </w:rPr>
        <w:t xml:space="preserve">e current </w:t>
      </w:r>
      <w:r w:rsidRPr="00433908">
        <w:rPr>
          <w:rFonts w:asciiTheme="majorBidi" w:hAnsiTheme="majorBidi" w:cstheme="majorBidi"/>
        </w:rPr>
        <w:t>Paper</w:t>
      </w:r>
      <w:r w:rsidR="00040732" w:rsidRPr="00433908">
        <w:rPr>
          <w:rFonts w:asciiTheme="majorBidi" w:hAnsiTheme="majorBidi" w:cstheme="majorBidi"/>
        </w:rPr>
        <w:t xml:space="preserve"> is that there is a stark difference between the </w:t>
      </w:r>
      <w:r w:rsidRPr="00433908">
        <w:rPr>
          <w:rFonts w:asciiTheme="majorBidi" w:hAnsiTheme="majorBidi" w:cstheme="majorBidi"/>
        </w:rPr>
        <w:t xml:space="preserve">two settings discussed – the </w:t>
      </w:r>
      <w:r w:rsidR="002301D1" w:rsidRPr="00433908">
        <w:rPr>
          <w:rFonts w:asciiTheme="majorBidi" w:hAnsiTheme="majorBidi" w:cstheme="majorBidi"/>
        </w:rPr>
        <w:t xml:space="preserve">‘classic’ </w:t>
      </w:r>
      <w:r w:rsidR="00040732" w:rsidRPr="00433908">
        <w:rPr>
          <w:rFonts w:asciiTheme="majorBidi" w:hAnsiTheme="majorBidi" w:cstheme="majorBidi"/>
        </w:rPr>
        <w:t>setting</w:t>
      </w:r>
      <w:r w:rsidR="002301D1" w:rsidRPr="00433908">
        <w:rPr>
          <w:rFonts w:asciiTheme="majorBidi" w:hAnsiTheme="majorBidi" w:cstheme="majorBidi"/>
        </w:rPr>
        <w:t>,</w:t>
      </w:r>
      <w:r w:rsidR="00040732" w:rsidRPr="00433908">
        <w:rPr>
          <w:rFonts w:asciiTheme="majorBidi" w:hAnsiTheme="majorBidi" w:cstheme="majorBidi"/>
        </w:rPr>
        <w:t xml:space="preserve"> </w:t>
      </w:r>
      <w:r w:rsidR="002301D1" w:rsidRPr="00433908">
        <w:rPr>
          <w:rFonts w:asciiTheme="majorBidi" w:hAnsiTheme="majorBidi" w:cstheme="majorBidi"/>
        </w:rPr>
        <w:t xml:space="preserve">in which the same shareholder controls </w:t>
      </w:r>
      <w:r w:rsidR="002301D1" w:rsidRPr="00433908">
        <w:rPr>
          <w:rFonts w:asciiTheme="majorBidi" w:hAnsiTheme="majorBidi" w:cstheme="majorBidi"/>
          <w:i/>
          <w:iCs/>
        </w:rPr>
        <w:t>both</w:t>
      </w:r>
      <w:r w:rsidR="002301D1" w:rsidRPr="00433908">
        <w:rPr>
          <w:rFonts w:asciiTheme="majorBidi" w:hAnsiTheme="majorBidi" w:cstheme="majorBidi"/>
        </w:rPr>
        <w:t xml:space="preserve"> firms</w:t>
      </w:r>
      <w:r w:rsidR="00FB4D9D" w:rsidRPr="00433908">
        <w:rPr>
          <w:rFonts w:asciiTheme="majorBidi" w:hAnsiTheme="majorBidi" w:cstheme="majorBidi"/>
        </w:rPr>
        <w:t xml:space="preserve"> and exerts this control to relax competition</w:t>
      </w:r>
      <w:r w:rsidR="002301D1" w:rsidRPr="00433908">
        <w:rPr>
          <w:rFonts w:asciiTheme="majorBidi" w:hAnsiTheme="majorBidi" w:cstheme="majorBidi"/>
        </w:rPr>
        <w:t xml:space="preserve">, </w:t>
      </w:r>
      <w:r w:rsidR="00040732" w:rsidRPr="00433908">
        <w:rPr>
          <w:rFonts w:asciiTheme="majorBidi" w:hAnsiTheme="majorBidi" w:cstheme="majorBidi"/>
        </w:rPr>
        <w:t xml:space="preserve">and the setting </w:t>
      </w:r>
      <w:r w:rsidR="003D3DF2" w:rsidRPr="00433908">
        <w:rPr>
          <w:rFonts w:asciiTheme="majorBidi" w:hAnsiTheme="majorBidi" w:cstheme="majorBidi"/>
        </w:rPr>
        <w:t xml:space="preserve">in which the shareholder </w:t>
      </w:r>
      <w:r w:rsidR="00040732" w:rsidRPr="00433908">
        <w:rPr>
          <w:rFonts w:asciiTheme="majorBidi" w:hAnsiTheme="majorBidi" w:cstheme="majorBidi"/>
        </w:rPr>
        <w:t>control</w:t>
      </w:r>
      <w:r w:rsidR="003D3DF2" w:rsidRPr="00433908">
        <w:rPr>
          <w:rFonts w:asciiTheme="majorBidi" w:hAnsiTheme="majorBidi" w:cstheme="majorBidi"/>
        </w:rPr>
        <w:t>s</w:t>
      </w:r>
      <w:r w:rsidR="00040732" w:rsidRPr="00433908">
        <w:rPr>
          <w:rFonts w:asciiTheme="majorBidi" w:hAnsiTheme="majorBidi" w:cstheme="majorBidi"/>
        </w:rPr>
        <w:t xml:space="preserve"> only o</w:t>
      </w:r>
      <w:r w:rsidR="005B3C88" w:rsidRPr="00433908">
        <w:rPr>
          <w:rFonts w:asciiTheme="majorBidi" w:hAnsiTheme="majorBidi" w:cstheme="majorBidi"/>
        </w:rPr>
        <w:t>ne</w:t>
      </w:r>
      <w:r w:rsidR="003D3DF2" w:rsidRPr="00433908">
        <w:rPr>
          <w:rFonts w:asciiTheme="majorBidi" w:hAnsiTheme="majorBidi" w:cstheme="majorBidi"/>
        </w:rPr>
        <w:t xml:space="preserve"> </w:t>
      </w:r>
      <w:r w:rsidR="00716FF8" w:rsidRPr="00433908">
        <w:rPr>
          <w:rFonts w:asciiTheme="majorBidi" w:hAnsiTheme="majorBidi" w:cstheme="majorBidi"/>
        </w:rPr>
        <w:t xml:space="preserve">of the </w:t>
      </w:r>
      <w:r w:rsidR="003D3DF2" w:rsidRPr="00433908">
        <w:rPr>
          <w:rFonts w:asciiTheme="majorBidi" w:hAnsiTheme="majorBidi" w:cstheme="majorBidi"/>
        </w:rPr>
        <w:t>firm</w:t>
      </w:r>
      <w:r w:rsidR="00716FF8" w:rsidRPr="00433908">
        <w:rPr>
          <w:rFonts w:asciiTheme="majorBidi" w:hAnsiTheme="majorBidi" w:cstheme="majorBidi"/>
        </w:rPr>
        <w:t>s</w:t>
      </w:r>
      <w:r w:rsidR="00142674" w:rsidRPr="00433908">
        <w:rPr>
          <w:rFonts w:asciiTheme="majorBidi" w:hAnsiTheme="majorBidi" w:cstheme="majorBidi"/>
        </w:rPr>
        <w:t>.</w:t>
      </w:r>
    </w:p>
    <w:p w14:paraId="62F87B11" w14:textId="77777777" w:rsidR="00142674" w:rsidRPr="00433908" w:rsidRDefault="00142674" w:rsidP="00531D4E">
      <w:pPr>
        <w:jc w:val="both"/>
        <w:rPr>
          <w:rFonts w:asciiTheme="majorBidi" w:hAnsiTheme="majorBidi" w:cstheme="majorBidi"/>
        </w:rPr>
      </w:pPr>
    </w:p>
    <w:p w14:paraId="302E4C64" w14:textId="11408AB8" w:rsidR="0054328D" w:rsidRPr="00433908" w:rsidRDefault="003D3DF2" w:rsidP="004F3B13">
      <w:pPr>
        <w:jc w:val="both"/>
        <w:rPr>
          <w:rFonts w:asciiTheme="majorBidi" w:hAnsiTheme="majorBidi" w:cstheme="majorBidi"/>
        </w:rPr>
      </w:pPr>
      <w:r w:rsidRPr="00433908">
        <w:rPr>
          <w:rFonts w:asciiTheme="majorBidi" w:hAnsiTheme="majorBidi" w:cstheme="majorBidi"/>
        </w:rPr>
        <w:t>I</w:t>
      </w:r>
      <w:r w:rsidR="005B3C88" w:rsidRPr="00433908">
        <w:rPr>
          <w:rFonts w:asciiTheme="majorBidi" w:hAnsiTheme="majorBidi" w:cstheme="majorBidi"/>
        </w:rPr>
        <w:t>n the first setting</w:t>
      </w:r>
      <w:r w:rsidR="00716FF8" w:rsidRPr="00433908">
        <w:rPr>
          <w:rFonts w:asciiTheme="majorBidi" w:hAnsiTheme="majorBidi" w:cstheme="majorBidi"/>
        </w:rPr>
        <w:t>,</w:t>
      </w:r>
      <w:r w:rsidR="004F3B13">
        <w:rPr>
          <w:rFonts w:asciiTheme="majorBidi" w:hAnsiTheme="majorBidi" w:cstheme="majorBidi"/>
        </w:rPr>
        <w:t xml:space="preserve"> coordination leaves</w:t>
      </w:r>
      <w:r w:rsidR="00881C6C" w:rsidRPr="00433908">
        <w:rPr>
          <w:rFonts w:asciiTheme="majorBidi" w:hAnsiTheme="majorBidi" w:cstheme="majorBidi"/>
        </w:rPr>
        <w:t xml:space="preserve"> </w:t>
      </w:r>
      <w:r w:rsidR="005B3C88" w:rsidRPr="00433908">
        <w:rPr>
          <w:rFonts w:asciiTheme="majorBidi" w:hAnsiTheme="majorBidi" w:cstheme="majorBidi"/>
          <w:b/>
          <w:bCs/>
        </w:rPr>
        <w:t>both</w:t>
      </w:r>
      <w:r w:rsidR="005B3C88" w:rsidRPr="00433908">
        <w:rPr>
          <w:rFonts w:asciiTheme="majorBidi" w:hAnsiTheme="majorBidi" w:cstheme="majorBidi"/>
        </w:rPr>
        <w:t xml:space="preserve"> firms</w:t>
      </w:r>
      <w:r w:rsidR="009A69CD" w:rsidRPr="00433908">
        <w:rPr>
          <w:rFonts w:asciiTheme="majorBidi" w:hAnsiTheme="majorBidi" w:cstheme="majorBidi"/>
        </w:rPr>
        <w:t xml:space="preserve"> </w:t>
      </w:r>
      <w:r w:rsidRPr="00433908">
        <w:rPr>
          <w:rFonts w:asciiTheme="majorBidi" w:hAnsiTheme="majorBidi" w:cstheme="majorBidi"/>
        </w:rPr>
        <w:t xml:space="preserve">better off than they would have been but for the coordination. </w:t>
      </w:r>
      <w:r w:rsidR="009A69CD" w:rsidRPr="00433908">
        <w:rPr>
          <w:rFonts w:asciiTheme="majorBidi" w:hAnsiTheme="majorBidi" w:cstheme="majorBidi"/>
        </w:rPr>
        <w:t>T</w:t>
      </w:r>
      <w:r w:rsidR="00DE7F75" w:rsidRPr="00433908">
        <w:rPr>
          <w:rFonts w:asciiTheme="majorBidi" w:hAnsiTheme="majorBidi" w:cstheme="majorBidi"/>
        </w:rPr>
        <w:t>he</w:t>
      </w:r>
      <w:r w:rsidR="00FD43BF" w:rsidRPr="00433908">
        <w:rPr>
          <w:rFonts w:asciiTheme="majorBidi" w:hAnsiTheme="majorBidi" w:cstheme="majorBidi"/>
        </w:rPr>
        <w:t xml:space="preserve"> </w:t>
      </w:r>
      <w:r w:rsidR="009A69CD" w:rsidRPr="00433908">
        <w:rPr>
          <w:rFonts w:asciiTheme="majorBidi" w:hAnsiTheme="majorBidi" w:cstheme="majorBidi"/>
        </w:rPr>
        <w:t xml:space="preserve">joint </w:t>
      </w:r>
      <w:r w:rsidR="00DE7F75" w:rsidRPr="00433908">
        <w:rPr>
          <w:rFonts w:asciiTheme="majorBidi" w:hAnsiTheme="majorBidi" w:cstheme="majorBidi"/>
        </w:rPr>
        <w:t xml:space="preserve">(controlling) </w:t>
      </w:r>
      <w:r w:rsidR="009A69CD" w:rsidRPr="00433908">
        <w:rPr>
          <w:rFonts w:asciiTheme="majorBidi" w:hAnsiTheme="majorBidi" w:cstheme="majorBidi"/>
        </w:rPr>
        <w:t>shareholder</w:t>
      </w:r>
      <w:r w:rsidRPr="00433908">
        <w:rPr>
          <w:rFonts w:asciiTheme="majorBidi" w:hAnsiTheme="majorBidi" w:cstheme="majorBidi"/>
        </w:rPr>
        <w:t xml:space="preserve">, </w:t>
      </w:r>
      <w:r w:rsidR="00DE7F75" w:rsidRPr="00433908">
        <w:rPr>
          <w:rFonts w:asciiTheme="majorBidi" w:hAnsiTheme="majorBidi" w:cstheme="majorBidi"/>
        </w:rPr>
        <w:t>essentially forms a cartel (economically, although not necessarily legally)</w:t>
      </w:r>
      <w:r w:rsidR="004F3B13" w:rsidRPr="00433908">
        <w:rPr>
          <w:rStyle w:val="FootnoteReference"/>
          <w:rFonts w:asciiTheme="majorBidi" w:hAnsiTheme="majorBidi" w:cstheme="majorBidi"/>
        </w:rPr>
        <w:footnoteReference w:id="64"/>
      </w:r>
      <w:r w:rsidR="00531D4E" w:rsidRPr="00433908">
        <w:rPr>
          <w:rFonts w:asciiTheme="majorBidi" w:hAnsiTheme="majorBidi" w:cstheme="majorBidi"/>
        </w:rPr>
        <w:t xml:space="preserve"> or a </w:t>
      </w:r>
      <w:r w:rsidR="00531D4E" w:rsidRPr="00433908">
        <w:rPr>
          <w:rFonts w:asciiTheme="majorBidi" w:hAnsiTheme="majorBidi" w:cstheme="majorBidi"/>
          <w:i/>
          <w:iCs/>
        </w:rPr>
        <w:t>de facto</w:t>
      </w:r>
      <w:r w:rsidR="00142674" w:rsidRPr="00433908">
        <w:rPr>
          <w:rFonts w:asciiTheme="majorBidi" w:hAnsiTheme="majorBidi" w:cstheme="majorBidi"/>
        </w:rPr>
        <w:t xml:space="preserve"> fully-</w:t>
      </w:r>
      <w:r w:rsidR="00531D4E" w:rsidRPr="00433908">
        <w:rPr>
          <w:rFonts w:asciiTheme="majorBidi" w:hAnsiTheme="majorBidi" w:cstheme="majorBidi"/>
        </w:rPr>
        <w:t>merged firm. Both firms compete, or m</w:t>
      </w:r>
      <w:r w:rsidR="00142674" w:rsidRPr="00433908">
        <w:rPr>
          <w:rFonts w:asciiTheme="majorBidi" w:hAnsiTheme="majorBidi" w:cstheme="majorBidi"/>
        </w:rPr>
        <w:t>ore accurately do not compete</w:t>
      </w:r>
      <w:r w:rsidR="00BF318B" w:rsidRPr="00433908">
        <w:rPr>
          <w:rFonts w:asciiTheme="majorBidi" w:hAnsiTheme="majorBidi" w:cstheme="majorBidi"/>
        </w:rPr>
        <w:t>,</w:t>
      </w:r>
      <w:r w:rsidR="00142674" w:rsidRPr="00433908">
        <w:rPr>
          <w:rFonts w:asciiTheme="majorBidi" w:hAnsiTheme="majorBidi" w:cstheme="majorBidi"/>
        </w:rPr>
        <w:t xml:space="preserve"> </w:t>
      </w:r>
      <w:r w:rsidR="00531D4E" w:rsidRPr="00433908">
        <w:rPr>
          <w:rFonts w:asciiTheme="majorBidi" w:hAnsiTheme="majorBidi" w:cstheme="majorBidi"/>
        </w:rPr>
        <w:t>as if they were a single monopoly or</w:t>
      </w:r>
      <w:r w:rsidR="00AA0DDE" w:rsidRPr="00433908">
        <w:rPr>
          <w:rFonts w:asciiTheme="majorBidi" w:hAnsiTheme="majorBidi" w:cstheme="majorBidi"/>
        </w:rPr>
        <w:t xml:space="preserve"> cartel </w:t>
      </w:r>
      <w:r w:rsidR="00531D4E" w:rsidRPr="00433908">
        <w:rPr>
          <w:rFonts w:asciiTheme="majorBidi" w:hAnsiTheme="majorBidi" w:cstheme="majorBidi"/>
        </w:rPr>
        <w:t xml:space="preserve">members. </w:t>
      </w:r>
      <w:r w:rsidRPr="00433908">
        <w:rPr>
          <w:rFonts w:asciiTheme="majorBidi" w:hAnsiTheme="majorBidi" w:cstheme="majorBidi"/>
        </w:rPr>
        <w:t xml:space="preserve">The joint </w:t>
      </w:r>
      <w:r w:rsidR="00F705D2" w:rsidRPr="00433908">
        <w:rPr>
          <w:rFonts w:asciiTheme="majorBidi" w:hAnsiTheme="majorBidi" w:cstheme="majorBidi"/>
        </w:rPr>
        <w:t>controller</w:t>
      </w:r>
      <w:r w:rsidRPr="00433908">
        <w:rPr>
          <w:rFonts w:asciiTheme="majorBidi" w:hAnsiTheme="majorBidi" w:cstheme="majorBidi"/>
        </w:rPr>
        <w:t xml:space="preserve"> </w:t>
      </w:r>
      <w:r w:rsidR="00DE7F75" w:rsidRPr="00433908">
        <w:rPr>
          <w:rFonts w:asciiTheme="majorBidi" w:hAnsiTheme="majorBidi" w:cstheme="majorBidi"/>
        </w:rPr>
        <w:t>facilitat</w:t>
      </w:r>
      <w:r w:rsidR="00531D4E" w:rsidRPr="00433908">
        <w:rPr>
          <w:rFonts w:asciiTheme="majorBidi" w:hAnsiTheme="majorBidi" w:cstheme="majorBidi"/>
        </w:rPr>
        <w:t>es</w:t>
      </w:r>
      <w:r w:rsidRPr="00433908">
        <w:rPr>
          <w:rFonts w:asciiTheme="majorBidi" w:hAnsiTheme="majorBidi" w:cstheme="majorBidi"/>
        </w:rPr>
        <w:t xml:space="preserve"> behavior that i</w:t>
      </w:r>
      <w:r w:rsidR="00FB4D9D" w:rsidRPr="00433908">
        <w:rPr>
          <w:rFonts w:asciiTheme="majorBidi" w:hAnsiTheme="majorBidi" w:cstheme="majorBidi"/>
        </w:rPr>
        <w:t xml:space="preserve">s profit-increasing from </w:t>
      </w:r>
      <w:r w:rsidR="00FB4D9D" w:rsidRPr="00433908">
        <w:rPr>
          <w:rFonts w:asciiTheme="majorBidi" w:hAnsiTheme="majorBidi" w:cstheme="majorBidi"/>
          <w:i/>
          <w:iCs/>
        </w:rPr>
        <w:t>both</w:t>
      </w:r>
      <w:r w:rsidR="00FB4D9D" w:rsidRPr="00433908">
        <w:rPr>
          <w:rFonts w:asciiTheme="majorBidi" w:hAnsiTheme="majorBidi" w:cstheme="majorBidi"/>
        </w:rPr>
        <w:t xml:space="preserve"> </w:t>
      </w:r>
      <w:r w:rsidRPr="00433908">
        <w:rPr>
          <w:rFonts w:asciiTheme="majorBidi" w:hAnsiTheme="majorBidi" w:cstheme="majorBidi"/>
        </w:rPr>
        <w:t>firm’s perspective</w:t>
      </w:r>
      <w:r w:rsidR="00AA0DDE" w:rsidRPr="00433908">
        <w:rPr>
          <w:rFonts w:asciiTheme="majorBidi" w:hAnsiTheme="majorBidi" w:cstheme="majorBidi"/>
        </w:rPr>
        <w:t xml:space="preserve"> by eliminating competition between them</w:t>
      </w:r>
      <w:r w:rsidRPr="00433908">
        <w:rPr>
          <w:rFonts w:asciiTheme="majorBidi" w:hAnsiTheme="majorBidi" w:cstheme="majorBidi"/>
        </w:rPr>
        <w:t>.</w:t>
      </w:r>
    </w:p>
    <w:p w14:paraId="6FB208BA" w14:textId="449A0410" w:rsidR="00DE7F75" w:rsidRPr="00433908" w:rsidRDefault="00DE7F75" w:rsidP="00414E28">
      <w:pPr>
        <w:jc w:val="both"/>
        <w:rPr>
          <w:rFonts w:asciiTheme="majorBidi" w:hAnsiTheme="majorBidi" w:cstheme="majorBidi"/>
        </w:rPr>
      </w:pPr>
      <w:r w:rsidRPr="00433908">
        <w:rPr>
          <w:rFonts w:asciiTheme="majorBidi" w:hAnsiTheme="majorBidi" w:cstheme="majorBidi"/>
        </w:rPr>
        <w:t>I</w:t>
      </w:r>
      <w:r w:rsidR="00FB4D9D" w:rsidRPr="00433908">
        <w:rPr>
          <w:rFonts w:asciiTheme="majorBidi" w:hAnsiTheme="majorBidi" w:cstheme="majorBidi"/>
        </w:rPr>
        <w:t>n the second setting, in which the controller controls one firm but has a (</w:t>
      </w:r>
      <w:r w:rsidR="00F705D2" w:rsidRPr="00433908">
        <w:rPr>
          <w:rFonts w:asciiTheme="majorBidi" w:hAnsiTheme="majorBidi" w:cstheme="majorBidi"/>
        </w:rPr>
        <w:t xml:space="preserve">passive but </w:t>
      </w:r>
      <w:r w:rsidR="00FB4D9D" w:rsidRPr="00433908">
        <w:rPr>
          <w:rFonts w:asciiTheme="majorBidi" w:hAnsiTheme="majorBidi" w:cstheme="majorBidi"/>
        </w:rPr>
        <w:t xml:space="preserve">greater) financial stake in the other firm, the </w:t>
      </w:r>
      <w:r w:rsidR="00531D4E" w:rsidRPr="00433908">
        <w:rPr>
          <w:rFonts w:asciiTheme="majorBidi" w:hAnsiTheme="majorBidi" w:cstheme="majorBidi"/>
        </w:rPr>
        <w:t>controlled</w:t>
      </w:r>
      <w:r w:rsidR="00FB4D9D" w:rsidRPr="00433908">
        <w:rPr>
          <w:rFonts w:asciiTheme="majorBidi" w:hAnsiTheme="majorBidi" w:cstheme="majorBidi"/>
        </w:rPr>
        <w:t xml:space="preserve"> firm </w:t>
      </w:r>
      <w:r w:rsidR="00FB4D9D" w:rsidRPr="00433908">
        <w:rPr>
          <w:rFonts w:asciiTheme="majorBidi" w:hAnsiTheme="majorBidi" w:cstheme="majorBidi"/>
          <w:i/>
          <w:iCs/>
        </w:rPr>
        <w:t>loses</w:t>
      </w:r>
      <w:r w:rsidR="00FB4D9D" w:rsidRPr="00433908">
        <w:rPr>
          <w:rFonts w:asciiTheme="majorBidi" w:hAnsiTheme="majorBidi" w:cstheme="majorBidi"/>
        </w:rPr>
        <w:t xml:space="preserve"> from the anti-competitive </w:t>
      </w:r>
      <w:r w:rsidR="00AA0DDE" w:rsidRPr="00433908">
        <w:rPr>
          <w:rFonts w:asciiTheme="majorBidi" w:hAnsiTheme="majorBidi" w:cstheme="majorBidi"/>
        </w:rPr>
        <w:t>‘</w:t>
      </w:r>
      <w:r w:rsidR="00FB4D9D" w:rsidRPr="00433908">
        <w:rPr>
          <w:rFonts w:asciiTheme="majorBidi" w:hAnsiTheme="majorBidi" w:cstheme="majorBidi"/>
        </w:rPr>
        <w:t>coordination</w:t>
      </w:r>
      <w:r w:rsidR="00AA0DDE" w:rsidRPr="00433908">
        <w:rPr>
          <w:rFonts w:asciiTheme="majorBidi" w:hAnsiTheme="majorBidi" w:cstheme="majorBidi"/>
        </w:rPr>
        <w:t>’</w:t>
      </w:r>
      <w:r w:rsidR="00FB4D9D" w:rsidRPr="00433908">
        <w:rPr>
          <w:rFonts w:asciiTheme="majorBidi" w:hAnsiTheme="majorBidi" w:cstheme="majorBidi"/>
        </w:rPr>
        <w:t xml:space="preserve">. It </w:t>
      </w:r>
      <w:r w:rsidR="00FB4D9D" w:rsidRPr="00433908">
        <w:rPr>
          <w:rFonts w:asciiTheme="majorBidi" w:hAnsiTheme="majorBidi" w:cstheme="majorBidi"/>
          <w:i/>
          <w:iCs/>
        </w:rPr>
        <w:t>loses</w:t>
      </w:r>
      <w:r w:rsidR="00FB4D9D" w:rsidRPr="00433908">
        <w:rPr>
          <w:rFonts w:asciiTheme="majorBidi" w:hAnsiTheme="majorBidi" w:cstheme="majorBidi"/>
        </w:rPr>
        <w:t xml:space="preserve"> sales </w:t>
      </w:r>
      <w:r w:rsidR="00AE151B" w:rsidRPr="00433908">
        <w:rPr>
          <w:rFonts w:asciiTheme="majorBidi" w:hAnsiTheme="majorBidi" w:cstheme="majorBidi"/>
        </w:rPr>
        <w:t>to its competitor</w:t>
      </w:r>
      <w:r w:rsidR="00F705D2" w:rsidRPr="00433908">
        <w:rPr>
          <w:rFonts w:asciiTheme="majorBidi" w:hAnsiTheme="majorBidi" w:cstheme="majorBidi"/>
        </w:rPr>
        <w:t>,</w:t>
      </w:r>
      <w:r w:rsidR="00AE151B" w:rsidRPr="00433908">
        <w:rPr>
          <w:rFonts w:asciiTheme="majorBidi" w:hAnsiTheme="majorBidi" w:cstheme="majorBidi"/>
        </w:rPr>
        <w:t xml:space="preserve"> </w:t>
      </w:r>
      <w:r w:rsidR="00FB4D9D" w:rsidRPr="00433908">
        <w:rPr>
          <w:rFonts w:asciiTheme="majorBidi" w:hAnsiTheme="majorBidi" w:cstheme="majorBidi"/>
        </w:rPr>
        <w:t>so that its competitor (</w:t>
      </w:r>
      <w:r w:rsidR="00AA0DDE" w:rsidRPr="00433908">
        <w:rPr>
          <w:rFonts w:asciiTheme="majorBidi" w:hAnsiTheme="majorBidi" w:cstheme="majorBidi"/>
        </w:rPr>
        <w:t>in which the controller has a larger financial stake</w:t>
      </w:r>
      <w:r w:rsidR="00FB4D9D" w:rsidRPr="00433908">
        <w:rPr>
          <w:rFonts w:asciiTheme="majorBidi" w:hAnsiTheme="majorBidi" w:cstheme="majorBidi"/>
        </w:rPr>
        <w:t>) may reap the benefits of this lo</w:t>
      </w:r>
      <w:r w:rsidRPr="00433908">
        <w:rPr>
          <w:rFonts w:asciiTheme="majorBidi" w:hAnsiTheme="majorBidi" w:cstheme="majorBidi"/>
        </w:rPr>
        <w:t>ss by charging monopoly</w:t>
      </w:r>
      <w:r w:rsidR="00531D4E" w:rsidRPr="00433908">
        <w:rPr>
          <w:rFonts w:asciiTheme="majorBidi" w:hAnsiTheme="majorBidi" w:cstheme="majorBidi"/>
        </w:rPr>
        <w:t>, or at least supra-competitive,</w:t>
      </w:r>
      <w:r w:rsidRPr="00433908">
        <w:rPr>
          <w:rFonts w:asciiTheme="majorBidi" w:hAnsiTheme="majorBidi" w:cstheme="majorBidi"/>
        </w:rPr>
        <w:t xml:space="preserve"> prices.</w:t>
      </w:r>
      <w:r w:rsidR="000477BF" w:rsidRPr="00433908">
        <w:rPr>
          <w:rFonts w:asciiTheme="majorBidi" w:hAnsiTheme="majorBidi" w:cstheme="majorBidi"/>
        </w:rPr>
        <w:t xml:space="preserve"> This kind of anti-competitive effect corresponds to what is </w:t>
      </w:r>
      <w:r w:rsidR="008D6E05" w:rsidRPr="00433908">
        <w:rPr>
          <w:rFonts w:asciiTheme="majorBidi" w:hAnsiTheme="majorBidi" w:cstheme="majorBidi"/>
        </w:rPr>
        <w:t xml:space="preserve">referred to </w:t>
      </w:r>
      <w:r w:rsidR="000477BF" w:rsidRPr="00433908">
        <w:rPr>
          <w:rFonts w:asciiTheme="majorBidi" w:hAnsiTheme="majorBidi" w:cstheme="majorBidi"/>
        </w:rPr>
        <w:t>in merger control as ‘unilateral effects’,</w:t>
      </w:r>
      <w:r w:rsidR="00874F14" w:rsidRPr="00433908">
        <w:rPr>
          <w:rStyle w:val="FootnoteReference"/>
          <w:rFonts w:asciiTheme="majorBidi" w:hAnsiTheme="majorBidi" w:cstheme="majorBidi"/>
        </w:rPr>
        <w:footnoteReference w:id="65"/>
      </w:r>
      <w:r w:rsidR="000477BF" w:rsidRPr="00433908">
        <w:rPr>
          <w:rFonts w:asciiTheme="majorBidi" w:hAnsiTheme="majorBidi" w:cstheme="majorBidi"/>
        </w:rPr>
        <w:t xml:space="preserve"> or the ‘recapture effect’.</w:t>
      </w:r>
      <w:r w:rsidR="00874F14" w:rsidRPr="00433908">
        <w:rPr>
          <w:rStyle w:val="FootnoteReference"/>
          <w:rFonts w:asciiTheme="majorBidi" w:hAnsiTheme="majorBidi" w:cstheme="majorBidi"/>
        </w:rPr>
        <w:footnoteReference w:id="66"/>
      </w:r>
      <w:r w:rsidR="001546A9" w:rsidRPr="00433908">
        <w:rPr>
          <w:rFonts w:asciiTheme="majorBidi" w:hAnsiTheme="majorBidi" w:cstheme="majorBidi"/>
        </w:rPr>
        <w:t xml:space="preserve"> </w:t>
      </w:r>
      <w:r w:rsidR="00414E28" w:rsidRPr="00433908">
        <w:rPr>
          <w:rFonts w:asciiTheme="majorBidi" w:hAnsiTheme="majorBidi" w:cstheme="majorBidi"/>
        </w:rPr>
        <w:t>T</w:t>
      </w:r>
      <w:r w:rsidR="005F7EA5" w:rsidRPr="00433908">
        <w:rPr>
          <w:rFonts w:asciiTheme="majorBidi" w:hAnsiTheme="majorBidi" w:cstheme="majorBidi"/>
        </w:rPr>
        <w:t xml:space="preserve">he analysis </w:t>
      </w:r>
      <w:r w:rsidR="00414E28" w:rsidRPr="00433908">
        <w:rPr>
          <w:rFonts w:asciiTheme="majorBidi" w:hAnsiTheme="majorBidi" w:cstheme="majorBidi"/>
        </w:rPr>
        <w:t xml:space="preserve">of this second setting </w:t>
      </w:r>
      <w:r w:rsidR="005F7EA5" w:rsidRPr="00433908">
        <w:rPr>
          <w:rFonts w:asciiTheme="majorBidi" w:hAnsiTheme="majorBidi" w:cstheme="majorBidi"/>
        </w:rPr>
        <w:t xml:space="preserve">must be sensitive to the idea that one of the </w:t>
      </w:r>
      <w:r w:rsidR="001546A9" w:rsidRPr="00433908">
        <w:rPr>
          <w:rFonts w:asciiTheme="majorBidi" w:hAnsiTheme="majorBidi" w:cstheme="majorBidi"/>
        </w:rPr>
        <w:t xml:space="preserve">‘coordinating’ </w:t>
      </w:r>
      <w:r w:rsidR="005F7EA5" w:rsidRPr="00433908">
        <w:rPr>
          <w:rFonts w:asciiTheme="majorBidi" w:hAnsiTheme="majorBidi" w:cstheme="majorBidi"/>
        </w:rPr>
        <w:t xml:space="preserve">firms loses as a result of the coordinated conduct. </w:t>
      </w:r>
      <w:r w:rsidR="002045E4" w:rsidRPr="00433908">
        <w:rPr>
          <w:rFonts w:asciiTheme="majorBidi" w:hAnsiTheme="majorBidi" w:cstheme="majorBidi"/>
        </w:rPr>
        <w:t xml:space="preserve">This is acknowledged by both </w:t>
      </w:r>
      <w:proofErr w:type="spellStart"/>
      <w:r w:rsidR="002045E4" w:rsidRPr="00433908">
        <w:rPr>
          <w:rFonts w:asciiTheme="majorBidi" w:hAnsiTheme="majorBidi" w:cstheme="majorBidi"/>
        </w:rPr>
        <w:t>Gilo</w:t>
      </w:r>
      <w:proofErr w:type="spellEnd"/>
      <w:r w:rsidR="002045E4" w:rsidRPr="00433908">
        <w:rPr>
          <w:rFonts w:asciiTheme="majorBidi" w:hAnsiTheme="majorBidi" w:cstheme="majorBidi"/>
        </w:rPr>
        <w:t xml:space="preserve"> and</w:t>
      </w:r>
      <w:r w:rsidR="00531D4E" w:rsidRPr="00433908">
        <w:rPr>
          <w:rFonts w:asciiTheme="majorBidi" w:hAnsiTheme="majorBidi" w:cstheme="majorBidi"/>
        </w:rPr>
        <w:t xml:space="preserve"> </w:t>
      </w:r>
      <w:proofErr w:type="spellStart"/>
      <w:r w:rsidR="002045E4" w:rsidRPr="00433908">
        <w:rPr>
          <w:rFonts w:asciiTheme="majorBidi" w:hAnsiTheme="majorBidi" w:cstheme="majorBidi"/>
        </w:rPr>
        <w:t>O’brien</w:t>
      </w:r>
      <w:proofErr w:type="spellEnd"/>
      <w:r w:rsidR="002045E4" w:rsidRPr="00433908">
        <w:rPr>
          <w:rFonts w:asciiTheme="majorBidi" w:hAnsiTheme="majorBidi" w:cstheme="majorBidi"/>
        </w:rPr>
        <w:t xml:space="preserve"> and Salop.</w:t>
      </w:r>
      <w:r w:rsidR="002045E4" w:rsidRPr="00433908">
        <w:rPr>
          <w:rStyle w:val="FootnoteReference"/>
          <w:rFonts w:asciiTheme="majorBidi" w:hAnsiTheme="majorBidi" w:cstheme="majorBidi"/>
        </w:rPr>
        <w:footnoteReference w:id="67"/>
      </w:r>
    </w:p>
    <w:p w14:paraId="39FF65BF" w14:textId="77777777" w:rsidR="00C27460" w:rsidRPr="00433908" w:rsidRDefault="00C27460" w:rsidP="00040F84">
      <w:pPr>
        <w:jc w:val="both"/>
        <w:rPr>
          <w:rFonts w:asciiTheme="majorBidi" w:hAnsiTheme="majorBidi" w:cstheme="majorBidi"/>
        </w:rPr>
      </w:pPr>
    </w:p>
    <w:p w14:paraId="6F276507" w14:textId="38366D2A" w:rsidR="00E7570A" w:rsidRPr="00433908" w:rsidRDefault="00087E01" w:rsidP="002C4B8D">
      <w:pPr>
        <w:jc w:val="both"/>
        <w:rPr>
          <w:rFonts w:asciiTheme="majorBidi" w:hAnsiTheme="majorBidi" w:cstheme="majorBidi"/>
        </w:rPr>
      </w:pPr>
      <w:r w:rsidRPr="00433908">
        <w:rPr>
          <w:rFonts w:asciiTheme="majorBidi" w:hAnsiTheme="majorBidi" w:cstheme="majorBidi"/>
        </w:rPr>
        <w:t xml:space="preserve">This observation will prove </w:t>
      </w:r>
      <w:r w:rsidR="00040F84" w:rsidRPr="00433908">
        <w:rPr>
          <w:rFonts w:asciiTheme="majorBidi" w:hAnsiTheme="majorBidi" w:cstheme="majorBidi"/>
        </w:rPr>
        <w:t>key</w:t>
      </w:r>
      <w:r w:rsidRPr="00433908">
        <w:rPr>
          <w:rFonts w:asciiTheme="majorBidi" w:hAnsiTheme="majorBidi" w:cstheme="majorBidi"/>
        </w:rPr>
        <w:t xml:space="preserve"> for the analysis </w:t>
      </w:r>
      <w:r w:rsidR="00DE7F75" w:rsidRPr="00433908">
        <w:rPr>
          <w:rFonts w:asciiTheme="majorBidi" w:hAnsiTheme="majorBidi" w:cstheme="majorBidi"/>
        </w:rPr>
        <w:t>developed</w:t>
      </w:r>
      <w:r w:rsidRPr="00433908">
        <w:rPr>
          <w:rFonts w:asciiTheme="majorBidi" w:hAnsiTheme="majorBidi" w:cstheme="majorBidi"/>
        </w:rPr>
        <w:t xml:space="preserve"> in this Paper.</w:t>
      </w:r>
      <w:r w:rsidR="005F2E14" w:rsidRPr="00433908">
        <w:rPr>
          <w:rFonts w:asciiTheme="majorBidi" w:hAnsiTheme="majorBidi" w:cstheme="majorBidi"/>
        </w:rPr>
        <w:t xml:space="preserve"> For want of a better term, we may </w:t>
      </w:r>
      <w:r w:rsidR="00483A75" w:rsidRPr="00433908">
        <w:rPr>
          <w:rFonts w:asciiTheme="majorBidi" w:hAnsiTheme="majorBidi" w:cstheme="majorBidi"/>
        </w:rPr>
        <w:t>refer to the conduct of the firms in the setting of a joint shareholder who controls only one of the firms</w:t>
      </w:r>
      <w:r w:rsidR="005F2E14" w:rsidRPr="00433908">
        <w:rPr>
          <w:rFonts w:asciiTheme="majorBidi" w:hAnsiTheme="majorBidi" w:cstheme="majorBidi"/>
        </w:rPr>
        <w:t xml:space="preserve"> using the oxymoron </w:t>
      </w:r>
      <w:r w:rsidR="00AA0DDE" w:rsidRPr="00433908">
        <w:rPr>
          <w:rFonts w:asciiTheme="majorBidi" w:hAnsiTheme="majorBidi" w:cstheme="majorBidi"/>
        </w:rPr>
        <w:t>‘</w:t>
      </w:r>
      <w:r w:rsidR="005F2E14" w:rsidRPr="00433908">
        <w:rPr>
          <w:rFonts w:asciiTheme="majorBidi" w:hAnsiTheme="majorBidi" w:cstheme="majorBidi"/>
        </w:rPr>
        <w:t>unilateral coordination</w:t>
      </w:r>
      <w:r w:rsidR="00AA0DDE" w:rsidRPr="00433908">
        <w:rPr>
          <w:rFonts w:asciiTheme="majorBidi" w:hAnsiTheme="majorBidi" w:cstheme="majorBidi"/>
        </w:rPr>
        <w:t>’</w:t>
      </w:r>
      <w:r w:rsidR="005F2E14" w:rsidRPr="00433908">
        <w:rPr>
          <w:rFonts w:asciiTheme="majorBidi" w:hAnsiTheme="majorBidi" w:cstheme="majorBidi"/>
        </w:rPr>
        <w:t xml:space="preserve">. </w:t>
      </w:r>
      <w:r w:rsidR="005F7EA5" w:rsidRPr="00433908">
        <w:rPr>
          <w:rFonts w:asciiTheme="majorBidi" w:hAnsiTheme="majorBidi" w:cstheme="majorBidi"/>
        </w:rPr>
        <w:t>One f</w:t>
      </w:r>
      <w:r w:rsidR="005F2E14" w:rsidRPr="00433908">
        <w:rPr>
          <w:rFonts w:asciiTheme="majorBidi" w:hAnsiTheme="majorBidi" w:cstheme="majorBidi"/>
        </w:rPr>
        <w:t xml:space="preserve">irm </w:t>
      </w:r>
      <w:r w:rsidR="005F7EA5" w:rsidRPr="00433908">
        <w:rPr>
          <w:rFonts w:asciiTheme="majorBidi" w:hAnsiTheme="majorBidi" w:cstheme="majorBidi"/>
        </w:rPr>
        <w:t xml:space="preserve">in the industry (or more than one, if the industry is not a duopoly) </w:t>
      </w:r>
      <w:r w:rsidR="005F2E14" w:rsidRPr="00433908">
        <w:rPr>
          <w:rFonts w:asciiTheme="majorBidi" w:hAnsiTheme="majorBidi" w:cstheme="majorBidi"/>
        </w:rPr>
        <w:t xml:space="preserve">unilaterally </w:t>
      </w:r>
      <w:r w:rsidR="00AB3F38" w:rsidRPr="00433908">
        <w:rPr>
          <w:rFonts w:asciiTheme="majorBidi" w:hAnsiTheme="majorBidi" w:cstheme="majorBidi"/>
        </w:rPr>
        <w:t xml:space="preserve">(and unprofitably) </w:t>
      </w:r>
      <w:r w:rsidR="005F2E14" w:rsidRPr="00433908">
        <w:rPr>
          <w:rFonts w:asciiTheme="majorBidi" w:hAnsiTheme="majorBidi" w:cstheme="majorBidi"/>
        </w:rPr>
        <w:t xml:space="preserve">raises its </w:t>
      </w:r>
      <w:r w:rsidR="00AA0DDE" w:rsidRPr="00433908">
        <w:rPr>
          <w:rFonts w:asciiTheme="majorBidi" w:hAnsiTheme="majorBidi" w:cstheme="majorBidi"/>
        </w:rPr>
        <w:t xml:space="preserve">own </w:t>
      </w:r>
      <w:r w:rsidR="005F2E14" w:rsidRPr="00433908">
        <w:rPr>
          <w:rFonts w:asciiTheme="majorBidi" w:hAnsiTheme="majorBidi" w:cstheme="majorBidi"/>
        </w:rPr>
        <w:t xml:space="preserve">prices, simply so that </w:t>
      </w:r>
      <w:r w:rsidR="005F7EA5" w:rsidRPr="00433908">
        <w:rPr>
          <w:rFonts w:asciiTheme="majorBidi" w:hAnsiTheme="majorBidi" w:cstheme="majorBidi"/>
        </w:rPr>
        <w:t xml:space="preserve">another </w:t>
      </w:r>
      <w:r w:rsidR="005F2E14" w:rsidRPr="00433908">
        <w:rPr>
          <w:rFonts w:asciiTheme="majorBidi" w:hAnsiTheme="majorBidi" w:cstheme="majorBidi"/>
        </w:rPr>
        <w:t>firm may then profitably raise its own prices</w:t>
      </w:r>
      <w:r w:rsidR="006074D2" w:rsidRPr="00433908">
        <w:rPr>
          <w:rFonts w:asciiTheme="majorBidi" w:hAnsiTheme="majorBidi" w:cstheme="majorBidi"/>
        </w:rPr>
        <w:t xml:space="preserve">, to the benefit of </w:t>
      </w:r>
      <w:r w:rsidR="005F7EA5" w:rsidRPr="00433908">
        <w:rPr>
          <w:rFonts w:asciiTheme="majorBidi" w:hAnsiTheme="majorBidi" w:cstheme="majorBidi"/>
        </w:rPr>
        <w:t>the first firm’</w:t>
      </w:r>
      <w:r w:rsidR="006074D2" w:rsidRPr="00433908">
        <w:rPr>
          <w:rFonts w:asciiTheme="majorBidi" w:hAnsiTheme="majorBidi" w:cstheme="majorBidi"/>
        </w:rPr>
        <w:t>s controller</w:t>
      </w:r>
      <w:r w:rsidR="005F7EA5" w:rsidRPr="00433908">
        <w:rPr>
          <w:rFonts w:asciiTheme="majorBidi" w:hAnsiTheme="majorBidi" w:cstheme="majorBidi"/>
        </w:rPr>
        <w:t>, but to the detriment of the first firm</w:t>
      </w:r>
      <w:r w:rsidR="005F2E14" w:rsidRPr="00433908">
        <w:rPr>
          <w:rFonts w:asciiTheme="majorBidi" w:hAnsiTheme="majorBidi" w:cstheme="majorBidi"/>
        </w:rPr>
        <w:t>.</w:t>
      </w:r>
    </w:p>
    <w:p w14:paraId="6E3C350A" w14:textId="77777777" w:rsidR="005F7EA5" w:rsidRPr="00433908" w:rsidRDefault="005F7EA5" w:rsidP="00AA0DDE">
      <w:pPr>
        <w:jc w:val="both"/>
        <w:rPr>
          <w:rFonts w:asciiTheme="majorBidi" w:hAnsiTheme="majorBidi" w:cstheme="majorBidi"/>
        </w:rPr>
      </w:pPr>
    </w:p>
    <w:p w14:paraId="6DCEF943" w14:textId="7907955D" w:rsidR="00F66D49" w:rsidRPr="00433908" w:rsidRDefault="00531D4E" w:rsidP="00B0215F">
      <w:pPr>
        <w:jc w:val="both"/>
        <w:rPr>
          <w:rFonts w:asciiTheme="majorBidi" w:hAnsiTheme="majorBidi" w:cstheme="majorBidi"/>
        </w:rPr>
      </w:pPr>
      <w:r w:rsidRPr="00433908">
        <w:rPr>
          <w:rFonts w:asciiTheme="majorBidi" w:hAnsiTheme="majorBidi" w:cstheme="majorBidi"/>
        </w:rPr>
        <w:t xml:space="preserve">Note, that </w:t>
      </w:r>
      <w:r w:rsidR="00E7570A" w:rsidRPr="00433908">
        <w:rPr>
          <w:rFonts w:asciiTheme="majorBidi" w:hAnsiTheme="majorBidi" w:cstheme="majorBidi"/>
        </w:rPr>
        <w:t xml:space="preserve">unilateral coordination </w:t>
      </w:r>
      <w:r w:rsidRPr="00433908">
        <w:rPr>
          <w:rFonts w:asciiTheme="majorBidi" w:hAnsiTheme="majorBidi" w:cstheme="majorBidi"/>
        </w:rPr>
        <w:t>is very different</w:t>
      </w:r>
      <w:r w:rsidR="00E7570A" w:rsidRPr="00433908">
        <w:rPr>
          <w:rFonts w:asciiTheme="majorBidi" w:hAnsiTheme="majorBidi" w:cstheme="majorBidi"/>
        </w:rPr>
        <w:t xml:space="preserve"> not only from the previous scenario of a </w:t>
      </w:r>
      <w:r w:rsidR="00E7570A" w:rsidRPr="00433908">
        <w:rPr>
          <w:rFonts w:asciiTheme="majorBidi" w:hAnsiTheme="majorBidi" w:cstheme="majorBidi"/>
          <w:i/>
          <w:iCs/>
        </w:rPr>
        <w:t>de facto</w:t>
      </w:r>
      <w:r w:rsidR="00E7570A" w:rsidRPr="00433908">
        <w:rPr>
          <w:rFonts w:asciiTheme="majorBidi" w:hAnsiTheme="majorBidi" w:cstheme="majorBidi"/>
        </w:rPr>
        <w:t xml:space="preserve"> merger</w:t>
      </w:r>
      <w:r w:rsidR="00AB3F38" w:rsidRPr="00433908">
        <w:rPr>
          <w:rFonts w:asciiTheme="majorBidi" w:hAnsiTheme="majorBidi" w:cstheme="majorBidi"/>
        </w:rPr>
        <w:t xml:space="preserve"> (a single controller </w:t>
      </w:r>
      <w:r w:rsidR="00EB6D2F" w:rsidRPr="00433908">
        <w:rPr>
          <w:rFonts w:asciiTheme="majorBidi" w:hAnsiTheme="majorBidi" w:cstheme="majorBidi"/>
        </w:rPr>
        <w:t>directing</w:t>
      </w:r>
      <w:r w:rsidR="00AB3F38" w:rsidRPr="00433908">
        <w:rPr>
          <w:rFonts w:asciiTheme="majorBidi" w:hAnsiTheme="majorBidi" w:cstheme="majorBidi"/>
        </w:rPr>
        <w:t xml:space="preserve"> both firms’ conduct)</w:t>
      </w:r>
      <w:r w:rsidR="00E7570A" w:rsidRPr="00433908">
        <w:rPr>
          <w:rFonts w:asciiTheme="majorBidi" w:hAnsiTheme="majorBidi" w:cstheme="majorBidi"/>
        </w:rPr>
        <w:t xml:space="preserve">, but also from </w:t>
      </w:r>
      <w:r w:rsidR="00F66D49" w:rsidRPr="00433908">
        <w:rPr>
          <w:rFonts w:asciiTheme="majorBidi" w:hAnsiTheme="majorBidi" w:cstheme="majorBidi"/>
        </w:rPr>
        <w:t xml:space="preserve">standard </w:t>
      </w:r>
      <w:r w:rsidR="00E7570A" w:rsidRPr="00433908">
        <w:rPr>
          <w:rFonts w:asciiTheme="majorBidi" w:hAnsiTheme="majorBidi" w:cstheme="majorBidi"/>
        </w:rPr>
        <w:t xml:space="preserve">tacit collusion. Much like a </w:t>
      </w:r>
      <w:r w:rsidR="00E7570A" w:rsidRPr="00433908">
        <w:rPr>
          <w:rFonts w:asciiTheme="majorBidi" w:hAnsiTheme="majorBidi" w:cstheme="majorBidi"/>
          <w:i/>
          <w:iCs/>
        </w:rPr>
        <w:t>de facto</w:t>
      </w:r>
      <w:r w:rsidR="00E7570A" w:rsidRPr="00433908">
        <w:rPr>
          <w:rFonts w:asciiTheme="majorBidi" w:hAnsiTheme="majorBidi" w:cstheme="majorBidi"/>
        </w:rPr>
        <w:t xml:space="preserve"> merger, tacit collusion, if successful, benefits both </w:t>
      </w:r>
      <w:r w:rsidR="00414E28" w:rsidRPr="00433908">
        <w:rPr>
          <w:rFonts w:asciiTheme="majorBidi" w:hAnsiTheme="majorBidi" w:cstheme="majorBidi"/>
        </w:rPr>
        <w:t xml:space="preserve">coordinating </w:t>
      </w:r>
      <w:r w:rsidR="00E7570A" w:rsidRPr="00433908">
        <w:rPr>
          <w:rFonts w:asciiTheme="majorBidi" w:hAnsiTheme="majorBidi" w:cstheme="majorBidi"/>
        </w:rPr>
        <w:lastRenderedPageBreak/>
        <w:t>firms.</w:t>
      </w:r>
      <w:bookmarkStart w:id="20" w:name="_Ref496808083"/>
      <w:r w:rsidR="00414E28" w:rsidRPr="00433908">
        <w:rPr>
          <w:rStyle w:val="FootnoteReference"/>
          <w:rFonts w:asciiTheme="majorBidi" w:hAnsiTheme="majorBidi" w:cstheme="majorBidi"/>
        </w:rPr>
        <w:footnoteReference w:id="68"/>
      </w:r>
      <w:bookmarkEnd w:id="20"/>
      <w:r w:rsidR="00E7570A" w:rsidRPr="00433908">
        <w:rPr>
          <w:rFonts w:asciiTheme="majorBidi" w:hAnsiTheme="majorBidi" w:cstheme="majorBidi"/>
        </w:rPr>
        <w:t xml:space="preserve"> </w:t>
      </w:r>
      <w:r w:rsidRPr="00433908">
        <w:rPr>
          <w:rFonts w:asciiTheme="majorBidi" w:hAnsiTheme="majorBidi" w:cstheme="majorBidi"/>
        </w:rPr>
        <w:t xml:space="preserve">Under the regular oligopolistic setting, one firm raises its price </w:t>
      </w:r>
      <w:r w:rsidR="00AB3F38" w:rsidRPr="00433908">
        <w:rPr>
          <w:rFonts w:asciiTheme="majorBidi" w:hAnsiTheme="majorBidi" w:cstheme="majorBidi"/>
        </w:rPr>
        <w:t xml:space="preserve">(or otherwise conducts itself) </w:t>
      </w:r>
      <w:r w:rsidRPr="00433908">
        <w:rPr>
          <w:rFonts w:asciiTheme="majorBidi" w:hAnsiTheme="majorBidi" w:cstheme="majorBidi"/>
        </w:rPr>
        <w:t>attempting to signal the other firm to do the same.</w:t>
      </w:r>
      <w:r w:rsidR="00E7570A" w:rsidRPr="00433908">
        <w:rPr>
          <w:rFonts w:asciiTheme="majorBidi" w:hAnsiTheme="majorBidi" w:cstheme="majorBidi"/>
        </w:rPr>
        <w:t xml:space="preserve"> If the other firm does not reciprocate, the first firm returns to the competitive (or pre-collusion) prices, leaving neither of the firms better off.</w:t>
      </w:r>
      <w:r w:rsidR="00EB6D2F" w:rsidRPr="00433908">
        <w:rPr>
          <w:rStyle w:val="FootnoteReference"/>
          <w:rFonts w:asciiTheme="majorBidi" w:hAnsiTheme="majorBidi" w:cstheme="majorBidi"/>
        </w:rPr>
        <w:footnoteReference w:id="69"/>
      </w:r>
      <w:r w:rsidR="00E7570A" w:rsidRPr="00433908">
        <w:rPr>
          <w:rFonts w:asciiTheme="majorBidi" w:hAnsiTheme="majorBidi" w:cstheme="majorBidi"/>
        </w:rPr>
        <w:t xml:space="preserve"> </w:t>
      </w:r>
      <w:r w:rsidR="007D0825" w:rsidRPr="00433908">
        <w:rPr>
          <w:rFonts w:asciiTheme="majorBidi" w:hAnsiTheme="majorBidi" w:cstheme="majorBidi"/>
        </w:rPr>
        <w:t xml:space="preserve">If the other firm </w:t>
      </w:r>
      <w:r w:rsidR="00BF318B" w:rsidRPr="00433908">
        <w:rPr>
          <w:rFonts w:asciiTheme="majorBidi" w:hAnsiTheme="majorBidi" w:cstheme="majorBidi"/>
        </w:rPr>
        <w:t>reciprocates</w:t>
      </w:r>
      <w:r w:rsidR="007D0825" w:rsidRPr="00433908">
        <w:rPr>
          <w:rFonts w:asciiTheme="majorBidi" w:hAnsiTheme="majorBidi" w:cstheme="majorBidi"/>
        </w:rPr>
        <w:t>, both firms are better off than they would have been had they competed.</w:t>
      </w:r>
      <w:r w:rsidR="00016402" w:rsidRPr="00433908">
        <w:rPr>
          <w:rStyle w:val="FootnoteReference"/>
          <w:rFonts w:asciiTheme="majorBidi" w:hAnsiTheme="majorBidi" w:cstheme="majorBidi"/>
        </w:rPr>
        <w:footnoteReference w:id="70"/>
      </w:r>
      <w:r w:rsidR="007D0825" w:rsidRPr="00433908">
        <w:rPr>
          <w:rFonts w:asciiTheme="majorBidi" w:hAnsiTheme="majorBidi" w:cstheme="majorBidi"/>
        </w:rPr>
        <w:t xml:space="preserve"> By contrast, in the setting of unilateral coordination, the ‘unilaterally coordinating’ firm is worse off than it would have been under competition, regardless of its competitor’s response. Although similar in the sense that one firm may raise prices without having coordinated explicitly with the other, tacit collusion and unilateral coordination are very different. The first is engaged in for the ben</w:t>
      </w:r>
      <w:r w:rsidR="00016402" w:rsidRPr="00433908">
        <w:rPr>
          <w:rFonts w:asciiTheme="majorBidi" w:hAnsiTheme="majorBidi" w:cstheme="majorBidi"/>
        </w:rPr>
        <w:t>efit of the firm engaging in it.</w:t>
      </w:r>
      <w:r w:rsidR="000823FF" w:rsidRPr="00433908">
        <w:rPr>
          <w:rStyle w:val="FootnoteReference"/>
          <w:rFonts w:asciiTheme="majorBidi" w:hAnsiTheme="majorBidi" w:cstheme="majorBidi"/>
        </w:rPr>
        <w:footnoteReference w:id="71"/>
      </w:r>
      <w:r w:rsidR="00016402" w:rsidRPr="00433908">
        <w:rPr>
          <w:rFonts w:asciiTheme="majorBidi" w:hAnsiTheme="majorBidi" w:cstheme="majorBidi"/>
        </w:rPr>
        <w:t xml:space="preserve"> The second is engaged in for the opposite reason.</w:t>
      </w:r>
    </w:p>
    <w:p w14:paraId="02D657A5" w14:textId="77777777" w:rsidR="00414E28" w:rsidRPr="00433908" w:rsidRDefault="00414E28" w:rsidP="00672E4F">
      <w:pPr>
        <w:jc w:val="both"/>
        <w:rPr>
          <w:rFonts w:asciiTheme="majorBidi" w:hAnsiTheme="majorBidi" w:cstheme="majorBidi"/>
        </w:rPr>
      </w:pPr>
    </w:p>
    <w:p w14:paraId="2E4C3B69" w14:textId="1B06BEC6" w:rsidR="005F7EA5" w:rsidRPr="00433908" w:rsidRDefault="00EB6D2F" w:rsidP="002C4B8D">
      <w:pPr>
        <w:jc w:val="both"/>
        <w:rPr>
          <w:rFonts w:asciiTheme="majorBidi" w:hAnsiTheme="majorBidi" w:cstheme="majorBidi"/>
        </w:rPr>
      </w:pPr>
      <w:r w:rsidRPr="00433908">
        <w:rPr>
          <w:rFonts w:asciiTheme="majorBidi" w:hAnsiTheme="majorBidi" w:cstheme="majorBidi"/>
        </w:rPr>
        <w:t xml:space="preserve">It is helpful to consider </w:t>
      </w:r>
      <w:r w:rsidR="00E7570A" w:rsidRPr="00433908">
        <w:rPr>
          <w:rFonts w:asciiTheme="majorBidi" w:hAnsiTheme="majorBidi" w:cstheme="majorBidi"/>
        </w:rPr>
        <w:t xml:space="preserve">the outcome under </w:t>
      </w:r>
      <w:r w:rsidR="00AB3F38" w:rsidRPr="00433908">
        <w:rPr>
          <w:rFonts w:asciiTheme="majorBidi" w:hAnsiTheme="majorBidi" w:cstheme="majorBidi"/>
        </w:rPr>
        <w:t xml:space="preserve">four </w:t>
      </w:r>
      <w:r w:rsidR="00672E4F" w:rsidRPr="00433908">
        <w:rPr>
          <w:rFonts w:asciiTheme="majorBidi" w:hAnsiTheme="majorBidi" w:cstheme="majorBidi"/>
        </w:rPr>
        <w:t>different settings</w:t>
      </w:r>
      <w:r w:rsidR="00E7570A" w:rsidRPr="00433908">
        <w:rPr>
          <w:rFonts w:asciiTheme="majorBidi" w:hAnsiTheme="majorBidi" w:cstheme="majorBidi"/>
        </w:rPr>
        <w:t xml:space="preserve"> in a</w:t>
      </w:r>
      <w:r w:rsidR="00672E4F" w:rsidRPr="00433908">
        <w:rPr>
          <w:rFonts w:asciiTheme="majorBidi" w:hAnsiTheme="majorBidi" w:cstheme="majorBidi"/>
        </w:rPr>
        <w:t xml:space="preserve"> hypothetical </w:t>
      </w:r>
      <w:r w:rsidR="00D96B5E" w:rsidRPr="00433908">
        <w:rPr>
          <w:rFonts w:asciiTheme="majorBidi" w:hAnsiTheme="majorBidi" w:cstheme="majorBidi"/>
        </w:rPr>
        <w:t xml:space="preserve">two-firm </w:t>
      </w:r>
      <w:r w:rsidR="00E7570A" w:rsidRPr="00433908">
        <w:rPr>
          <w:rFonts w:asciiTheme="majorBidi" w:hAnsiTheme="majorBidi" w:cstheme="majorBidi"/>
        </w:rPr>
        <w:t>industry</w:t>
      </w:r>
      <w:r w:rsidR="00672E4F" w:rsidRPr="00433908">
        <w:rPr>
          <w:rFonts w:asciiTheme="majorBidi" w:hAnsiTheme="majorBidi" w:cstheme="majorBidi"/>
        </w:rPr>
        <w:t xml:space="preserve">, in which the </w:t>
      </w:r>
      <w:r w:rsidR="00577C0D" w:rsidRPr="00433908">
        <w:rPr>
          <w:rFonts w:asciiTheme="majorBidi" w:hAnsiTheme="majorBidi" w:cstheme="majorBidi"/>
        </w:rPr>
        <w:t xml:space="preserve">competitive price is $1, </w:t>
      </w:r>
      <w:r w:rsidR="00D53853" w:rsidRPr="00433908">
        <w:rPr>
          <w:rFonts w:asciiTheme="majorBidi" w:hAnsiTheme="majorBidi" w:cstheme="majorBidi"/>
        </w:rPr>
        <w:t>the duopoly price is $</w:t>
      </w:r>
      <w:r w:rsidR="00D40F89" w:rsidRPr="00433908">
        <w:rPr>
          <w:rFonts w:asciiTheme="majorBidi" w:hAnsiTheme="majorBidi" w:cstheme="majorBidi"/>
        </w:rPr>
        <w:t>3</w:t>
      </w:r>
      <w:r w:rsidR="00D53853" w:rsidRPr="00433908">
        <w:rPr>
          <w:rFonts w:asciiTheme="majorBidi" w:hAnsiTheme="majorBidi" w:cstheme="majorBidi"/>
        </w:rPr>
        <w:t xml:space="preserve">, </w:t>
      </w:r>
      <w:r w:rsidR="00672E4F" w:rsidRPr="00433908">
        <w:rPr>
          <w:rFonts w:asciiTheme="majorBidi" w:hAnsiTheme="majorBidi" w:cstheme="majorBidi"/>
        </w:rPr>
        <w:t>and the monopoly price is $5.</w:t>
      </w:r>
      <w:r w:rsidR="00D40F89" w:rsidRPr="00433908">
        <w:rPr>
          <w:rFonts w:asciiTheme="majorBidi" w:hAnsiTheme="majorBidi" w:cstheme="majorBidi"/>
        </w:rPr>
        <w:t xml:space="preserve"> </w:t>
      </w:r>
      <w:r w:rsidR="005F7EA5" w:rsidRPr="00433908">
        <w:rPr>
          <w:rFonts w:asciiTheme="majorBidi" w:hAnsiTheme="majorBidi" w:cstheme="majorBidi"/>
        </w:rPr>
        <w:t xml:space="preserve">Under competition, both firms will sell for the price of $1, and split the (competitive) </w:t>
      </w:r>
      <w:r w:rsidR="00A62FB4" w:rsidRPr="00433908">
        <w:rPr>
          <w:rFonts w:asciiTheme="majorBidi" w:hAnsiTheme="majorBidi" w:cstheme="majorBidi"/>
        </w:rPr>
        <w:t>return</w:t>
      </w:r>
      <w:r w:rsidR="005F7EA5" w:rsidRPr="00433908">
        <w:rPr>
          <w:rFonts w:asciiTheme="majorBidi" w:hAnsiTheme="majorBidi" w:cstheme="majorBidi"/>
        </w:rPr>
        <w:t xml:space="preserve">. Under duopoly, both firms will tacitly collude and sell for the price of $3, splitting (duopoly) rents. Under a </w:t>
      </w:r>
      <w:r w:rsidR="005F7EA5" w:rsidRPr="00433908">
        <w:rPr>
          <w:rFonts w:asciiTheme="majorBidi" w:hAnsiTheme="majorBidi" w:cstheme="majorBidi"/>
          <w:i/>
          <w:iCs/>
        </w:rPr>
        <w:t>de facto</w:t>
      </w:r>
      <w:r w:rsidR="005F7EA5" w:rsidRPr="00433908">
        <w:rPr>
          <w:rFonts w:asciiTheme="majorBidi" w:hAnsiTheme="majorBidi" w:cstheme="majorBidi"/>
        </w:rPr>
        <w:t xml:space="preserve"> merger (joint control) both firms will sell for the price of $5, splitting monopoly rents. Under unilateral coordination, the unilaterally coordinating firm (the controlled firm) will sell for</w:t>
      </w:r>
      <w:r w:rsidR="00B0215F" w:rsidRPr="00433908">
        <w:rPr>
          <w:rFonts w:asciiTheme="majorBidi" w:hAnsiTheme="majorBidi" w:cstheme="majorBidi"/>
        </w:rPr>
        <w:t>, say,</w:t>
      </w:r>
      <w:r w:rsidR="005F7EA5" w:rsidRPr="00433908">
        <w:rPr>
          <w:rFonts w:asciiTheme="majorBidi" w:hAnsiTheme="majorBidi" w:cstheme="majorBidi"/>
        </w:rPr>
        <w:t xml:space="preserve"> $6,</w:t>
      </w:r>
      <w:r w:rsidR="00B0215F" w:rsidRPr="00433908">
        <w:rPr>
          <w:rStyle w:val="FootnoteReference"/>
          <w:rFonts w:asciiTheme="majorBidi" w:hAnsiTheme="majorBidi" w:cstheme="majorBidi"/>
        </w:rPr>
        <w:footnoteReference w:id="72"/>
      </w:r>
      <w:r w:rsidR="005F7EA5" w:rsidRPr="00433908">
        <w:rPr>
          <w:rFonts w:asciiTheme="majorBidi" w:hAnsiTheme="majorBidi" w:cstheme="majorBidi"/>
        </w:rPr>
        <w:t xml:space="preserve"> allowing the firm in which the controller has a larger financial interest to profitably charge $5. All monopoly rents will accrue to the second firm, and the firs</w:t>
      </w:r>
      <w:r w:rsidR="00D96B5E" w:rsidRPr="00433908">
        <w:rPr>
          <w:rFonts w:asciiTheme="majorBidi" w:hAnsiTheme="majorBidi" w:cstheme="majorBidi"/>
        </w:rPr>
        <w:t>t</w:t>
      </w:r>
      <w:r w:rsidR="005F7EA5" w:rsidRPr="00433908">
        <w:rPr>
          <w:rFonts w:asciiTheme="majorBidi" w:hAnsiTheme="majorBidi" w:cstheme="majorBidi"/>
        </w:rPr>
        <w:t xml:space="preserve"> firm will have made no sales.</w:t>
      </w:r>
    </w:p>
    <w:p w14:paraId="3FCC59CE" w14:textId="7E044773" w:rsidR="00E7570A" w:rsidRPr="00433908" w:rsidRDefault="00672E4F" w:rsidP="00ED1834">
      <w:pPr>
        <w:jc w:val="both"/>
        <w:rPr>
          <w:rFonts w:asciiTheme="majorBidi" w:hAnsiTheme="majorBidi" w:cstheme="majorBidi"/>
        </w:rPr>
      </w:pPr>
      <w:r w:rsidRPr="00433908">
        <w:rPr>
          <w:rFonts w:asciiTheme="majorBidi" w:hAnsiTheme="majorBidi" w:cstheme="majorBidi"/>
        </w:rPr>
        <w:t>T</w:t>
      </w:r>
      <w:r w:rsidR="00ED1834" w:rsidRPr="00433908">
        <w:rPr>
          <w:rFonts w:asciiTheme="majorBidi" w:hAnsiTheme="majorBidi" w:cstheme="majorBidi"/>
        </w:rPr>
        <w:t>his example is summarized in the following table, in which the quantities cleared by the market are added into the analysis. The</w:t>
      </w:r>
      <w:r w:rsidR="00D53853" w:rsidRPr="00433908">
        <w:rPr>
          <w:rFonts w:asciiTheme="majorBidi" w:hAnsiTheme="majorBidi" w:cstheme="majorBidi"/>
        </w:rPr>
        <w:t xml:space="preserve"> </w:t>
      </w:r>
      <w:r w:rsidR="00ED1834" w:rsidRPr="00433908">
        <w:rPr>
          <w:rFonts w:asciiTheme="majorBidi" w:hAnsiTheme="majorBidi" w:cstheme="majorBidi"/>
        </w:rPr>
        <w:t xml:space="preserve">prices under competition, duopoly, and monopoly are unchanged. The </w:t>
      </w:r>
      <w:r w:rsidR="00D53853" w:rsidRPr="00433908">
        <w:rPr>
          <w:rFonts w:asciiTheme="majorBidi" w:hAnsiTheme="majorBidi" w:cstheme="majorBidi"/>
        </w:rPr>
        <w:t xml:space="preserve">corresponding quantities </w:t>
      </w:r>
      <w:r w:rsidR="00D40F89" w:rsidRPr="00433908">
        <w:rPr>
          <w:rFonts w:asciiTheme="majorBidi" w:hAnsiTheme="majorBidi" w:cstheme="majorBidi"/>
        </w:rPr>
        <w:t xml:space="preserve">cleared by the market </w:t>
      </w:r>
      <w:r w:rsidR="00D53853" w:rsidRPr="00433908">
        <w:rPr>
          <w:rFonts w:asciiTheme="majorBidi" w:hAnsiTheme="majorBidi" w:cstheme="majorBidi"/>
        </w:rPr>
        <w:t>are</w:t>
      </w:r>
      <w:r w:rsidRPr="00433908">
        <w:rPr>
          <w:rFonts w:asciiTheme="majorBidi" w:hAnsiTheme="majorBidi" w:cstheme="majorBidi"/>
        </w:rPr>
        <w:t>, say,</w:t>
      </w:r>
      <w:r w:rsidR="00D53853" w:rsidRPr="00433908">
        <w:rPr>
          <w:rFonts w:asciiTheme="majorBidi" w:hAnsiTheme="majorBidi" w:cstheme="majorBidi"/>
        </w:rPr>
        <w:t xml:space="preserve"> </w:t>
      </w:r>
      <w:r w:rsidR="00D40F89" w:rsidRPr="00433908">
        <w:rPr>
          <w:rFonts w:asciiTheme="majorBidi" w:hAnsiTheme="majorBidi" w:cstheme="majorBidi"/>
        </w:rPr>
        <w:t>2</w:t>
      </w:r>
      <w:r w:rsidR="00D53853" w:rsidRPr="00433908">
        <w:rPr>
          <w:rFonts w:asciiTheme="majorBidi" w:hAnsiTheme="majorBidi" w:cstheme="majorBidi"/>
        </w:rPr>
        <w:t>0 units</w:t>
      </w:r>
      <w:r w:rsidR="00AB3F38" w:rsidRPr="00433908">
        <w:rPr>
          <w:rFonts w:asciiTheme="majorBidi" w:hAnsiTheme="majorBidi" w:cstheme="majorBidi"/>
        </w:rPr>
        <w:t xml:space="preserve"> at the competitive price of $1</w:t>
      </w:r>
      <w:r w:rsidR="00D53853" w:rsidRPr="00433908">
        <w:rPr>
          <w:rFonts w:asciiTheme="majorBidi" w:hAnsiTheme="majorBidi" w:cstheme="majorBidi"/>
        </w:rPr>
        <w:t xml:space="preserve">, </w:t>
      </w:r>
      <w:r w:rsidR="00D40F89" w:rsidRPr="00433908">
        <w:rPr>
          <w:rFonts w:asciiTheme="majorBidi" w:hAnsiTheme="majorBidi" w:cstheme="majorBidi"/>
        </w:rPr>
        <w:t>14</w:t>
      </w:r>
      <w:r w:rsidR="00D53853" w:rsidRPr="00433908">
        <w:rPr>
          <w:rFonts w:asciiTheme="majorBidi" w:hAnsiTheme="majorBidi" w:cstheme="majorBidi"/>
        </w:rPr>
        <w:t xml:space="preserve"> units</w:t>
      </w:r>
      <w:r w:rsidR="00AB3F38" w:rsidRPr="00433908">
        <w:rPr>
          <w:rFonts w:asciiTheme="majorBidi" w:hAnsiTheme="majorBidi" w:cstheme="majorBidi"/>
        </w:rPr>
        <w:t xml:space="preserve"> at the duopoly price of $3</w:t>
      </w:r>
      <w:r w:rsidR="00D53853" w:rsidRPr="00433908">
        <w:rPr>
          <w:rFonts w:asciiTheme="majorBidi" w:hAnsiTheme="majorBidi" w:cstheme="majorBidi"/>
        </w:rPr>
        <w:t xml:space="preserve">, and </w:t>
      </w:r>
      <w:r w:rsidR="00D40F89" w:rsidRPr="00433908">
        <w:rPr>
          <w:rFonts w:asciiTheme="majorBidi" w:hAnsiTheme="majorBidi" w:cstheme="majorBidi"/>
        </w:rPr>
        <w:t>10</w:t>
      </w:r>
      <w:r w:rsidR="00D53853" w:rsidRPr="00433908">
        <w:rPr>
          <w:rFonts w:asciiTheme="majorBidi" w:hAnsiTheme="majorBidi" w:cstheme="majorBidi"/>
        </w:rPr>
        <w:t xml:space="preserve"> units</w:t>
      </w:r>
      <w:r w:rsidR="00AB3F38" w:rsidRPr="00433908">
        <w:rPr>
          <w:rFonts w:asciiTheme="majorBidi" w:hAnsiTheme="majorBidi" w:cstheme="majorBidi"/>
        </w:rPr>
        <w:t xml:space="preserve"> at the monopoly price of $5</w:t>
      </w:r>
      <w:r w:rsidR="00D53853" w:rsidRPr="00433908">
        <w:rPr>
          <w:rFonts w:asciiTheme="majorBidi" w:hAnsiTheme="majorBidi" w:cstheme="majorBidi"/>
        </w:rPr>
        <w:t>.</w:t>
      </w:r>
      <w:r w:rsidR="00D40F89" w:rsidRPr="00433908">
        <w:rPr>
          <w:rFonts w:asciiTheme="majorBidi" w:hAnsiTheme="majorBidi" w:cstheme="majorBidi"/>
        </w:rPr>
        <w:t xml:space="preserve"> Firm A is the unilaterally coordinating firm, or the firm initiating duopolistic coordination, as relevant.</w:t>
      </w:r>
    </w:p>
    <w:p w14:paraId="5C33F633" w14:textId="4FA97F6E" w:rsidR="00577C0D" w:rsidRPr="00433908" w:rsidRDefault="00BF318B" w:rsidP="00E7570A">
      <w:pPr>
        <w:jc w:val="both"/>
        <w:rPr>
          <w:rFonts w:asciiTheme="majorBidi" w:hAnsiTheme="majorBidi" w:cstheme="majorBidi"/>
        </w:rPr>
      </w:pPr>
      <w:r w:rsidRPr="00433908">
        <w:rPr>
          <w:rFonts w:asciiTheme="majorBidi" w:hAnsiTheme="majorBidi" w:cstheme="majorBidi"/>
        </w:rPr>
        <w:br w:type="column"/>
      </w:r>
    </w:p>
    <w:p w14:paraId="7E4FF0B7" w14:textId="3AEE4A98" w:rsidR="00ED1834" w:rsidRPr="00433908" w:rsidRDefault="00ED1834" w:rsidP="00B26F9E">
      <w:pPr>
        <w:jc w:val="center"/>
        <w:outlineLvl w:val="0"/>
        <w:rPr>
          <w:rFonts w:asciiTheme="majorBidi" w:hAnsiTheme="majorBidi" w:cstheme="majorBidi"/>
          <w:i/>
          <w:iCs/>
        </w:rPr>
      </w:pPr>
      <w:r w:rsidRPr="00433908">
        <w:rPr>
          <w:rFonts w:asciiTheme="majorBidi" w:hAnsiTheme="majorBidi" w:cstheme="majorBidi"/>
          <w:i/>
          <w:iCs/>
        </w:rPr>
        <w:t>Table 1</w:t>
      </w:r>
    </w:p>
    <w:p w14:paraId="5BD2A419" w14:textId="77777777" w:rsidR="00ED1834" w:rsidRPr="00433908" w:rsidRDefault="00ED1834" w:rsidP="00E7570A">
      <w:pPr>
        <w:jc w:val="both"/>
        <w:rPr>
          <w:rFonts w:asciiTheme="majorBidi" w:hAnsiTheme="majorBidi" w:cstheme="majorBidi"/>
        </w:rPr>
      </w:pPr>
    </w:p>
    <w:tbl>
      <w:tblPr>
        <w:tblStyle w:val="TableGrid"/>
        <w:tblW w:w="940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3"/>
        <w:gridCol w:w="1110"/>
        <w:gridCol w:w="740"/>
        <w:gridCol w:w="736"/>
        <w:gridCol w:w="1110"/>
        <w:gridCol w:w="749"/>
        <w:gridCol w:w="769"/>
        <w:gridCol w:w="1110"/>
        <w:gridCol w:w="765"/>
        <w:gridCol w:w="766"/>
      </w:tblGrid>
      <w:tr w:rsidR="00D53853" w:rsidRPr="00433908" w14:paraId="3984DC0A" w14:textId="77777777" w:rsidTr="00BF318B">
        <w:trPr>
          <w:trHeight w:val="301"/>
        </w:trPr>
        <w:tc>
          <w:tcPr>
            <w:tcW w:w="1553" w:type="dxa"/>
          </w:tcPr>
          <w:p w14:paraId="17994907" w14:textId="77777777" w:rsidR="00D53853" w:rsidRPr="00433908" w:rsidRDefault="00D53853" w:rsidP="00D53853">
            <w:pPr>
              <w:jc w:val="center"/>
              <w:rPr>
                <w:rFonts w:asciiTheme="majorBidi" w:hAnsiTheme="majorBidi" w:cstheme="majorBidi"/>
              </w:rPr>
            </w:pPr>
          </w:p>
        </w:tc>
        <w:tc>
          <w:tcPr>
            <w:tcW w:w="2586" w:type="dxa"/>
            <w:gridSpan w:val="3"/>
          </w:tcPr>
          <w:p w14:paraId="6E934551" w14:textId="671DCA3D" w:rsidR="00D53853" w:rsidRPr="00433908" w:rsidRDefault="00D53853" w:rsidP="00D53853">
            <w:pPr>
              <w:jc w:val="center"/>
              <w:rPr>
                <w:rFonts w:asciiTheme="majorBidi" w:hAnsiTheme="majorBidi" w:cstheme="majorBidi"/>
              </w:rPr>
            </w:pPr>
            <w:r w:rsidRPr="00433908">
              <w:rPr>
                <w:rFonts w:asciiTheme="majorBidi" w:hAnsiTheme="majorBidi" w:cstheme="majorBidi"/>
              </w:rPr>
              <w:t>Price</w:t>
            </w:r>
          </w:p>
        </w:tc>
        <w:tc>
          <w:tcPr>
            <w:tcW w:w="2628" w:type="dxa"/>
            <w:gridSpan w:val="3"/>
          </w:tcPr>
          <w:p w14:paraId="22D721F9" w14:textId="7CE4787F" w:rsidR="00D53853" w:rsidRPr="00433908" w:rsidRDefault="00D53853" w:rsidP="00D53853">
            <w:pPr>
              <w:jc w:val="center"/>
              <w:rPr>
                <w:rFonts w:asciiTheme="majorBidi" w:hAnsiTheme="majorBidi" w:cstheme="majorBidi"/>
              </w:rPr>
            </w:pPr>
            <w:r w:rsidRPr="00433908">
              <w:rPr>
                <w:rFonts w:asciiTheme="majorBidi" w:hAnsiTheme="majorBidi" w:cstheme="majorBidi"/>
              </w:rPr>
              <w:t>Quantity</w:t>
            </w:r>
          </w:p>
        </w:tc>
        <w:tc>
          <w:tcPr>
            <w:tcW w:w="2641" w:type="dxa"/>
            <w:gridSpan w:val="3"/>
          </w:tcPr>
          <w:p w14:paraId="323F1683" w14:textId="63EFA761" w:rsidR="00D53853" w:rsidRPr="00433908" w:rsidRDefault="00D53853" w:rsidP="00D53853">
            <w:pPr>
              <w:jc w:val="center"/>
              <w:rPr>
                <w:rFonts w:asciiTheme="majorBidi" w:hAnsiTheme="majorBidi" w:cstheme="majorBidi"/>
              </w:rPr>
            </w:pPr>
            <w:r w:rsidRPr="00433908">
              <w:rPr>
                <w:rFonts w:asciiTheme="majorBidi" w:hAnsiTheme="majorBidi" w:cstheme="majorBidi"/>
              </w:rPr>
              <w:t>Profit</w:t>
            </w:r>
          </w:p>
        </w:tc>
      </w:tr>
      <w:tr w:rsidR="00D40F89" w:rsidRPr="00433908" w14:paraId="55F181BB" w14:textId="77777777" w:rsidTr="00BF318B">
        <w:trPr>
          <w:trHeight w:val="301"/>
        </w:trPr>
        <w:tc>
          <w:tcPr>
            <w:tcW w:w="1553" w:type="dxa"/>
          </w:tcPr>
          <w:p w14:paraId="1641E013" w14:textId="77777777" w:rsidR="00D53853" w:rsidRPr="00433908" w:rsidRDefault="00D53853" w:rsidP="00D53853">
            <w:pPr>
              <w:jc w:val="center"/>
              <w:rPr>
                <w:rFonts w:asciiTheme="majorBidi" w:hAnsiTheme="majorBidi" w:cstheme="majorBidi"/>
              </w:rPr>
            </w:pPr>
          </w:p>
        </w:tc>
        <w:tc>
          <w:tcPr>
            <w:tcW w:w="1110" w:type="dxa"/>
          </w:tcPr>
          <w:p w14:paraId="783DF298" w14:textId="6B168261" w:rsidR="00D53853" w:rsidRPr="00433908" w:rsidRDefault="00D53853" w:rsidP="00D53853">
            <w:pPr>
              <w:jc w:val="center"/>
              <w:rPr>
                <w:rFonts w:asciiTheme="majorBidi" w:hAnsiTheme="majorBidi" w:cstheme="majorBidi"/>
              </w:rPr>
            </w:pPr>
            <w:r w:rsidRPr="00433908">
              <w:rPr>
                <w:rFonts w:asciiTheme="majorBidi" w:hAnsiTheme="majorBidi" w:cstheme="majorBidi"/>
              </w:rPr>
              <w:t>Industry</w:t>
            </w:r>
          </w:p>
        </w:tc>
        <w:tc>
          <w:tcPr>
            <w:tcW w:w="740" w:type="dxa"/>
          </w:tcPr>
          <w:p w14:paraId="7B90AC2C" w14:textId="5994A398" w:rsidR="00D53853" w:rsidRPr="00433908" w:rsidRDefault="00D53853" w:rsidP="00D53853">
            <w:pPr>
              <w:jc w:val="center"/>
              <w:rPr>
                <w:rFonts w:asciiTheme="majorBidi" w:hAnsiTheme="majorBidi" w:cstheme="majorBidi"/>
              </w:rPr>
            </w:pPr>
            <w:r w:rsidRPr="00433908">
              <w:rPr>
                <w:rFonts w:asciiTheme="majorBidi" w:hAnsiTheme="majorBidi" w:cstheme="majorBidi"/>
              </w:rPr>
              <w:t>Firm A</w:t>
            </w:r>
          </w:p>
        </w:tc>
        <w:tc>
          <w:tcPr>
            <w:tcW w:w="736" w:type="dxa"/>
          </w:tcPr>
          <w:p w14:paraId="782A1708" w14:textId="3654EED6" w:rsidR="00D53853" w:rsidRPr="00433908" w:rsidRDefault="00D53853" w:rsidP="00D53853">
            <w:pPr>
              <w:jc w:val="center"/>
              <w:rPr>
                <w:rFonts w:asciiTheme="majorBidi" w:hAnsiTheme="majorBidi" w:cstheme="majorBidi"/>
              </w:rPr>
            </w:pPr>
            <w:r w:rsidRPr="00433908">
              <w:rPr>
                <w:rFonts w:asciiTheme="majorBidi" w:hAnsiTheme="majorBidi" w:cstheme="majorBidi"/>
              </w:rPr>
              <w:t>Firm B</w:t>
            </w:r>
          </w:p>
        </w:tc>
        <w:tc>
          <w:tcPr>
            <w:tcW w:w="1110" w:type="dxa"/>
          </w:tcPr>
          <w:p w14:paraId="01C28246" w14:textId="735B61CE" w:rsidR="00D53853" w:rsidRPr="00433908" w:rsidRDefault="00D53853" w:rsidP="00D53853">
            <w:pPr>
              <w:jc w:val="center"/>
              <w:rPr>
                <w:rFonts w:asciiTheme="majorBidi" w:hAnsiTheme="majorBidi" w:cstheme="majorBidi"/>
              </w:rPr>
            </w:pPr>
            <w:r w:rsidRPr="00433908">
              <w:rPr>
                <w:rFonts w:asciiTheme="majorBidi" w:hAnsiTheme="majorBidi" w:cstheme="majorBidi"/>
              </w:rPr>
              <w:t>Industry</w:t>
            </w:r>
          </w:p>
        </w:tc>
        <w:tc>
          <w:tcPr>
            <w:tcW w:w="749" w:type="dxa"/>
          </w:tcPr>
          <w:p w14:paraId="1E0C6E5B" w14:textId="13C4026A" w:rsidR="00D53853" w:rsidRPr="00433908" w:rsidRDefault="00D53853" w:rsidP="00D53853">
            <w:pPr>
              <w:jc w:val="center"/>
              <w:rPr>
                <w:rFonts w:asciiTheme="majorBidi" w:hAnsiTheme="majorBidi" w:cstheme="majorBidi"/>
              </w:rPr>
            </w:pPr>
            <w:r w:rsidRPr="00433908">
              <w:rPr>
                <w:rFonts w:asciiTheme="majorBidi" w:hAnsiTheme="majorBidi" w:cstheme="majorBidi"/>
              </w:rPr>
              <w:t>Firm A</w:t>
            </w:r>
          </w:p>
        </w:tc>
        <w:tc>
          <w:tcPr>
            <w:tcW w:w="769" w:type="dxa"/>
          </w:tcPr>
          <w:p w14:paraId="5DF25201" w14:textId="619D699B" w:rsidR="00D53853" w:rsidRPr="00433908" w:rsidRDefault="00D53853" w:rsidP="00D53853">
            <w:pPr>
              <w:jc w:val="center"/>
              <w:rPr>
                <w:rFonts w:asciiTheme="majorBidi" w:hAnsiTheme="majorBidi" w:cstheme="majorBidi"/>
              </w:rPr>
            </w:pPr>
            <w:r w:rsidRPr="00433908">
              <w:rPr>
                <w:rFonts w:asciiTheme="majorBidi" w:hAnsiTheme="majorBidi" w:cstheme="majorBidi"/>
              </w:rPr>
              <w:t>Firm B</w:t>
            </w:r>
          </w:p>
        </w:tc>
        <w:tc>
          <w:tcPr>
            <w:tcW w:w="1110" w:type="dxa"/>
          </w:tcPr>
          <w:p w14:paraId="3440E301" w14:textId="6EE95BFD" w:rsidR="00D53853" w:rsidRPr="00433908" w:rsidRDefault="00D53853" w:rsidP="00D53853">
            <w:pPr>
              <w:jc w:val="center"/>
              <w:rPr>
                <w:rFonts w:asciiTheme="majorBidi" w:hAnsiTheme="majorBidi" w:cstheme="majorBidi"/>
              </w:rPr>
            </w:pPr>
            <w:r w:rsidRPr="00433908">
              <w:rPr>
                <w:rFonts w:asciiTheme="majorBidi" w:hAnsiTheme="majorBidi" w:cstheme="majorBidi"/>
              </w:rPr>
              <w:t>Industry</w:t>
            </w:r>
          </w:p>
        </w:tc>
        <w:tc>
          <w:tcPr>
            <w:tcW w:w="765" w:type="dxa"/>
          </w:tcPr>
          <w:p w14:paraId="385173C2" w14:textId="097ADC58" w:rsidR="00D53853" w:rsidRPr="00433908" w:rsidRDefault="00D53853" w:rsidP="00D53853">
            <w:pPr>
              <w:jc w:val="center"/>
              <w:rPr>
                <w:rFonts w:asciiTheme="majorBidi" w:hAnsiTheme="majorBidi" w:cstheme="majorBidi"/>
              </w:rPr>
            </w:pPr>
            <w:r w:rsidRPr="00433908">
              <w:rPr>
                <w:rFonts w:asciiTheme="majorBidi" w:hAnsiTheme="majorBidi" w:cstheme="majorBidi"/>
              </w:rPr>
              <w:t>Firm A</w:t>
            </w:r>
          </w:p>
        </w:tc>
        <w:tc>
          <w:tcPr>
            <w:tcW w:w="766" w:type="dxa"/>
          </w:tcPr>
          <w:p w14:paraId="27D29D83" w14:textId="4963D0F1" w:rsidR="00D53853" w:rsidRPr="00433908" w:rsidRDefault="00D53853" w:rsidP="00D53853">
            <w:pPr>
              <w:jc w:val="center"/>
              <w:rPr>
                <w:rFonts w:asciiTheme="majorBidi" w:hAnsiTheme="majorBidi" w:cstheme="majorBidi"/>
              </w:rPr>
            </w:pPr>
            <w:r w:rsidRPr="00433908">
              <w:rPr>
                <w:rFonts w:asciiTheme="majorBidi" w:hAnsiTheme="majorBidi" w:cstheme="majorBidi"/>
              </w:rPr>
              <w:t>Firm B</w:t>
            </w:r>
          </w:p>
        </w:tc>
      </w:tr>
      <w:tr w:rsidR="00BD2C66" w:rsidRPr="00433908" w14:paraId="5FCE920E" w14:textId="77777777" w:rsidTr="00BF318B">
        <w:trPr>
          <w:trHeight w:val="301"/>
        </w:trPr>
        <w:tc>
          <w:tcPr>
            <w:tcW w:w="1553" w:type="dxa"/>
          </w:tcPr>
          <w:p w14:paraId="59FFFC06" w14:textId="77777777" w:rsidR="00BD2C66" w:rsidRPr="00433908" w:rsidRDefault="00BD2C66" w:rsidP="00D53853">
            <w:pPr>
              <w:jc w:val="center"/>
              <w:rPr>
                <w:rFonts w:asciiTheme="majorBidi" w:hAnsiTheme="majorBidi" w:cstheme="majorBidi"/>
              </w:rPr>
            </w:pPr>
          </w:p>
        </w:tc>
        <w:tc>
          <w:tcPr>
            <w:tcW w:w="1110" w:type="dxa"/>
          </w:tcPr>
          <w:p w14:paraId="4C74674B" w14:textId="77777777" w:rsidR="00BD2C66" w:rsidRPr="00433908" w:rsidRDefault="00BD2C66" w:rsidP="00D53853">
            <w:pPr>
              <w:jc w:val="center"/>
              <w:rPr>
                <w:rFonts w:asciiTheme="majorBidi" w:hAnsiTheme="majorBidi" w:cstheme="majorBidi"/>
              </w:rPr>
            </w:pPr>
          </w:p>
        </w:tc>
        <w:tc>
          <w:tcPr>
            <w:tcW w:w="740" w:type="dxa"/>
          </w:tcPr>
          <w:p w14:paraId="28AB7E6A" w14:textId="77777777" w:rsidR="00BD2C66" w:rsidRPr="00433908" w:rsidRDefault="00BD2C66" w:rsidP="00D53853">
            <w:pPr>
              <w:jc w:val="center"/>
              <w:rPr>
                <w:rFonts w:asciiTheme="majorBidi" w:hAnsiTheme="majorBidi" w:cstheme="majorBidi"/>
              </w:rPr>
            </w:pPr>
          </w:p>
        </w:tc>
        <w:tc>
          <w:tcPr>
            <w:tcW w:w="736" w:type="dxa"/>
          </w:tcPr>
          <w:p w14:paraId="561D7E00" w14:textId="77777777" w:rsidR="00BD2C66" w:rsidRPr="00433908" w:rsidRDefault="00BD2C66" w:rsidP="00D53853">
            <w:pPr>
              <w:jc w:val="center"/>
              <w:rPr>
                <w:rFonts w:asciiTheme="majorBidi" w:hAnsiTheme="majorBidi" w:cstheme="majorBidi"/>
              </w:rPr>
            </w:pPr>
          </w:p>
        </w:tc>
        <w:tc>
          <w:tcPr>
            <w:tcW w:w="1110" w:type="dxa"/>
          </w:tcPr>
          <w:p w14:paraId="4477A981" w14:textId="77777777" w:rsidR="00BD2C66" w:rsidRPr="00433908" w:rsidRDefault="00BD2C66" w:rsidP="00D53853">
            <w:pPr>
              <w:jc w:val="center"/>
              <w:rPr>
                <w:rFonts w:asciiTheme="majorBidi" w:hAnsiTheme="majorBidi" w:cstheme="majorBidi"/>
              </w:rPr>
            </w:pPr>
          </w:p>
        </w:tc>
        <w:tc>
          <w:tcPr>
            <w:tcW w:w="749" w:type="dxa"/>
          </w:tcPr>
          <w:p w14:paraId="3DAE9C18" w14:textId="77777777" w:rsidR="00BD2C66" w:rsidRPr="00433908" w:rsidRDefault="00BD2C66" w:rsidP="00D53853">
            <w:pPr>
              <w:jc w:val="center"/>
              <w:rPr>
                <w:rFonts w:asciiTheme="majorBidi" w:hAnsiTheme="majorBidi" w:cstheme="majorBidi"/>
              </w:rPr>
            </w:pPr>
          </w:p>
        </w:tc>
        <w:tc>
          <w:tcPr>
            <w:tcW w:w="769" w:type="dxa"/>
          </w:tcPr>
          <w:p w14:paraId="6EA72393" w14:textId="77777777" w:rsidR="00BD2C66" w:rsidRPr="00433908" w:rsidRDefault="00BD2C66" w:rsidP="00D53853">
            <w:pPr>
              <w:jc w:val="center"/>
              <w:rPr>
                <w:rFonts w:asciiTheme="majorBidi" w:hAnsiTheme="majorBidi" w:cstheme="majorBidi"/>
              </w:rPr>
            </w:pPr>
          </w:p>
        </w:tc>
        <w:tc>
          <w:tcPr>
            <w:tcW w:w="1110" w:type="dxa"/>
          </w:tcPr>
          <w:p w14:paraId="1D0CBCF5" w14:textId="77777777" w:rsidR="00BD2C66" w:rsidRPr="00433908" w:rsidRDefault="00BD2C66" w:rsidP="00D40F89">
            <w:pPr>
              <w:jc w:val="center"/>
              <w:rPr>
                <w:rFonts w:asciiTheme="majorBidi" w:hAnsiTheme="majorBidi" w:cstheme="majorBidi"/>
              </w:rPr>
            </w:pPr>
          </w:p>
        </w:tc>
        <w:tc>
          <w:tcPr>
            <w:tcW w:w="765" w:type="dxa"/>
          </w:tcPr>
          <w:p w14:paraId="0CB9D4E7" w14:textId="77777777" w:rsidR="00BD2C66" w:rsidRPr="00433908" w:rsidRDefault="00BD2C66" w:rsidP="00D40F89">
            <w:pPr>
              <w:jc w:val="center"/>
              <w:rPr>
                <w:rFonts w:asciiTheme="majorBidi" w:hAnsiTheme="majorBidi" w:cstheme="majorBidi"/>
              </w:rPr>
            </w:pPr>
          </w:p>
        </w:tc>
        <w:tc>
          <w:tcPr>
            <w:tcW w:w="766" w:type="dxa"/>
          </w:tcPr>
          <w:p w14:paraId="502969D9" w14:textId="77777777" w:rsidR="00BD2C66" w:rsidRPr="00433908" w:rsidRDefault="00BD2C66" w:rsidP="00D40F89">
            <w:pPr>
              <w:jc w:val="center"/>
              <w:rPr>
                <w:rFonts w:asciiTheme="majorBidi" w:hAnsiTheme="majorBidi" w:cstheme="majorBidi"/>
              </w:rPr>
            </w:pPr>
          </w:p>
        </w:tc>
      </w:tr>
      <w:tr w:rsidR="00D40F89" w:rsidRPr="00433908" w14:paraId="1943D1D5" w14:textId="77777777" w:rsidTr="00BF318B">
        <w:trPr>
          <w:trHeight w:val="301"/>
        </w:trPr>
        <w:tc>
          <w:tcPr>
            <w:tcW w:w="1553" w:type="dxa"/>
          </w:tcPr>
          <w:p w14:paraId="2D0AC64A" w14:textId="552B948D" w:rsidR="00D53853" w:rsidRPr="00433908" w:rsidRDefault="00D53853" w:rsidP="00D53853">
            <w:pPr>
              <w:jc w:val="center"/>
              <w:rPr>
                <w:rFonts w:asciiTheme="majorBidi" w:hAnsiTheme="majorBidi" w:cstheme="majorBidi"/>
              </w:rPr>
            </w:pPr>
            <w:r w:rsidRPr="00433908">
              <w:rPr>
                <w:rFonts w:asciiTheme="majorBidi" w:hAnsiTheme="majorBidi" w:cstheme="majorBidi"/>
              </w:rPr>
              <w:t>Competition</w:t>
            </w:r>
          </w:p>
        </w:tc>
        <w:tc>
          <w:tcPr>
            <w:tcW w:w="1110" w:type="dxa"/>
          </w:tcPr>
          <w:p w14:paraId="1165D92E" w14:textId="541D9CE2" w:rsidR="00D53853" w:rsidRPr="00433908" w:rsidRDefault="00D53853" w:rsidP="00D53853">
            <w:pPr>
              <w:jc w:val="center"/>
              <w:rPr>
                <w:rFonts w:asciiTheme="majorBidi" w:hAnsiTheme="majorBidi" w:cstheme="majorBidi"/>
              </w:rPr>
            </w:pPr>
            <w:r w:rsidRPr="00433908">
              <w:rPr>
                <w:rFonts w:asciiTheme="majorBidi" w:hAnsiTheme="majorBidi" w:cstheme="majorBidi"/>
              </w:rPr>
              <w:t>$1</w:t>
            </w:r>
          </w:p>
        </w:tc>
        <w:tc>
          <w:tcPr>
            <w:tcW w:w="740" w:type="dxa"/>
          </w:tcPr>
          <w:p w14:paraId="0B497A74" w14:textId="0F185C27" w:rsidR="00D53853" w:rsidRPr="00433908" w:rsidRDefault="00D53853" w:rsidP="00D53853">
            <w:pPr>
              <w:jc w:val="center"/>
              <w:rPr>
                <w:rFonts w:asciiTheme="majorBidi" w:hAnsiTheme="majorBidi" w:cstheme="majorBidi"/>
              </w:rPr>
            </w:pPr>
            <w:r w:rsidRPr="00433908">
              <w:rPr>
                <w:rFonts w:asciiTheme="majorBidi" w:hAnsiTheme="majorBidi" w:cstheme="majorBidi"/>
              </w:rPr>
              <w:t>$1</w:t>
            </w:r>
          </w:p>
        </w:tc>
        <w:tc>
          <w:tcPr>
            <w:tcW w:w="736" w:type="dxa"/>
          </w:tcPr>
          <w:p w14:paraId="1CEB6539" w14:textId="3493F3AC" w:rsidR="00D53853" w:rsidRPr="00433908" w:rsidRDefault="00D53853" w:rsidP="00D53853">
            <w:pPr>
              <w:jc w:val="center"/>
              <w:rPr>
                <w:rFonts w:asciiTheme="majorBidi" w:hAnsiTheme="majorBidi" w:cstheme="majorBidi"/>
              </w:rPr>
            </w:pPr>
            <w:r w:rsidRPr="00433908">
              <w:rPr>
                <w:rFonts w:asciiTheme="majorBidi" w:hAnsiTheme="majorBidi" w:cstheme="majorBidi"/>
              </w:rPr>
              <w:t>$1</w:t>
            </w:r>
          </w:p>
        </w:tc>
        <w:tc>
          <w:tcPr>
            <w:tcW w:w="1110" w:type="dxa"/>
          </w:tcPr>
          <w:p w14:paraId="0D96EE36" w14:textId="04170316" w:rsidR="00D53853" w:rsidRPr="00433908" w:rsidRDefault="00D40F89" w:rsidP="00D53853">
            <w:pPr>
              <w:jc w:val="center"/>
              <w:rPr>
                <w:rFonts w:asciiTheme="majorBidi" w:hAnsiTheme="majorBidi" w:cstheme="majorBidi"/>
              </w:rPr>
            </w:pPr>
            <w:r w:rsidRPr="00433908">
              <w:rPr>
                <w:rFonts w:asciiTheme="majorBidi" w:hAnsiTheme="majorBidi" w:cstheme="majorBidi"/>
              </w:rPr>
              <w:t>2</w:t>
            </w:r>
            <w:r w:rsidR="00D53853" w:rsidRPr="00433908">
              <w:rPr>
                <w:rFonts w:asciiTheme="majorBidi" w:hAnsiTheme="majorBidi" w:cstheme="majorBidi"/>
              </w:rPr>
              <w:t>0</w:t>
            </w:r>
          </w:p>
        </w:tc>
        <w:tc>
          <w:tcPr>
            <w:tcW w:w="749" w:type="dxa"/>
          </w:tcPr>
          <w:p w14:paraId="723D516D" w14:textId="428EEE8E" w:rsidR="00D53853" w:rsidRPr="00433908" w:rsidRDefault="00D40F89" w:rsidP="00D53853">
            <w:pPr>
              <w:jc w:val="center"/>
              <w:rPr>
                <w:rFonts w:asciiTheme="majorBidi" w:hAnsiTheme="majorBidi" w:cstheme="majorBidi"/>
              </w:rPr>
            </w:pPr>
            <w:r w:rsidRPr="00433908">
              <w:rPr>
                <w:rFonts w:asciiTheme="majorBidi" w:hAnsiTheme="majorBidi" w:cstheme="majorBidi"/>
              </w:rPr>
              <w:t>10</w:t>
            </w:r>
          </w:p>
        </w:tc>
        <w:tc>
          <w:tcPr>
            <w:tcW w:w="769" w:type="dxa"/>
          </w:tcPr>
          <w:p w14:paraId="3569AB33" w14:textId="62270FF6" w:rsidR="00D53853" w:rsidRPr="00433908" w:rsidRDefault="00D40F89" w:rsidP="00D53853">
            <w:pPr>
              <w:jc w:val="center"/>
              <w:rPr>
                <w:rFonts w:asciiTheme="majorBidi" w:hAnsiTheme="majorBidi" w:cstheme="majorBidi"/>
              </w:rPr>
            </w:pPr>
            <w:r w:rsidRPr="00433908">
              <w:rPr>
                <w:rFonts w:asciiTheme="majorBidi" w:hAnsiTheme="majorBidi" w:cstheme="majorBidi"/>
              </w:rPr>
              <w:t>10</w:t>
            </w:r>
          </w:p>
        </w:tc>
        <w:tc>
          <w:tcPr>
            <w:tcW w:w="1110" w:type="dxa"/>
          </w:tcPr>
          <w:p w14:paraId="31D98CE2" w14:textId="7525F225" w:rsidR="00D53853" w:rsidRPr="00433908" w:rsidRDefault="00D53853"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2</w:t>
            </w:r>
            <w:r w:rsidRPr="00433908">
              <w:rPr>
                <w:rFonts w:asciiTheme="majorBidi" w:hAnsiTheme="majorBidi" w:cstheme="majorBidi"/>
              </w:rPr>
              <w:t>0</w:t>
            </w:r>
          </w:p>
        </w:tc>
        <w:tc>
          <w:tcPr>
            <w:tcW w:w="765" w:type="dxa"/>
          </w:tcPr>
          <w:p w14:paraId="01FE8D47" w14:textId="3D60B39E" w:rsidR="00D53853" w:rsidRPr="00433908" w:rsidRDefault="00D53853"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10</w:t>
            </w:r>
          </w:p>
        </w:tc>
        <w:tc>
          <w:tcPr>
            <w:tcW w:w="766" w:type="dxa"/>
          </w:tcPr>
          <w:p w14:paraId="1D7E81BC" w14:textId="05BAA8DD" w:rsidR="00D53853" w:rsidRPr="00433908" w:rsidRDefault="00D53853"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10</w:t>
            </w:r>
          </w:p>
        </w:tc>
      </w:tr>
      <w:tr w:rsidR="00BD2C66" w:rsidRPr="00433908" w14:paraId="0CAB4A83" w14:textId="77777777" w:rsidTr="00BF318B">
        <w:trPr>
          <w:trHeight w:val="301"/>
        </w:trPr>
        <w:tc>
          <w:tcPr>
            <w:tcW w:w="1553" w:type="dxa"/>
          </w:tcPr>
          <w:p w14:paraId="7FA3DC1F" w14:textId="77777777" w:rsidR="00BD2C66" w:rsidRPr="00433908" w:rsidRDefault="00BD2C66" w:rsidP="00D53853">
            <w:pPr>
              <w:jc w:val="center"/>
              <w:rPr>
                <w:rFonts w:asciiTheme="majorBidi" w:hAnsiTheme="majorBidi" w:cstheme="majorBidi"/>
              </w:rPr>
            </w:pPr>
          </w:p>
        </w:tc>
        <w:tc>
          <w:tcPr>
            <w:tcW w:w="1110" w:type="dxa"/>
          </w:tcPr>
          <w:p w14:paraId="4C409728" w14:textId="77777777" w:rsidR="00BD2C66" w:rsidRPr="00433908" w:rsidRDefault="00BD2C66" w:rsidP="00D40F89">
            <w:pPr>
              <w:jc w:val="center"/>
              <w:rPr>
                <w:rFonts w:asciiTheme="majorBidi" w:hAnsiTheme="majorBidi" w:cstheme="majorBidi"/>
              </w:rPr>
            </w:pPr>
          </w:p>
        </w:tc>
        <w:tc>
          <w:tcPr>
            <w:tcW w:w="740" w:type="dxa"/>
          </w:tcPr>
          <w:p w14:paraId="64F3CA26" w14:textId="77777777" w:rsidR="00BD2C66" w:rsidRPr="00433908" w:rsidRDefault="00BD2C66" w:rsidP="00D40F89">
            <w:pPr>
              <w:jc w:val="center"/>
              <w:rPr>
                <w:rFonts w:asciiTheme="majorBidi" w:hAnsiTheme="majorBidi" w:cstheme="majorBidi"/>
              </w:rPr>
            </w:pPr>
          </w:p>
        </w:tc>
        <w:tc>
          <w:tcPr>
            <w:tcW w:w="736" w:type="dxa"/>
          </w:tcPr>
          <w:p w14:paraId="779EEDDE" w14:textId="77777777" w:rsidR="00BD2C66" w:rsidRPr="00433908" w:rsidRDefault="00BD2C66" w:rsidP="00D40F89">
            <w:pPr>
              <w:jc w:val="center"/>
              <w:rPr>
                <w:rFonts w:asciiTheme="majorBidi" w:hAnsiTheme="majorBidi" w:cstheme="majorBidi"/>
              </w:rPr>
            </w:pPr>
          </w:p>
        </w:tc>
        <w:tc>
          <w:tcPr>
            <w:tcW w:w="1110" w:type="dxa"/>
          </w:tcPr>
          <w:p w14:paraId="2718443A" w14:textId="77777777" w:rsidR="00BD2C66" w:rsidRPr="00433908" w:rsidRDefault="00BD2C66" w:rsidP="00D40F89">
            <w:pPr>
              <w:jc w:val="center"/>
              <w:rPr>
                <w:rFonts w:asciiTheme="majorBidi" w:hAnsiTheme="majorBidi" w:cstheme="majorBidi"/>
              </w:rPr>
            </w:pPr>
          </w:p>
        </w:tc>
        <w:tc>
          <w:tcPr>
            <w:tcW w:w="749" w:type="dxa"/>
          </w:tcPr>
          <w:p w14:paraId="68FE322B" w14:textId="77777777" w:rsidR="00BD2C66" w:rsidRPr="00433908" w:rsidRDefault="00BD2C66" w:rsidP="00D53853">
            <w:pPr>
              <w:jc w:val="center"/>
              <w:rPr>
                <w:rFonts w:asciiTheme="majorBidi" w:hAnsiTheme="majorBidi" w:cstheme="majorBidi"/>
              </w:rPr>
            </w:pPr>
          </w:p>
        </w:tc>
        <w:tc>
          <w:tcPr>
            <w:tcW w:w="769" w:type="dxa"/>
          </w:tcPr>
          <w:p w14:paraId="7AD7984C" w14:textId="77777777" w:rsidR="00BD2C66" w:rsidRPr="00433908" w:rsidRDefault="00BD2C66" w:rsidP="00D53853">
            <w:pPr>
              <w:jc w:val="center"/>
              <w:rPr>
                <w:rFonts w:asciiTheme="majorBidi" w:hAnsiTheme="majorBidi" w:cstheme="majorBidi"/>
              </w:rPr>
            </w:pPr>
          </w:p>
        </w:tc>
        <w:tc>
          <w:tcPr>
            <w:tcW w:w="1110" w:type="dxa"/>
          </w:tcPr>
          <w:p w14:paraId="3BFAA567" w14:textId="77777777" w:rsidR="00BD2C66" w:rsidRPr="00433908" w:rsidRDefault="00BD2C66" w:rsidP="00D40F89">
            <w:pPr>
              <w:jc w:val="center"/>
              <w:rPr>
                <w:rFonts w:asciiTheme="majorBidi" w:hAnsiTheme="majorBidi" w:cstheme="majorBidi"/>
              </w:rPr>
            </w:pPr>
          </w:p>
        </w:tc>
        <w:tc>
          <w:tcPr>
            <w:tcW w:w="765" w:type="dxa"/>
          </w:tcPr>
          <w:p w14:paraId="19A83BC2" w14:textId="77777777" w:rsidR="00BD2C66" w:rsidRPr="00433908" w:rsidRDefault="00BD2C66" w:rsidP="00D40F89">
            <w:pPr>
              <w:jc w:val="center"/>
              <w:rPr>
                <w:rFonts w:asciiTheme="majorBidi" w:hAnsiTheme="majorBidi" w:cstheme="majorBidi"/>
              </w:rPr>
            </w:pPr>
          </w:p>
        </w:tc>
        <w:tc>
          <w:tcPr>
            <w:tcW w:w="766" w:type="dxa"/>
          </w:tcPr>
          <w:p w14:paraId="6609450F" w14:textId="77777777" w:rsidR="00BD2C66" w:rsidRPr="00433908" w:rsidRDefault="00BD2C66" w:rsidP="00D40F89">
            <w:pPr>
              <w:jc w:val="center"/>
              <w:rPr>
                <w:rFonts w:asciiTheme="majorBidi" w:hAnsiTheme="majorBidi" w:cstheme="majorBidi"/>
              </w:rPr>
            </w:pPr>
          </w:p>
        </w:tc>
      </w:tr>
      <w:tr w:rsidR="00D40F89" w:rsidRPr="00433908" w14:paraId="14926C2E" w14:textId="77777777" w:rsidTr="00BF318B">
        <w:trPr>
          <w:trHeight w:val="301"/>
        </w:trPr>
        <w:tc>
          <w:tcPr>
            <w:tcW w:w="1553" w:type="dxa"/>
          </w:tcPr>
          <w:p w14:paraId="59D59C43" w14:textId="03EECF1A" w:rsidR="00D53853" w:rsidRPr="00433908" w:rsidRDefault="00D53853" w:rsidP="00D53853">
            <w:pPr>
              <w:jc w:val="center"/>
              <w:rPr>
                <w:rFonts w:asciiTheme="majorBidi" w:hAnsiTheme="majorBidi" w:cstheme="majorBidi"/>
              </w:rPr>
            </w:pPr>
            <w:r w:rsidRPr="00433908">
              <w:rPr>
                <w:rFonts w:asciiTheme="majorBidi" w:hAnsiTheme="majorBidi" w:cstheme="majorBidi"/>
              </w:rPr>
              <w:t>Duopoly</w:t>
            </w:r>
          </w:p>
        </w:tc>
        <w:tc>
          <w:tcPr>
            <w:tcW w:w="1110" w:type="dxa"/>
          </w:tcPr>
          <w:p w14:paraId="72D8A5E8" w14:textId="4EDCDDD9" w:rsidR="00D53853" w:rsidRPr="00433908" w:rsidRDefault="005A42BE"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3</w:t>
            </w:r>
          </w:p>
        </w:tc>
        <w:tc>
          <w:tcPr>
            <w:tcW w:w="740" w:type="dxa"/>
          </w:tcPr>
          <w:p w14:paraId="7C61A0E0" w14:textId="755D7091" w:rsidR="00D53853" w:rsidRPr="00433908" w:rsidRDefault="005A42BE"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3</w:t>
            </w:r>
          </w:p>
        </w:tc>
        <w:tc>
          <w:tcPr>
            <w:tcW w:w="736" w:type="dxa"/>
          </w:tcPr>
          <w:p w14:paraId="4865AB48" w14:textId="16980718" w:rsidR="00D53853" w:rsidRPr="00433908" w:rsidRDefault="005A42BE"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3</w:t>
            </w:r>
          </w:p>
        </w:tc>
        <w:tc>
          <w:tcPr>
            <w:tcW w:w="1110" w:type="dxa"/>
          </w:tcPr>
          <w:p w14:paraId="7F68D75F" w14:textId="12B5DDF7" w:rsidR="00D53853" w:rsidRPr="00433908" w:rsidRDefault="00D40F89" w:rsidP="00D40F89">
            <w:pPr>
              <w:jc w:val="center"/>
              <w:rPr>
                <w:rFonts w:asciiTheme="majorBidi" w:hAnsiTheme="majorBidi" w:cstheme="majorBidi"/>
              </w:rPr>
            </w:pPr>
            <w:r w:rsidRPr="00433908">
              <w:rPr>
                <w:rFonts w:asciiTheme="majorBidi" w:hAnsiTheme="majorBidi" w:cstheme="majorBidi"/>
              </w:rPr>
              <w:t>14</w:t>
            </w:r>
          </w:p>
        </w:tc>
        <w:tc>
          <w:tcPr>
            <w:tcW w:w="749" w:type="dxa"/>
          </w:tcPr>
          <w:p w14:paraId="741B5F21" w14:textId="339B35F0" w:rsidR="00D53853" w:rsidRPr="00433908" w:rsidRDefault="00D40F89" w:rsidP="00D53853">
            <w:pPr>
              <w:jc w:val="center"/>
              <w:rPr>
                <w:rFonts w:asciiTheme="majorBidi" w:hAnsiTheme="majorBidi" w:cstheme="majorBidi"/>
              </w:rPr>
            </w:pPr>
            <w:r w:rsidRPr="00433908">
              <w:rPr>
                <w:rFonts w:asciiTheme="majorBidi" w:hAnsiTheme="majorBidi" w:cstheme="majorBidi"/>
              </w:rPr>
              <w:t>7</w:t>
            </w:r>
          </w:p>
        </w:tc>
        <w:tc>
          <w:tcPr>
            <w:tcW w:w="769" w:type="dxa"/>
          </w:tcPr>
          <w:p w14:paraId="591D6C7F" w14:textId="5F8896D4" w:rsidR="00D53853" w:rsidRPr="00433908" w:rsidRDefault="00D40F89" w:rsidP="00D53853">
            <w:pPr>
              <w:jc w:val="center"/>
              <w:rPr>
                <w:rFonts w:asciiTheme="majorBidi" w:hAnsiTheme="majorBidi" w:cstheme="majorBidi"/>
              </w:rPr>
            </w:pPr>
            <w:r w:rsidRPr="00433908">
              <w:rPr>
                <w:rFonts w:asciiTheme="majorBidi" w:hAnsiTheme="majorBidi" w:cstheme="majorBidi"/>
              </w:rPr>
              <w:t>7</w:t>
            </w:r>
          </w:p>
        </w:tc>
        <w:tc>
          <w:tcPr>
            <w:tcW w:w="1110" w:type="dxa"/>
          </w:tcPr>
          <w:p w14:paraId="58D8398C" w14:textId="6292E851" w:rsidR="00D53853" w:rsidRPr="00433908" w:rsidRDefault="005A42BE"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42</w:t>
            </w:r>
          </w:p>
        </w:tc>
        <w:tc>
          <w:tcPr>
            <w:tcW w:w="765" w:type="dxa"/>
          </w:tcPr>
          <w:p w14:paraId="7A24A1E6" w14:textId="75E5410E" w:rsidR="00D53853" w:rsidRPr="00433908" w:rsidRDefault="005A42BE"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21</w:t>
            </w:r>
          </w:p>
        </w:tc>
        <w:tc>
          <w:tcPr>
            <w:tcW w:w="766" w:type="dxa"/>
          </w:tcPr>
          <w:p w14:paraId="6A63DFED" w14:textId="7C5B7CAB" w:rsidR="00D53853" w:rsidRPr="00433908" w:rsidRDefault="005A42BE" w:rsidP="00D40F89">
            <w:pPr>
              <w:jc w:val="center"/>
              <w:rPr>
                <w:rFonts w:asciiTheme="majorBidi" w:hAnsiTheme="majorBidi" w:cstheme="majorBidi"/>
              </w:rPr>
            </w:pPr>
            <w:r w:rsidRPr="00433908">
              <w:rPr>
                <w:rFonts w:asciiTheme="majorBidi" w:hAnsiTheme="majorBidi" w:cstheme="majorBidi"/>
              </w:rPr>
              <w:t>$</w:t>
            </w:r>
            <w:r w:rsidR="00D40F89" w:rsidRPr="00433908">
              <w:rPr>
                <w:rFonts w:asciiTheme="majorBidi" w:hAnsiTheme="majorBidi" w:cstheme="majorBidi"/>
              </w:rPr>
              <w:t>21</w:t>
            </w:r>
          </w:p>
        </w:tc>
      </w:tr>
      <w:tr w:rsidR="00BD2C66" w:rsidRPr="00433908" w14:paraId="70C9CBAA" w14:textId="77777777" w:rsidTr="00BF318B">
        <w:trPr>
          <w:trHeight w:val="301"/>
        </w:trPr>
        <w:tc>
          <w:tcPr>
            <w:tcW w:w="1553" w:type="dxa"/>
          </w:tcPr>
          <w:p w14:paraId="3BF5BBD7" w14:textId="77777777" w:rsidR="00BD2C66" w:rsidRPr="00433908" w:rsidRDefault="00BD2C66" w:rsidP="00D53853">
            <w:pPr>
              <w:jc w:val="center"/>
              <w:rPr>
                <w:rFonts w:asciiTheme="majorBidi" w:hAnsiTheme="majorBidi" w:cstheme="majorBidi"/>
              </w:rPr>
            </w:pPr>
          </w:p>
        </w:tc>
        <w:tc>
          <w:tcPr>
            <w:tcW w:w="1110" w:type="dxa"/>
          </w:tcPr>
          <w:p w14:paraId="5D340643" w14:textId="77777777" w:rsidR="00BD2C66" w:rsidRPr="00433908" w:rsidRDefault="00BD2C66" w:rsidP="00D53853">
            <w:pPr>
              <w:jc w:val="center"/>
              <w:rPr>
                <w:rFonts w:asciiTheme="majorBidi" w:hAnsiTheme="majorBidi" w:cstheme="majorBidi"/>
              </w:rPr>
            </w:pPr>
          </w:p>
        </w:tc>
        <w:tc>
          <w:tcPr>
            <w:tcW w:w="740" w:type="dxa"/>
          </w:tcPr>
          <w:p w14:paraId="2FE12C68" w14:textId="77777777" w:rsidR="00BD2C66" w:rsidRPr="00433908" w:rsidRDefault="00BD2C66" w:rsidP="00D53853">
            <w:pPr>
              <w:jc w:val="center"/>
              <w:rPr>
                <w:rFonts w:asciiTheme="majorBidi" w:hAnsiTheme="majorBidi" w:cstheme="majorBidi"/>
              </w:rPr>
            </w:pPr>
          </w:p>
        </w:tc>
        <w:tc>
          <w:tcPr>
            <w:tcW w:w="736" w:type="dxa"/>
          </w:tcPr>
          <w:p w14:paraId="6C71531E" w14:textId="77777777" w:rsidR="00BD2C66" w:rsidRPr="00433908" w:rsidRDefault="00BD2C66" w:rsidP="00D53853">
            <w:pPr>
              <w:jc w:val="center"/>
              <w:rPr>
                <w:rFonts w:asciiTheme="majorBidi" w:hAnsiTheme="majorBidi" w:cstheme="majorBidi"/>
              </w:rPr>
            </w:pPr>
          </w:p>
        </w:tc>
        <w:tc>
          <w:tcPr>
            <w:tcW w:w="1110" w:type="dxa"/>
          </w:tcPr>
          <w:p w14:paraId="528E8EB9" w14:textId="77777777" w:rsidR="00BD2C66" w:rsidRPr="00433908" w:rsidRDefault="00BD2C66" w:rsidP="00D53853">
            <w:pPr>
              <w:jc w:val="center"/>
              <w:rPr>
                <w:rFonts w:asciiTheme="majorBidi" w:hAnsiTheme="majorBidi" w:cstheme="majorBidi"/>
              </w:rPr>
            </w:pPr>
          </w:p>
        </w:tc>
        <w:tc>
          <w:tcPr>
            <w:tcW w:w="749" w:type="dxa"/>
          </w:tcPr>
          <w:p w14:paraId="42062D8B" w14:textId="77777777" w:rsidR="00BD2C66" w:rsidRPr="00433908" w:rsidRDefault="00BD2C66" w:rsidP="00D53853">
            <w:pPr>
              <w:jc w:val="center"/>
              <w:rPr>
                <w:rFonts w:asciiTheme="majorBidi" w:hAnsiTheme="majorBidi" w:cstheme="majorBidi"/>
              </w:rPr>
            </w:pPr>
          </w:p>
        </w:tc>
        <w:tc>
          <w:tcPr>
            <w:tcW w:w="769" w:type="dxa"/>
          </w:tcPr>
          <w:p w14:paraId="020DFB47" w14:textId="77777777" w:rsidR="00BD2C66" w:rsidRPr="00433908" w:rsidRDefault="00BD2C66" w:rsidP="00D53853">
            <w:pPr>
              <w:jc w:val="center"/>
              <w:rPr>
                <w:rFonts w:asciiTheme="majorBidi" w:hAnsiTheme="majorBidi" w:cstheme="majorBidi"/>
              </w:rPr>
            </w:pPr>
          </w:p>
        </w:tc>
        <w:tc>
          <w:tcPr>
            <w:tcW w:w="1110" w:type="dxa"/>
          </w:tcPr>
          <w:p w14:paraId="6D6D74BC" w14:textId="77777777" w:rsidR="00BD2C66" w:rsidRPr="00433908" w:rsidRDefault="00BD2C66" w:rsidP="00D40F89">
            <w:pPr>
              <w:jc w:val="center"/>
              <w:rPr>
                <w:rFonts w:asciiTheme="majorBidi" w:hAnsiTheme="majorBidi" w:cstheme="majorBidi"/>
              </w:rPr>
            </w:pPr>
          </w:p>
        </w:tc>
        <w:tc>
          <w:tcPr>
            <w:tcW w:w="765" w:type="dxa"/>
          </w:tcPr>
          <w:p w14:paraId="1B243501" w14:textId="77777777" w:rsidR="00BD2C66" w:rsidRPr="00433908" w:rsidRDefault="00BD2C66" w:rsidP="00D40F89">
            <w:pPr>
              <w:jc w:val="center"/>
              <w:rPr>
                <w:rFonts w:asciiTheme="majorBidi" w:hAnsiTheme="majorBidi" w:cstheme="majorBidi"/>
              </w:rPr>
            </w:pPr>
          </w:p>
        </w:tc>
        <w:tc>
          <w:tcPr>
            <w:tcW w:w="766" w:type="dxa"/>
          </w:tcPr>
          <w:p w14:paraId="571236B6" w14:textId="77777777" w:rsidR="00BD2C66" w:rsidRPr="00433908" w:rsidRDefault="00BD2C66" w:rsidP="00D40F89">
            <w:pPr>
              <w:jc w:val="center"/>
              <w:rPr>
                <w:rFonts w:asciiTheme="majorBidi" w:hAnsiTheme="majorBidi" w:cstheme="majorBidi"/>
              </w:rPr>
            </w:pPr>
          </w:p>
        </w:tc>
      </w:tr>
      <w:tr w:rsidR="00D40F89" w:rsidRPr="00433908" w14:paraId="2078CBB5" w14:textId="77777777" w:rsidTr="00BF318B">
        <w:trPr>
          <w:trHeight w:val="301"/>
        </w:trPr>
        <w:tc>
          <w:tcPr>
            <w:tcW w:w="1553" w:type="dxa"/>
          </w:tcPr>
          <w:p w14:paraId="504CD576" w14:textId="5120BC84" w:rsidR="00D53853" w:rsidRPr="00433908" w:rsidRDefault="00D53853" w:rsidP="00D53853">
            <w:pPr>
              <w:jc w:val="center"/>
              <w:rPr>
                <w:rFonts w:asciiTheme="majorBidi" w:hAnsiTheme="majorBidi" w:cstheme="majorBidi"/>
              </w:rPr>
            </w:pPr>
            <w:r w:rsidRPr="00433908">
              <w:rPr>
                <w:rFonts w:asciiTheme="majorBidi" w:hAnsiTheme="majorBidi" w:cstheme="majorBidi"/>
              </w:rPr>
              <w:t>Monopoly</w:t>
            </w:r>
            <w:r w:rsidR="005A42BE" w:rsidRPr="00433908">
              <w:rPr>
                <w:rFonts w:asciiTheme="majorBidi" w:hAnsiTheme="majorBidi" w:cstheme="majorBidi"/>
              </w:rPr>
              <w:t xml:space="preserve"> (</w:t>
            </w:r>
            <w:r w:rsidR="005A42BE" w:rsidRPr="00433908">
              <w:rPr>
                <w:rFonts w:asciiTheme="majorBidi" w:hAnsiTheme="majorBidi" w:cstheme="majorBidi"/>
                <w:i/>
                <w:iCs/>
              </w:rPr>
              <w:t>de facto</w:t>
            </w:r>
            <w:r w:rsidR="005A42BE" w:rsidRPr="00433908">
              <w:rPr>
                <w:rFonts w:asciiTheme="majorBidi" w:hAnsiTheme="majorBidi" w:cstheme="majorBidi"/>
              </w:rPr>
              <w:t xml:space="preserve"> merger)</w:t>
            </w:r>
          </w:p>
        </w:tc>
        <w:tc>
          <w:tcPr>
            <w:tcW w:w="1110" w:type="dxa"/>
          </w:tcPr>
          <w:p w14:paraId="2EA5E4EA" w14:textId="4C220B85" w:rsidR="00D53853" w:rsidRPr="00433908" w:rsidRDefault="005A42BE" w:rsidP="00D53853">
            <w:pPr>
              <w:jc w:val="center"/>
              <w:rPr>
                <w:rFonts w:asciiTheme="majorBidi" w:hAnsiTheme="majorBidi" w:cstheme="majorBidi"/>
              </w:rPr>
            </w:pPr>
            <w:r w:rsidRPr="00433908">
              <w:rPr>
                <w:rFonts w:asciiTheme="majorBidi" w:hAnsiTheme="majorBidi" w:cstheme="majorBidi"/>
              </w:rPr>
              <w:t>$5</w:t>
            </w:r>
          </w:p>
        </w:tc>
        <w:tc>
          <w:tcPr>
            <w:tcW w:w="740" w:type="dxa"/>
          </w:tcPr>
          <w:p w14:paraId="2D4B9EB4" w14:textId="6FECED91" w:rsidR="00D53853" w:rsidRPr="00433908" w:rsidRDefault="005A42BE" w:rsidP="00D53853">
            <w:pPr>
              <w:jc w:val="center"/>
              <w:rPr>
                <w:rFonts w:asciiTheme="majorBidi" w:hAnsiTheme="majorBidi" w:cstheme="majorBidi"/>
              </w:rPr>
            </w:pPr>
            <w:r w:rsidRPr="00433908">
              <w:rPr>
                <w:rFonts w:asciiTheme="majorBidi" w:hAnsiTheme="majorBidi" w:cstheme="majorBidi"/>
              </w:rPr>
              <w:t>$5</w:t>
            </w:r>
          </w:p>
        </w:tc>
        <w:tc>
          <w:tcPr>
            <w:tcW w:w="736" w:type="dxa"/>
          </w:tcPr>
          <w:p w14:paraId="491433FC" w14:textId="6F62B6CE" w:rsidR="00D53853" w:rsidRPr="00433908" w:rsidRDefault="005A42BE" w:rsidP="00D53853">
            <w:pPr>
              <w:jc w:val="center"/>
              <w:rPr>
                <w:rFonts w:asciiTheme="majorBidi" w:hAnsiTheme="majorBidi" w:cstheme="majorBidi"/>
              </w:rPr>
            </w:pPr>
            <w:r w:rsidRPr="00433908">
              <w:rPr>
                <w:rFonts w:asciiTheme="majorBidi" w:hAnsiTheme="majorBidi" w:cstheme="majorBidi"/>
              </w:rPr>
              <w:t>$5</w:t>
            </w:r>
          </w:p>
        </w:tc>
        <w:tc>
          <w:tcPr>
            <w:tcW w:w="1110" w:type="dxa"/>
          </w:tcPr>
          <w:p w14:paraId="271B2729" w14:textId="6D1C539B" w:rsidR="00D53853" w:rsidRPr="00433908" w:rsidRDefault="00D40F89" w:rsidP="00D53853">
            <w:pPr>
              <w:jc w:val="center"/>
              <w:rPr>
                <w:rFonts w:asciiTheme="majorBidi" w:hAnsiTheme="majorBidi" w:cstheme="majorBidi"/>
              </w:rPr>
            </w:pPr>
            <w:r w:rsidRPr="00433908">
              <w:rPr>
                <w:rFonts w:asciiTheme="majorBidi" w:hAnsiTheme="majorBidi" w:cstheme="majorBidi"/>
              </w:rPr>
              <w:t>10</w:t>
            </w:r>
          </w:p>
        </w:tc>
        <w:tc>
          <w:tcPr>
            <w:tcW w:w="749" w:type="dxa"/>
          </w:tcPr>
          <w:p w14:paraId="57BA16DA" w14:textId="38E754C7" w:rsidR="00D53853" w:rsidRPr="00433908" w:rsidRDefault="00D40F89" w:rsidP="00D53853">
            <w:pPr>
              <w:jc w:val="center"/>
              <w:rPr>
                <w:rFonts w:asciiTheme="majorBidi" w:hAnsiTheme="majorBidi" w:cstheme="majorBidi"/>
              </w:rPr>
            </w:pPr>
            <w:r w:rsidRPr="00433908">
              <w:rPr>
                <w:rFonts w:asciiTheme="majorBidi" w:hAnsiTheme="majorBidi" w:cstheme="majorBidi"/>
              </w:rPr>
              <w:t>5</w:t>
            </w:r>
          </w:p>
        </w:tc>
        <w:tc>
          <w:tcPr>
            <w:tcW w:w="769" w:type="dxa"/>
          </w:tcPr>
          <w:p w14:paraId="190B8390" w14:textId="1DAC189B" w:rsidR="00D53853" w:rsidRPr="00433908" w:rsidRDefault="00D40F89" w:rsidP="00D53853">
            <w:pPr>
              <w:jc w:val="center"/>
              <w:rPr>
                <w:rFonts w:asciiTheme="majorBidi" w:hAnsiTheme="majorBidi" w:cstheme="majorBidi"/>
              </w:rPr>
            </w:pPr>
            <w:r w:rsidRPr="00433908">
              <w:rPr>
                <w:rFonts w:asciiTheme="majorBidi" w:hAnsiTheme="majorBidi" w:cstheme="majorBidi"/>
              </w:rPr>
              <w:t>5</w:t>
            </w:r>
          </w:p>
        </w:tc>
        <w:tc>
          <w:tcPr>
            <w:tcW w:w="1110" w:type="dxa"/>
          </w:tcPr>
          <w:p w14:paraId="69C2E109" w14:textId="4311D5C0" w:rsidR="00D53853" w:rsidRPr="00433908" w:rsidRDefault="00D40F89" w:rsidP="00D40F89">
            <w:pPr>
              <w:jc w:val="center"/>
              <w:rPr>
                <w:rFonts w:asciiTheme="majorBidi" w:hAnsiTheme="majorBidi" w:cstheme="majorBidi"/>
              </w:rPr>
            </w:pPr>
            <w:r w:rsidRPr="00433908">
              <w:rPr>
                <w:rFonts w:asciiTheme="majorBidi" w:hAnsiTheme="majorBidi" w:cstheme="majorBidi"/>
              </w:rPr>
              <w:t>$50</w:t>
            </w:r>
          </w:p>
        </w:tc>
        <w:tc>
          <w:tcPr>
            <w:tcW w:w="765" w:type="dxa"/>
          </w:tcPr>
          <w:p w14:paraId="743FF92C" w14:textId="64515BB5" w:rsidR="00D53853" w:rsidRPr="00433908" w:rsidRDefault="00D40F89" w:rsidP="00D40F89">
            <w:pPr>
              <w:jc w:val="center"/>
              <w:rPr>
                <w:rFonts w:asciiTheme="majorBidi" w:hAnsiTheme="majorBidi" w:cstheme="majorBidi"/>
              </w:rPr>
            </w:pPr>
            <w:r w:rsidRPr="00433908">
              <w:rPr>
                <w:rFonts w:asciiTheme="majorBidi" w:hAnsiTheme="majorBidi" w:cstheme="majorBidi"/>
              </w:rPr>
              <w:t>$25</w:t>
            </w:r>
          </w:p>
        </w:tc>
        <w:tc>
          <w:tcPr>
            <w:tcW w:w="766" w:type="dxa"/>
          </w:tcPr>
          <w:p w14:paraId="55470432" w14:textId="2437F828" w:rsidR="00D53853" w:rsidRPr="00433908" w:rsidRDefault="00D40F89" w:rsidP="00D40F89">
            <w:pPr>
              <w:jc w:val="center"/>
              <w:rPr>
                <w:rFonts w:asciiTheme="majorBidi" w:hAnsiTheme="majorBidi" w:cstheme="majorBidi"/>
              </w:rPr>
            </w:pPr>
            <w:r w:rsidRPr="00433908">
              <w:rPr>
                <w:rFonts w:asciiTheme="majorBidi" w:hAnsiTheme="majorBidi" w:cstheme="majorBidi"/>
              </w:rPr>
              <w:t>$25</w:t>
            </w:r>
          </w:p>
        </w:tc>
      </w:tr>
      <w:tr w:rsidR="00BD2C66" w:rsidRPr="00433908" w14:paraId="3DE87BA8" w14:textId="77777777" w:rsidTr="00BF318B">
        <w:trPr>
          <w:trHeight w:val="301"/>
        </w:trPr>
        <w:tc>
          <w:tcPr>
            <w:tcW w:w="1553" w:type="dxa"/>
          </w:tcPr>
          <w:p w14:paraId="6275D44B" w14:textId="77777777" w:rsidR="00BD2C66" w:rsidRPr="00433908" w:rsidRDefault="00BD2C66" w:rsidP="00D53853">
            <w:pPr>
              <w:jc w:val="center"/>
              <w:rPr>
                <w:rFonts w:asciiTheme="majorBidi" w:hAnsiTheme="majorBidi" w:cstheme="majorBidi"/>
              </w:rPr>
            </w:pPr>
          </w:p>
        </w:tc>
        <w:tc>
          <w:tcPr>
            <w:tcW w:w="1110" w:type="dxa"/>
          </w:tcPr>
          <w:p w14:paraId="5D5E3C5A" w14:textId="77777777" w:rsidR="00BD2C66" w:rsidRPr="00433908" w:rsidRDefault="00BD2C66" w:rsidP="00D53853">
            <w:pPr>
              <w:jc w:val="center"/>
              <w:rPr>
                <w:rFonts w:asciiTheme="majorBidi" w:hAnsiTheme="majorBidi" w:cstheme="majorBidi"/>
              </w:rPr>
            </w:pPr>
          </w:p>
        </w:tc>
        <w:tc>
          <w:tcPr>
            <w:tcW w:w="740" w:type="dxa"/>
          </w:tcPr>
          <w:p w14:paraId="033E333F" w14:textId="77777777" w:rsidR="00BD2C66" w:rsidRPr="00433908" w:rsidRDefault="00BD2C66" w:rsidP="00D53853">
            <w:pPr>
              <w:jc w:val="center"/>
              <w:rPr>
                <w:rFonts w:asciiTheme="majorBidi" w:hAnsiTheme="majorBidi" w:cstheme="majorBidi"/>
              </w:rPr>
            </w:pPr>
          </w:p>
        </w:tc>
        <w:tc>
          <w:tcPr>
            <w:tcW w:w="736" w:type="dxa"/>
          </w:tcPr>
          <w:p w14:paraId="0440B69B" w14:textId="77777777" w:rsidR="00BD2C66" w:rsidRPr="00433908" w:rsidRDefault="00BD2C66" w:rsidP="00D53853">
            <w:pPr>
              <w:jc w:val="center"/>
              <w:rPr>
                <w:rFonts w:asciiTheme="majorBidi" w:hAnsiTheme="majorBidi" w:cstheme="majorBidi"/>
              </w:rPr>
            </w:pPr>
          </w:p>
        </w:tc>
        <w:tc>
          <w:tcPr>
            <w:tcW w:w="1110" w:type="dxa"/>
          </w:tcPr>
          <w:p w14:paraId="41AA0D10" w14:textId="77777777" w:rsidR="00BD2C66" w:rsidRPr="00433908" w:rsidRDefault="00BD2C66" w:rsidP="00D53853">
            <w:pPr>
              <w:jc w:val="center"/>
              <w:rPr>
                <w:rFonts w:asciiTheme="majorBidi" w:hAnsiTheme="majorBidi" w:cstheme="majorBidi"/>
              </w:rPr>
            </w:pPr>
          </w:p>
        </w:tc>
        <w:tc>
          <w:tcPr>
            <w:tcW w:w="749" w:type="dxa"/>
          </w:tcPr>
          <w:p w14:paraId="33C3E47D" w14:textId="77777777" w:rsidR="00BD2C66" w:rsidRPr="00433908" w:rsidRDefault="00BD2C66" w:rsidP="00D53853">
            <w:pPr>
              <w:jc w:val="center"/>
              <w:rPr>
                <w:rFonts w:asciiTheme="majorBidi" w:hAnsiTheme="majorBidi" w:cstheme="majorBidi"/>
              </w:rPr>
            </w:pPr>
          </w:p>
        </w:tc>
        <w:tc>
          <w:tcPr>
            <w:tcW w:w="769" w:type="dxa"/>
          </w:tcPr>
          <w:p w14:paraId="7D21571D" w14:textId="77777777" w:rsidR="00BD2C66" w:rsidRPr="00433908" w:rsidRDefault="00BD2C66" w:rsidP="00D53853">
            <w:pPr>
              <w:jc w:val="center"/>
              <w:rPr>
                <w:rFonts w:asciiTheme="majorBidi" w:hAnsiTheme="majorBidi" w:cstheme="majorBidi"/>
              </w:rPr>
            </w:pPr>
          </w:p>
        </w:tc>
        <w:tc>
          <w:tcPr>
            <w:tcW w:w="1110" w:type="dxa"/>
          </w:tcPr>
          <w:p w14:paraId="0317ED39" w14:textId="77777777" w:rsidR="00BD2C66" w:rsidRPr="00433908" w:rsidRDefault="00BD2C66" w:rsidP="00D53853">
            <w:pPr>
              <w:jc w:val="center"/>
              <w:rPr>
                <w:rFonts w:asciiTheme="majorBidi" w:hAnsiTheme="majorBidi" w:cstheme="majorBidi"/>
              </w:rPr>
            </w:pPr>
          </w:p>
        </w:tc>
        <w:tc>
          <w:tcPr>
            <w:tcW w:w="765" w:type="dxa"/>
          </w:tcPr>
          <w:p w14:paraId="47F45695" w14:textId="77777777" w:rsidR="00BD2C66" w:rsidRPr="00433908" w:rsidRDefault="00BD2C66" w:rsidP="00D53853">
            <w:pPr>
              <w:jc w:val="center"/>
              <w:rPr>
                <w:rFonts w:asciiTheme="majorBidi" w:hAnsiTheme="majorBidi" w:cstheme="majorBidi"/>
              </w:rPr>
            </w:pPr>
          </w:p>
        </w:tc>
        <w:tc>
          <w:tcPr>
            <w:tcW w:w="766" w:type="dxa"/>
          </w:tcPr>
          <w:p w14:paraId="03AA78C9" w14:textId="77777777" w:rsidR="00BD2C66" w:rsidRPr="00433908" w:rsidRDefault="00BD2C66" w:rsidP="00D53853">
            <w:pPr>
              <w:jc w:val="center"/>
              <w:rPr>
                <w:rFonts w:asciiTheme="majorBidi" w:hAnsiTheme="majorBidi" w:cstheme="majorBidi"/>
              </w:rPr>
            </w:pPr>
          </w:p>
        </w:tc>
      </w:tr>
      <w:tr w:rsidR="00D40F89" w:rsidRPr="00433908" w14:paraId="34B01FF9" w14:textId="77777777" w:rsidTr="00BF318B">
        <w:trPr>
          <w:trHeight w:val="301"/>
        </w:trPr>
        <w:tc>
          <w:tcPr>
            <w:tcW w:w="1553" w:type="dxa"/>
          </w:tcPr>
          <w:p w14:paraId="6BDCF0FB" w14:textId="3B23E50A" w:rsidR="00D53853" w:rsidRPr="00433908" w:rsidRDefault="00D53853" w:rsidP="00D53853">
            <w:pPr>
              <w:jc w:val="center"/>
              <w:rPr>
                <w:rFonts w:asciiTheme="majorBidi" w:hAnsiTheme="majorBidi" w:cstheme="majorBidi"/>
              </w:rPr>
            </w:pPr>
            <w:r w:rsidRPr="00433908">
              <w:rPr>
                <w:rFonts w:asciiTheme="majorBidi" w:hAnsiTheme="majorBidi" w:cstheme="majorBidi"/>
              </w:rPr>
              <w:t>Unilateral Coordination</w:t>
            </w:r>
          </w:p>
        </w:tc>
        <w:tc>
          <w:tcPr>
            <w:tcW w:w="1110" w:type="dxa"/>
          </w:tcPr>
          <w:p w14:paraId="1615B244" w14:textId="1237CFC8" w:rsidR="00D53853" w:rsidRPr="00433908" w:rsidRDefault="00D40F89" w:rsidP="00D53853">
            <w:pPr>
              <w:jc w:val="center"/>
              <w:rPr>
                <w:rFonts w:asciiTheme="majorBidi" w:hAnsiTheme="majorBidi" w:cstheme="majorBidi"/>
              </w:rPr>
            </w:pPr>
            <w:r w:rsidRPr="00433908">
              <w:rPr>
                <w:rFonts w:asciiTheme="majorBidi" w:hAnsiTheme="majorBidi" w:cstheme="majorBidi"/>
              </w:rPr>
              <w:t>$5</w:t>
            </w:r>
          </w:p>
        </w:tc>
        <w:tc>
          <w:tcPr>
            <w:tcW w:w="740" w:type="dxa"/>
          </w:tcPr>
          <w:p w14:paraId="59648F87" w14:textId="022AD672" w:rsidR="00D53853" w:rsidRPr="00433908" w:rsidRDefault="00D40F89" w:rsidP="00D53853">
            <w:pPr>
              <w:jc w:val="center"/>
              <w:rPr>
                <w:rFonts w:asciiTheme="majorBidi" w:hAnsiTheme="majorBidi" w:cstheme="majorBidi"/>
              </w:rPr>
            </w:pPr>
            <w:r w:rsidRPr="00433908">
              <w:rPr>
                <w:rFonts w:asciiTheme="majorBidi" w:hAnsiTheme="majorBidi" w:cstheme="majorBidi"/>
              </w:rPr>
              <w:t>$6</w:t>
            </w:r>
          </w:p>
        </w:tc>
        <w:tc>
          <w:tcPr>
            <w:tcW w:w="736" w:type="dxa"/>
          </w:tcPr>
          <w:p w14:paraId="01E30A0F" w14:textId="40717C07" w:rsidR="00D53853" w:rsidRPr="00433908" w:rsidRDefault="00D40F89" w:rsidP="00D53853">
            <w:pPr>
              <w:jc w:val="center"/>
              <w:rPr>
                <w:rFonts w:asciiTheme="majorBidi" w:hAnsiTheme="majorBidi" w:cstheme="majorBidi"/>
              </w:rPr>
            </w:pPr>
            <w:r w:rsidRPr="00433908">
              <w:rPr>
                <w:rFonts w:asciiTheme="majorBidi" w:hAnsiTheme="majorBidi" w:cstheme="majorBidi"/>
              </w:rPr>
              <w:t>$5</w:t>
            </w:r>
          </w:p>
        </w:tc>
        <w:tc>
          <w:tcPr>
            <w:tcW w:w="1110" w:type="dxa"/>
          </w:tcPr>
          <w:p w14:paraId="7A4A6B09" w14:textId="5CAFDD41" w:rsidR="00D53853" w:rsidRPr="00433908" w:rsidRDefault="00D40F89" w:rsidP="00D53853">
            <w:pPr>
              <w:jc w:val="center"/>
              <w:rPr>
                <w:rFonts w:asciiTheme="majorBidi" w:hAnsiTheme="majorBidi" w:cstheme="majorBidi"/>
              </w:rPr>
            </w:pPr>
            <w:r w:rsidRPr="00433908">
              <w:rPr>
                <w:rFonts w:asciiTheme="majorBidi" w:hAnsiTheme="majorBidi" w:cstheme="majorBidi"/>
              </w:rPr>
              <w:t>10</w:t>
            </w:r>
          </w:p>
        </w:tc>
        <w:tc>
          <w:tcPr>
            <w:tcW w:w="749" w:type="dxa"/>
          </w:tcPr>
          <w:p w14:paraId="13F93853" w14:textId="61C7E6BF" w:rsidR="00D53853" w:rsidRPr="00433908" w:rsidRDefault="00D40F89" w:rsidP="00D53853">
            <w:pPr>
              <w:jc w:val="center"/>
              <w:rPr>
                <w:rFonts w:asciiTheme="majorBidi" w:hAnsiTheme="majorBidi" w:cstheme="majorBidi"/>
                <w:b/>
                <w:bCs/>
              </w:rPr>
            </w:pPr>
            <w:r w:rsidRPr="00433908">
              <w:rPr>
                <w:rFonts w:asciiTheme="majorBidi" w:hAnsiTheme="majorBidi" w:cstheme="majorBidi"/>
                <w:b/>
                <w:bCs/>
              </w:rPr>
              <w:t>0</w:t>
            </w:r>
          </w:p>
        </w:tc>
        <w:tc>
          <w:tcPr>
            <w:tcW w:w="769" w:type="dxa"/>
          </w:tcPr>
          <w:p w14:paraId="7E059705" w14:textId="4CEC08F3" w:rsidR="00D53853" w:rsidRPr="00433908" w:rsidRDefault="00D40F89" w:rsidP="00D53853">
            <w:pPr>
              <w:jc w:val="center"/>
              <w:rPr>
                <w:rFonts w:asciiTheme="majorBidi" w:hAnsiTheme="majorBidi" w:cstheme="majorBidi"/>
              </w:rPr>
            </w:pPr>
            <w:r w:rsidRPr="00433908">
              <w:rPr>
                <w:rFonts w:asciiTheme="majorBidi" w:hAnsiTheme="majorBidi" w:cstheme="majorBidi"/>
              </w:rPr>
              <w:t>10</w:t>
            </w:r>
          </w:p>
        </w:tc>
        <w:tc>
          <w:tcPr>
            <w:tcW w:w="1110" w:type="dxa"/>
          </w:tcPr>
          <w:p w14:paraId="32259EA9" w14:textId="16202AC5" w:rsidR="00D53853" w:rsidRPr="00433908" w:rsidRDefault="00D40F89" w:rsidP="00D53853">
            <w:pPr>
              <w:jc w:val="center"/>
              <w:rPr>
                <w:rFonts w:asciiTheme="majorBidi" w:hAnsiTheme="majorBidi" w:cstheme="majorBidi"/>
              </w:rPr>
            </w:pPr>
            <w:r w:rsidRPr="00433908">
              <w:rPr>
                <w:rFonts w:asciiTheme="majorBidi" w:hAnsiTheme="majorBidi" w:cstheme="majorBidi"/>
              </w:rPr>
              <w:t>$50</w:t>
            </w:r>
          </w:p>
        </w:tc>
        <w:tc>
          <w:tcPr>
            <w:tcW w:w="765" w:type="dxa"/>
          </w:tcPr>
          <w:p w14:paraId="68448CA3" w14:textId="768FBAC4" w:rsidR="00D53853" w:rsidRPr="00433908" w:rsidRDefault="00D40F89" w:rsidP="00D53853">
            <w:pPr>
              <w:jc w:val="center"/>
              <w:rPr>
                <w:rFonts w:asciiTheme="majorBidi" w:hAnsiTheme="majorBidi" w:cstheme="majorBidi"/>
                <w:b/>
                <w:bCs/>
              </w:rPr>
            </w:pPr>
            <w:r w:rsidRPr="00433908">
              <w:rPr>
                <w:rFonts w:asciiTheme="majorBidi" w:hAnsiTheme="majorBidi" w:cstheme="majorBidi"/>
                <w:b/>
                <w:bCs/>
              </w:rPr>
              <w:t>$0</w:t>
            </w:r>
          </w:p>
        </w:tc>
        <w:tc>
          <w:tcPr>
            <w:tcW w:w="766" w:type="dxa"/>
          </w:tcPr>
          <w:p w14:paraId="377F9627" w14:textId="3517E466" w:rsidR="00D53853" w:rsidRPr="00161D01" w:rsidRDefault="00D40F89" w:rsidP="00D53853">
            <w:pPr>
              <w:jc w:val="center"/>
              <w:rPr>
                <w:rFonts w:asciiTheme="majorBidi" w:hAnsiTheme="majorBidi" w:cstheme="majorBidi"/>
                <w:b/>
                <w:bCs/>
              </w:rPr>
            </w:pPr>
            <w:r w:rsidRPr="00161D01">
              <w:rPr>
                <w:rFonts w:asciiTheme="majorBidi" w:hAnsiTheme="majorBidi" w:cstheme="majorBidi"/>
                <w:b/>
                <w:bCs/>
              </w:rPr>
              <w:t>$50</w:t>
            </w:r>
          </w:p>
        </w:tc>
      </w:tr>
    </w:tbl>
    <w:p w14:paraId="4948C132" w14:textId="77777777" w:rsidR="00577C0D" w:rsidRPr="00433908" w:rsidRDefault="00577C0D" w:rsidP="00E7570A">
      <w:pPr>
        <w:jc w:val="both"/>
        <w:rPr>
          <w:rFonts w:asciiTheme="majorBidi" w:hAnsiTheme="majorBidi" w:cstheme="majorBidi"/>
        </w:rPr>
      </w:pPr>
    </w:p>
    <w:p w14:paraId="08B38701" w14:textId="2CD97B3B" w:rsidR="00D40F89" w:rsidRPr="00433908" w:rsidRDefault="00F66D49" w:rsidP="00BF318B">
      <w:pPr>
        <w:jc w:val="both"/>
        <w:rPr>
          <w:rFonts w:asciiTheme="majorBidi" w:hAnsiTheme="majorBidi" w:cstheme="majorBidi"/>
        </w:rPr>
      </w:pPr>
      <w:r w:rsidRPr="00433908">
        <w:rPr>
          <w:rFonts w:asciiTheme="majorBidi" w:hAnsiTheme="majorBidi" w:cstheme="majorBidi"/>
        </w:rPr>
        <w:t xml:space="preserve">In conformity with standard economic analysis, </w:t>
      </w:r>
      <w:r w:rsidR="00D40F89" w:rsidRPr="00433908">
        <w:rPr>
          <w:rFonts w:asciiTheme="majorBidi" w:hAnsiTheme="majorBidi" w:cstheme="majorBidi"/>
        </w:rPr>
        <w:t>both firms</w:t>
      </w:r>
      <w:r w:rsidRPr="00433908">
        <w:rPr>
          <w:rFonts w:asciiTheme="majorBidi" w:hAnsiTheme="majorBidi" w:cstheme="majorBidi"/>
        </w:rPr>
        <w:t xml:space="preserve"> find</w:t>
      </w:r>
      <w:r w:rsidR="00D40F89" w:rsidRPr="00433908">
        <w:rPr>
          <w:rFonts w:asciiTheme="majorBidi" w:hAnsiTheme="majorBidi" w:cstheme="majorBidi"/>
        </w:rPr>
        <w:t xml:space="preserve"> monopoly rents, which are the outcome of explicit coordination or a </w:t>
      </w:r>
      <w:r w:rsidR="00D40F89" w:rsidRPr="00433908">
        <w:rPr>
          <w:rFonts w:asciiTheme="majorBidi" w:hAnsiTheme="majorBidi" w:cstheme="majorBidi"/>
          <w:i/>
          <w:iCs/>
        </w:rPr>
        <w:t>de facto</w:t>
      </w:r>
      <w:r w:rsidR="00D40F89" w:rsidRPr="00433908">
        <w:rPr>
          <w:rFonts w:asciiTheme="majorBidi" w:hAnsiTheme="majorBidi" w:cstheme="majorBidi"/>
        </w:rPr>
        <w:t xml:space="preserve"> merger, superior to duopoly rents, which</w:t>
      </w:r>
      <w:r w:rsidR="00BF318B" w:rsidRPr="00433908">
        <w:rPr>
          <w:rFonts w:asciiTheme="majorBidi" w:hAnsiTheme="majorBidi" w:cstheme="majorBidi"/>
        </w:rPr>
        <w:t xml:space="preserve"> are</w:t>
      </w:r>
      <w:r w:rsidR="00D40F89" w:rsidRPr="00433908">
        <w:rPr>
          <w:rFonts w:asciiTheme="majorBidi" w:hAnsiTheme="majorBidi" w:cstheme="majorBidi"/>
        </w:rPr>
        <w:t xml:space="preserve"> – in turn –</w:t>
      </w:r>
      <w:r w:rsidR="00B0215F" w:rsidRPr="00433908">
        <w:rPr>
          <w:rFonts w:asciiTheme="majorBidi" w:hAnsiTheme="majorBidi" w:cstheme="majorBidi"/>
        </w:rPr>
        <w:t xml:space="preserve"> </w:t>
      </w:r>
      <w:r w:rsidR="00A62FB4" w:rsidRPr="00433908">
        <w:rPr>
          <w:rFonts w:asciiTheme="majorBidi" w:hAnsiTheme="majorBidi" w:cstheme="majorBidi"/>
        </w:rPr>
        <w:t>superior to the competitive outcome</w:t>
      </w:r>
      <w:r w:rsidR="00D40F89" w:rsidRPr="00433908">
        <w:rPr>
          <w:rFonts w:asciiTheme="majorBidi" w:hAnsiTheme="majorBidi" w:cstheme="majorBidi"/>
        </w:rPr>
        <w:t>.</w:t>
      </w:r>
      <w:r w:rsidR="00D40F89" w:rsidRPr="00433908">
        <w:rPr>
          <w:rStyle w:val="FootnoteReference"/>
          <w:rFonts w:asciiTheme="majorBidi" w:hAnsiTheme="majorBidi" w:cstheme="majorBidi"/>
        </w:rPr>
        <w:footnoteReference w:id="73"/>
      </w:r>
      <w:r w:rsidRPr="00433908">
        <w:rPr>
          <w:rFonts w:asciiTheme="majorBidi" w:hAnsiTheme="majorBidi" w:cstheme="majorBidi"/>
        </w:rPr>
        <w:t xml:space="preserve"> However, unilateral coordination is an improvement compared to all other possibilities from firm B’s perspective, as under unilateral coordination it accrues all </w:t>
      </w:r>
      <w:r w:rsidR="00BF318B" w:rsidRPr="00433908">
        <w:rPr>
          <w:rFonts w:asciiTheme="majorBidi" w:hAnsiTheme="majorBidi" w:cstheme="majorBidi"/>
        </w:rPr>
        <w:t xml:space="preserve">(not only a share of) </w:t>
      </w:r>
      <w:r w:rsidRPr="00433908">
        <w:rPr>
          <w:rFonts w:asciiTheme="majorBidi" w:hAnsiTheme="majorBidi" w:cstheme="majorBidi"/>
        </w:rPr>
        <w:t xml:space="preserve">monopoly rents, whereas from firm </w:t>
      </w:r>
      <w:r w:rsidR="00C95C67" w:rsidRPr="00433908">
        <w:rPr>
          <w:rFonts w:asciiTheme="majorBidi" w:hAnsiTheme="majorBidi" w:cstheme="majorBidi"/>
        </w:rPr>
        <w:t>A</w:t>
      </w:r>
      <w:r w:rsidRPr="00433908">
        <w:rPr>
          <w:rFonts w:asciiTheme="majorBidi" w:hAnsiTheme="majorBidi" w:cstheme="majorBidi"/>
        </w:rPr>
        <w:t xml:space="preserve">’s perspective unilateral coordination is inferior not only to a </w:t>
      </w:r>
      <w:r w:rsidRPr="00433908">
        <w:rPr>
          <w:rFonts w:asciiTheme="majorBidi" w:hAnsiTheme="majorBidi" w:cstheme="majorBidi"/>
          <w:i/>
          <w:iCs/>
        </w:rPr>
        <w:t>de facto</w:t>
      </w:r>
      <w:r w:rsidRPr="00433908">
        <w:rPr>
          <w:rFonts w:asciiTheme="majorBidi" w:hAnsiTheme="majorBidi" w:cstheme="majorBidi"/>
        </w:rPr>
        <w:t xml:space="preserve"> merger and to duopoly, but even to perfect competition. Firm A’s only rationale </w:t>
      </w:r>
      <w:r w:rsidR="00C95C67" w:rsidRPr="00433908">
        <w:rPr>
          <w:rFonts w:asciiTheme="majorBidi" w:hAnsiTheme="majorBidi" w:cstheme="majorBidi"/>
        </w:rPr>
        <w:t xml:space="preserve">for </w:t>
      </w:r>
      <w:r w:rsidRPr="00433908">
        <w:rPr>
          <w:rFonts w:asciiTheme="majorBidi" w:hAnsiTheme="majorBidi" w:cstheme="majorBidi"/>
        </w:rPr>
        <w:t xml:space="preserve">engaging in unilateral coordination is its controller’s </w:t>
      </w:r>
      <w:r w:rsidR="00C95C67" w:rsidRPr="00433908">
        <w:rPr>
          <w:rFonts w:asciiTheme="majorBidi" w:hAnsiTheme="majorBidi" w:cstheme="majorBidi"/>
        </w:rPr>
        <w:t>preferences</w:t>
      </w:r>
      <w:r w:rsidRPr="00433908">
        <w:rPr>
          <w:rFonts w:asciiTheme="majorBidi" w:hAnsiTheme="majorBidi" w:cstheme="majorBidi"/>
        </w:rPr>
        <w:t>.</w:t>
      </w:r>
    </w:p>
    <w:p w14:paraId="126AD4EA" w14:textId="6A4EE8E2" w:rsidR="00087E01" w:rsidRPr="00433908" w:rsidRDefault="00D40F89" w:rsidP="00FB4D9D">
      <w:pPr>
        <w:jc w:val="both"/>
        <w:rPr>
          <w:rFonts w:asciiTheme="majorBidi" w:hAnsiTheme="majorBidi" w:cstheme="majorBidi"/>
        </w:rPr>
      </w:pPr>
      <w:r w:rsidRPr="00433908">
        <w:rPr>
          <w:rFonts w:asciiTheme="majorBidi" w:hAnsiTheme="majorBidi" w:cstheme="majorBidi"/>
        </w:rPr>
        <w:t xml:space="preserve"> </w:t>
      </w:r>
    </w:p>
    <w:p w14:paraId="0527157F" w14:textId="77777777" w:rsidR="00ED1834" w:rsidRPr="00433908" w:rsidRDefault="00ED1834" w:rsidP="00FB4D9D">
      <w:pPr>
        <w:jc w:val="both"/>
        <w:rPr>
          <w:rFonts w:asciiTheme="majorBidi" w:hAnsiTheme="majorBidi" w:cstheme="majorBidi"/>
        </w:rPr>
      </w:pPr>
    </w:p>
    <w:p w14:paraId="2C410D10" w14:textId="45D0A902" w:rsidR="00273680" w:rsidRPr="00433908" w:rsidRDefault="00273680" w:rsidP="00E0538F">
      <w:pPr>
        <w:pStyle w:val="Heading2"/>
        <w:ind w:left="1418" w:hanging="992"/>
      </w:pPr>
      <w:r w:rsidRPr="00433908">
        <w:t>Several Passive Investors</w:t>
      </w:r>
      <w:r w:rsidR="005E5AE0" w:rsidRPr="00433908">
        <w:t xml:space="preserve"> and Cross Ownership</w:t>
      </w:r>
      <w:r w:rsidR="004460B1" w:rsidRPr="00433908">
        <w:t xml:space="preserve"> – Interlocking Shareholding</w:t>
      </w:r>
    </w:p>
    <w:p w14:paraId="26AFA76C" w14:textId="77777777" w:rsidR="00273680" w:rsidRPr="00433908" w:rsidRDefault="00273680" w:rsidP="00FB4D9D">
      <w:pPr>
        <w:jc w:val="both"/>
        <w:rPr>
          <w:rFonts w:asciiTheme="majorBidi" w:hAnsiTheme="majorBidi" w:cstheme="majorBidi"/>
        </w:rPr>
      </w:pPr>
    </w:p>
    <w:p w14:paraId="4E3914ED" w14:textId="2A1CFEC2" w:rsidR="00C95C67" w:rsidRPr="00433908" w:rsidRDefault="00273680" w:rsidP="005E5AE0">
      <w:pPr>
        <w:jc w:val="both"/>
        <w:rPr>
          <w:rFonts w:asciiTheme="majorBidi" w:hAnsiTheme="majorBidi" w:cstheme="majorBidi"/>
        </w:rPr>
      </w:pPr>
      <w:r w:rsidRPr="00433908">
        <w:rPr>
          <w:rFonts w:asciiTheme="majorBidi" w:hAnsiTheme="majorBidi" w:cstheme="majorBidi"/>
        </w:rPr>
        <w:t xml:space="preserve">The final </w:t>
      </w:r>
      <w:r w:rsidR="0028748B" w:rsidRPr="00433908">
        <w:rPr>
          <w:rFonts w:asciiTheme="majorBidi" w:hAnsiTheme="majorBidi" w:cstheme="majorBidi"/>
        </w:rPr>
        <w:t>development</w:t>
      </w:r>
      <w:r w:rsidRPr="00433908">
        <w:rPr>
          <w:rFonts w:asciiTheme="majorBidi" w:hAnsiTheme="majorBidi" w:cstheme="majorBidi"/>
        </w:rPr>
        <w:t xml:space="preserve"> </w:t>
      </w:r>
      <w:r w:rsidR="0028748B" w:rsidRPr="00433908">
        <w:rPr>
          <w:rFonts w:asciiTheme="majorBidi" w:hAnsiTheme="majorBidi" w:cstheme="majorBidi"/>
        </w:rPr>
        <w:t xml:space="preserve">in </w:t>
      </w:r>
      <w:r w:rsidRPr="00433908">
        <w:rPr>
          <w:rFonts w:asciiTheme="majorBidi" w:hAnsiTheme="majorBidi" w:cstheme="majorBidi"/>
        </w:rPr>
        <w:t>the the</w:t>
      </w:r>
      <w:r w:rsidR="0028748B" w:rsidRPr="00433908">
        <w:rPr>
          <w:rFonts w:asciiTheme="majorBidi" w:hAnsiTheme="majorBidi" w:cstheme="majorBidi"/>
        </w:rPr>
        <w:t xml:space="preserve">ory of competitive harm </w:t>
      </w:r>
      <w:r w:rsidR="00037C1B" w:rsidRPr="00433908">
        <w:rPr>
          <w:rFonts w:asciiTheme="majorBidi" w:hAnsiTheme="majorBidi" w:cstheme="majorBidi"/>
        </w:rPr>
        <w:t xml:space="preserve">is fairly </w:t>
      </w:r>
      <w:r w:rsidRPr="00433908">
        <w:rPr>
          <w:rFonts w:asciiTheme="majorBidi" w:hAnsiTheme="majorBidi" w:cstheme="majorBidi"/>
        </w:rPr>
        <w:t>recent</w:t>
      </w:r>
      <w:r w:rsidR="00C95C67" w:rsidRPr="00433908">
        <w:rPr>
          <w:rFonts w:asciiTheme="majorBidi" w:hAnsiTheme="majorBidi" w:cstheme="majorBidi"/>
        </w:rPr>
        <w:t>, and it is this development that is at the heart of this Paper</w:t>
      </w:r>
      <w:r w:rsidRPr="00433908">
        <w:rPr>
          <w:rFonts w:asciiTheme="majorBidi" w:hAnsiTheme="majorBidi" w:cstheme="majorBidi"/>
        </w:rPr>
        <w:t>.</w:t>
      </w:r>
      <w:r w:rsidR="0028748B" w:rsidRPr="00433908">
        <w:rPr>
          <w:rFonts w:asciiTheme="majorBidi" w:hAnsiTheme="majorBidi" w:cstheme="majorBidi"/>
        </w:rPr>
        <w:t xml:space="preserve"> Recent scholarly work has </w:t>
      </w:r>
      <w:r w:rsidR="00DE7F75" w:rsidRPr="00433908">
        <w:rPr>
          <w:rFonts w:asciiTheme="majorBidi" w:hAnsiTheme="majorBidi" w:cstheme="majorBidi"/>
        </w:rPr>
        <w:t xml:space="preserve">extended the </w:t>
      </w:r>
      <w:r w:rsidR="00037C1B" w:rsidRPr="00433908">
        <w:rPr>
          <w:rFonts w:asciiTheme="majorBidi" w:hAnsiTheme="majorBidi" w:cstheme="majorBidi"/>
        </w:rPr>
        <w:t xml:space="preserve">analysis to situations </w:t>
      </w:r>
      <w:r w:rsidR="00FE5EC9" w:rsidRPr="00433908">
        <w:rPr>
          <w:rFonts w:asciiTheme="majorBidi" w:hAnsiTheme="majorBidi" w:cstheme="majorBidi"/>
        </w:rPr>
        <w:t>in whic</w:t>
      </w:r>
      <w:r w:rsidR="00DE7F75" w:rsidRPr="00433908">
        <w:rPr>
          <w:rFonts w:asciiTheme="majorBidi" w:hAnsiTheme="majorBidi" w:cstheme="majorBidi"/>
        </w:rPr>
        <w:t>h the competing firms are c</w:t>
      </w:r>
      <w:r w:rsidR="005E5AE0" w:rsidRPr="00433908">
        <w:rPr>
          <w:rFonts w:asciiTheme="majorBidi" w:hAnsiTheme="majorBidi" w:cstheme="majorBidi"/>
        </w:rPr>
        <w:t>ommonly</w:t>
      </w:r>
      <w:r w:rsidR="00DE7F75" w:rsidRPr="00433908">
        <w:rPr>
          <w:rFonts w:asciiTheme="majorBidi" w:hAnsiTheme="majorBidi" w:cstheme="majorBidi"/>
        </w:rPr>
        <w:t>-</w:t>
      </w:r>
      <w:r w:rsidR="005E5AE0" w:rsidRPr="00433908">
        <w:rPr>
          <w:rFonts w:asciiTheme="majorBidi" w:hAnsiTheme="majorBidi" w:cstheme="majorBidi"/>
        </w:rPr>
        <w:t>held</w:t>
      </w:r>
      <w:r w:rsidR="00FE5EC9" w:rsidRPr="00433908">
        <w:rPr>
          <w:rFonts w:asciiTheme="majorBidi" w:hAnsiTheme="majorBidi" w:cstheme="majorBidi"/>
        </w:rPr>
        <w:t xml:space="preserve"> by several investors, </w:t>
      </w:r>
      <w:r w:rsidR="00C95C67" w:rsidRPr="00433908">
        <w:rPr>
          <w:rFonts w:asciiTheme="majorBidi" w:hAnsiTheme="majorBidi" w:cstheme="majorBidi"/>
        </w:rPr>
        <w:t xml:space="preserve">most commonly institutional investors, </w:t>
      </w:r>
      <w:r w:rsidR="00FE5EC9" w:rsidRPr="00433908">
        <w:rPr>
          <w:rFonts w:asciiTheme="majorBidi" w:hAnsiTheme="majorBidi" w:cstheme="majorBidi"/>
        </w:rPr>
        <w:t xml:space="preserve">even if these investors </w:t>
      </w:r>
      <w:r w:rsidR="007D0825" w:rsidRPr="00433908">
        <w:rPr>
          <w:rFonts w:asciiTheme="majorBidi" w:hAnsiTheme="majorBidi" w:cstheme="majorBidi"/>
        </w:rPr>
        <w:t xml:space="preserve">control </w:t>
      </w:r>
      <w:r w:rsidR="007D0825" w:rsidRPr="00433908">
        <w:rPr>
          <w:rFonts w:asciiTheme="majorBidi" w:hAnsiTheme="majorBidi" w:cstheme="majorBidi"/>
          <w:i/>
          <w:iCs/>
        </w:rPr>
        <w:t>neither</w:t>
      </w:r>
      <w:r w:rsidR="007D0825" w:rsidRPr="00433908">
        <w:rPr>
          <w:rFonts w:asciiTheme="majorBidi" w:hAnsiTheme="majorBidi" w:cstheme="majorBidi"/>
        </w:rPr>
        <w:t xml:space="preserve"> of the firms and </w:t>
      </w:r>
      <w:r w:rsidR="00FE5EC9" w:rsidRPr="00433908">
        <w:rPr>
          <w:rFonts w:asciiTheme="majorBidi" w:hAnsiTheme="majorBidi" w:cstheme="majorBidi"/>
        </w:rPr>
        <w:t>do not</w:t>
      </w:r>
      <w:r w:rsidR="000E3ECA" w:rsidRPr="00433908">
        <w:rPr>
          <w:rFonts w:asciiTheme="majorBidi" w:hAnsiTheme="majorBidi" w:cstheme="majorBidi"/>
        </w:rPr>
        <w:t xml:space="preserve"> coordinate amongst themselves.</w:t>
      </w:r>
      <w:r w:rsidR="009670F2" w:rsidRPr="00433908">
        <w:rPr>
          <w:rStyle w:val="FootnoteReference"/>
          <w:rFonts w:asciiTheme="majorBidi" w:hAnsiTheme="majorBidi" w:cstheme="majorBidi"/>
        </w:rPr>
        <w:footnoteReference w:id="74"/>
      </w:r>
      <w:r w:rsidR="009670F2" w:rsidRPr="00433908">
        <w:rPr>
          <w:rFonts w:asciiTheme="majorBidi" w:hAnsiTheme="majorBidi" w:cstheme="majorBidi"/>
        </w:rPr>
        <w:t xml:space="preserve"> </w:t>
      </w:r>
      <w:r w:rsidR="00DE7F75" w:rsidRPr="00433908">
        <w:rPr>
          <w:rFonts w:asciiTheme="majorBidi" w:hAnsiTheme="majorBidi" w:cstheme="majorBidi"/>
        </w:rPr>
        <w:t>Institutional investors’ holdings are publicly known.</w:t>
      </w:r>
      <w:r w:rsidR="00DE7F75" w:rsidRPr="00433908">
        <w:rPr>
          <w:rStyle w:val="FootnoteReference"/>
          <w:rFonts w:asciiTheme="majorBidi" w:hAnsiTheme="majorBidi" w:cstheme="majorBidi"/>
        </w:rPr>
        <w:footnoteReference w:id="75"/>
      </w:r>
      <w:r w:rsidR="00DE7F75" w:rsidRPr="00433908">
        <w:rPr>
          <w:rFonts w:asciiTheme="majorBidi" w:hAnsiTheme="majorBidi" w:cstheme="majorBidi"/>
        </w:rPr>
        <w:t xml:space="preserve"> Naturally, they are also known</w:t>
      </w:r>
      <w:r w:rsidR="009670F2" w:rsidRPr="00433908">
        <w:rPr>
          <w:rFonts w:asciiTheme="majorBidi" w:hAnsiTheme="majorBidi" w:cstheme="majorBidi"/>
        </w:rPr>
        <w:t xml:space="preserve"> to the managers of the companies </w:t>
      </w:r>
      <w:r w:rsidR="00DE7F75" w:rsidRPr="00433908">
        <w:rPr>
          <w:rFonts w:asciiTheme="majorBidi" w:hAnsiTheme="majorBidi" w:cstheme="majorBidi"/>
        </w:rPr>
        <w:t xml:space="preserve">in </w:t>
      </w:r>
      <w:r w:rsidR="009670F2" w:rsidRPr="00433908">
        <w:rPr>
          <w:rFonts w:asciiTheme="majorBidi" w:hAnsiTheme="majorBidi" w:cstheme="majorBidi"/>
        </w:rPr>
        <w:t>which the institutional investors invest.</w:t>
      </w:r>
      <w:r w:rsidR="00DE7F75" w:rsidRPr="00433908">
        <w:rPr>
          <w:rFonts w:asciiTheme="majorBidi" w:hAnsiTheme="majorBidi" w:cstheme="majorBidi"/>
        </w:rPr>
        <w:t xml:space="preserve"> </w:t>
      </w:r>
      <w:r w:rsidR="009F78E3" w:rsidRPr="00433908">
        <w:rPr>
          <w:rFonts w:asciiTheme="majorBidi" w:hAnsiTheme="majorBidi" w:cstheme="majorBidi"/>
        </w:rPr>
        <w:t xml:space="preserve">The analysis </w:t>
      </w:r>
      <w:r w:rsidR="0095016A" w:rsidRPr="00433908">
        <w:rPr>
          <w:rFonts w:asciiTheme="majorBidi" w:hAnsiTheme="majorBidi" w:cstheme="majorBidi"/>
        </w:rPr>
        <w:t xml:space="preserve">presented earlier in the context of a single shareholder who has holdings </w:t>
      </w:r>
      <w:r w:rsidR="009F78E3" w:rsidRPr="00433908">
        <w:rPr>
          <w:rFonts w:asciiTheme="majorBidi" w:hAnsiTheme="majorBidi" w:cstheme="majorBidi"/>
        </w:rPr>
        <w:t xml:space="preserve">in competing firms </w:t>
      </w:r>
      <w:r w:rsidR="00743842" w:rsidRPr="00433908">
        <w:rPr>
          <w:rFonts w:asciiTheme="majorBidi" w:hAnsiTheme="majorBidi" w:cstheme="majorBidi"/>
        </w:rPr>
        <w:t xml:space="preserve">can now </w:t>
      </w:r>
      <w:r w:rsidR="007D0825" w:rsidRPr="00433908">
        <w:rPr>
          <w:rFonts w:asciiTheme="majorBidi" w:hAnsiTheme="majorBidi" w:cstheme="majorBidi"/>
        </w:rPr>
        <w:t xml:space="preserve">ostensibly </w:t>
      </w:r>
      <w:r w:rsidR="00743842" w:rsidRPr="00433908">
        <w:rPr>
          <w:rFonts w:asciiTheme="majorBidi" w:hAnsiTheme="majorBidi" w:cstheme="majorBidi"/>
        </w:rPr>
        <w:t xml:space="preserve">be extended to the setting of several institutional investors who </w:t>
      </w:r>
      <w:r w:rsidR="00F66D49" w:rsidRPr="00433908">
        <w:rPr>
          <w:rFonts w:asciiTheme="majorBidi" w:hAnsiTheme="majorBidi" w:cstheme="majorBidi"/>
        </w:rPr>
        <w:t xml:space="preserve">have </w:t>
      </w:r>
      <w:r w:rsidR="00743842" w:rsidRPr="00433908">
        <w:rPr>
          <w:rFonts w:asciiTheme="majorBidi" w:hAnsiTheme="majorBidi" w:cstheme="majorBidi"/>
        </w:rPr>
        <w:t xml:space="preserve">interlocking </w:t>
      </w:r>
      <w:r w:rsidR="00F66D49" w:rsidRPr="00433908">
        <w:rPr>
          <w:rFonts w:asciiTheme="majorBidi" w:hAnsiTheme="majorBidi" w:cstheme="majorBidi"/>
        </w:rPr>
        <w:t>holdings</w:t>
      </w:r>
      <w:r w:rsidR="00206B93" w:rsidRPr="00433908">
        <w:rPr>
          <w:rFonts w:asciiTheme="majorBidi" w:hAnsiTheme="majorBidi" w:cstheme="majorBidi"/>
        </w:rPr>
        <w:t xml:space="preserve">. Their joint interest is to curtail </w:t>
      </w:r>
      <w:r w:rsidR="00206B93" w:rsidRPr="00433908">
        <w:rPr>
          <w:rFonts w:asciiTheme="majorBidi" w:hAnsiTheme="majorBidi" w:cstheme="majorBidi"/>
        </w:rPr>
        <w:lastRenderedPageBreak/>
        <w:t>competition between the competing firms in which they have interlocking shareholding. Knowing this, ma</w:t>
      </w:r>
      <w:r w:rsidR="00AF450A" w:rsidRPr="00433908">
        <w:rPr>
          <w:rFonts w:asciiTheme="majorBidi" w:hAnsiTheme="majorBidi" w:cstheme="majorBidi"/>
        </w:rPr>
        <w:t>nage</w:t>
      </w:r>
      <w:r w:rsidR="00E2178C" w:rsidRPr="00433908">
        <w:rPr>
          <w:rFonts w:asciiTheme="majorBidi" w:hAnsiTheme="majorBidi" w:cstheme="majorBidi"/>
        </w:rPr>
        <w:t>ments</w:t>
      </w:r>
      <w:r w:rsidR="00AF450A" w:rsidRPr="00433908">
        <w:rPr>
          <w:rFonts w:asciiTheme="majorBidi" w:hAnsiTheme="majorBidi" w:cstheme="majorBidi"/>
        </w:rPr>
        <w:t xml:space="preserve"> compete less vigorously. The competitive result is similar to the anti-competitive result discussed earlier.</w:t>
      </w:r>
    </w:p>
    <w:p w14:paraId="3D5A5235" w14:textId="77777777" w:rsidR="00C95C67" w:rsidRPr="00433908" w:rsidRDefault="00C95C67" w:rsidP="00C95C67">
      <w:pPr>
        <w:jc w:val="both"/>
        <w:rPr>
          <w:rFonts w:asciiTheme="majorBidi" w:hAnsiTheme="majorBidi" w:cstheme="majorBidi"/>
        </w:rPr>
      </w:pPr>
    </w:p>
    <w:p w14:paraId="207048CB" w14:textId="7E2D05FF" w:rsidR="00AF450A" w:rsidRPr="00433908" w:rsidRDefault="00F66D49" w:rsidP="00847335">
      <w:pPr>
        <w:jc w:val="both"/>
        <w:rPr>
          <w:rFonts w:asciiTheme="majorBidi" w:hAnsiTheme="majorBidi" w:cstheme="majorBidi"/>
        </w:rPr>
      </w:pPr>
      <w:r w:rsidRPr="00433908">
        <w:rPr>
          <w:rFonts w:asciiTheme="majorBidi" w:hAnsiTheme="majorBidi" w:cstheme="majorBidi"/>
        </w:rPr>
        <w:t xml:space="preserve">This seems like a straightforward extension of the unilateral coordination </w:t>
      </w:r>
      <w:r w:rsidR="00672E4F" w:rsidRPr="00433908">
        <w:rPr>
          <w:rFonts w:asciiTheme="majorBidi" w:hAnsiTheme="majorBidi" w:cstheme="majorBidi"/>
        </w:rPr>
        <w:t xml:space="preserve">scenario </w:t>
      </w:r>
      <w:r w:rsidRPr="00433908">
        <w:rPr>
          <w:rFonts w:asciiTheme="majorBidi" w:hAnsiTheme="majorBidi" w:cstheme="majorBidi"/>
        </w:rPr>
        <w:t xml:space="preserve">suggested earlier. Instead of a single shareholder, several institutional investors jointly function as a </w:t>
      </w:r>
      <w:r w:rsidR="007D0825" w:rsidRPr="00433908">
        <w:rPr>
          <w:rFonts w:asciiTheme="majorBidi" w:hAnsiTheme="majorBidi" w:cstheme="majorBidi"/>
        </w:rPr>
        <w:t xml:space="preserve">single shareholder (in the sense that management seeks </w:t>
      </w:r>
      <w:r w:rsidR="00847335" w:rsidRPr="00433908">
        <w:rPr>
          <w:rFonts w:asciiTheme="majorBidi" w:hAnsiTheme="majorBidi" w:cstheme="majorBidi"/>
        </w:rPr>
        <w:t xml:space="preserve">to serve their </w:t>
      </w:r>
      <w:r w:rsidR="007D0825" w:rsidRPr="00433908">
        <w:rPr>
          <w:rFonts w:asciiTheme="majorBidi" w:hAnsiTheme="majorBidi" w:cstheme="majorBidi"/>
        </w:rPr>
        <w:t>interest)</w:t>
      </w:r>
      <w:r w:rsidRPr="00433908">
        <w:rPr>
          <w:rFonts w:asciiTheme="majorBidi" w:hAnsiTheme="majorBidi" w:cstheme="majorBidi"/>
        </w:rPr>
        <w:t xml:space="preserve">, and the analysis is duplicated. </w:t>
      </w:r>
      <w:r w:rsidR="00AF450A" w:rsidRPr="00433908">
        <w:rPr>
          <w:rFonts w:asciiTheme="majorBidi" w:hAnsiTheme="majorBidi" w:cstheme="majorBidi"/>
        </w:rPr>
        <w:t xml:space="preserve">The theory is, as mentioned, rapidly gaining proponents, and US </w:t>
      </w:r>
      <w:r w:rsidR="00500D29" w:rsidRPr="00433908">
        <w:rPr>
          <w:rFonts w:asciiTheme="majorBidi" w:hAnsiTheme="majorBidi" w:cstheme="majorBidi"/>
        </w:rPr>
        <w:t>a</w:t>
      </w:r>
      <w:r w:rsidR="00AF450A" w:rsidRPr="00433908">
        <w:rPr>
          <w:rFonts w:asciiTheme="majorBidi" w:hAnsiTheme="majorBidi" w:cstheme="majorBidi"/>
        </w:rPr>
        <w:t xml:space="preserve">ntitrust </w:t>
      </w:r>
      <w:r w:rsidR="00500D29" w:rsidRPr="00433908">
        <w:rPr>
          <w:rFonts w:asciiTheme="majorBidi" w:hAnsiTheme="majorBidi" w:cstheme="majorBidi"/>
        </w:rPr>
        <w:t>e</w:t>
      </w:r>
      <w:r w:rsidR="00AF450A" w:rsidRPr="00433908">
        <w:rPr>
          <w:rFonts w:asciiTheme="majorBidi" w:hAnsiTheme="majorBidi" w:cstheme="majorBidi"/>
        </w:rPr>
        <w:t xml:space="preserve">nforcement </w:t>
      </w:r>
      <w:r w:rsidR="00500D29" w:rsidRPr="00433908">
        <w:rPr>
          <w:rFonts w:asciiTheme="majorBidi" w:hAnsiTheme="majorBidi" w:cstheme="majorBidi"/>
        </w:rPr>
        <w:t>a</w:t>
      </w:r>
      <w:r w:rsidR="00AF450A" w:rsidRPr="00433908">
        <w:rPr>
          <w:rFonts w:asciiTheme="majorBidi" w:hAnsiTheme="majorBidi" w:cstheme="majorBidi"/>
        </w:rPr>
        <w:t>gencies, the DOJ and the FTC</w:t>
      </w:r>
      <w:r w:rsidR="00C95C67" w:rsidRPr="00433908">
        <w:rPr>
          <w:rFonts w:asciiTheme="majorBidi" w:hAnsiTheme="majorBidi" w:cstheme="majorBidi"/>
        </w:rPr>
        <w:t>,</w:t>
      </w:r>
      <w:r w:rsidR="00AF450A" w:rsidRPr="00433908">
        <w:rPr>
          <w:rFonts w:asciiTheme="majorBidi" w:hAnsiTheme="majorBidi" w:cstheme="majorBidi"/>
        </w:rPr>
        <w:t xml:space="preserve"> have reportedly launched investigations into instance</w:t>
      </w:r>
      <w:r w:rsidR="00C95C67" w:rsidRPr="00433908">
        <w:rPr>
          <w:rFonts w:asciiTheme="majorBidi" w:hAnsiTheme="majorBidi" w:cstheme="majorBidi"/>
        </w:rPr>
        <w:t>s of interlocking shareholding.</w:t>
      </w:r>
      <w:r w:rsidR="00C95C67" w:rsidRPr="00433908">
        <w:rPr>
          <w:rStyle w:val="FootnoteReference"/>
          <w:rFonts w:asciiTheme="majorBidi" w:hAnsiTheme="majorBidi" w:cstheme="majorBidi"/>
        </w:rPr>
        <w:footnoteReference w:id="76"/>
      </w:r>
    </w:p>
    <w:p w14:paraId="730BDBC1" w14:textId="77777777" w:rsidR="009F145A" w:rsidRPr="00433908" w:rsidRDefault="009F145A" w:rsidP="00C95C67">
      <w:pPr>
        <w:jc w:val="both"/>
        <w:rPr>
          <w:rFonts w:asciiTheme="majorBidi" w:hAnsiTheme="majorBidi" w:cstheme="majorBidi"/>
        </w:rPr>
      </w:pPr>
    </w:p>
    <w:p w14:paraId="47705A70" w14:textId="3331F9D1" w:rsidR="00ED1834" w:rsidRPr="00433908" w:rsidRDefault="00C92DE0" w:rsidP="00C95C67">
      <w:pPr>
        <w:jc w:val="both"/>
        <w:rPr>
          <w:rFonts w:asciiTheme="majorBidi" w:hAnsiTheme="majorBidi" w:cstheme="majorBidi"/>
        </w:rPr>
      </w:pPr>
      <w:r w:rsidRPr="00433908">
        <w:rPr>
          <w:rFonts w:asciiTheme="majorBidi" w:hAnsiTheme="majorBidi" w:cstheme="majorBidi"/>
        </w:rPr>
        <w:br w:type="column"/>
      </w:r>
    </w:p>
    <w:p w14:paraId="25E61A9F" w14:textId="2286DE3F" w:rsidR="00AF450A" w:rsidRPr="00433908" w:rsidRDefault="005B7D5E" w:rsidP="00E0538F">
      <w:pPr>
        <w:pStyle w:val="a"/>
        <w:numPr>
          <w:ilvl w:val="0"/>
          <w:numId w:val="14"/>
        </w:numPr>
        <w:rPr>
          <w:b w:val="0"/>
          <w:bCs w:val="0"/>
        </w:rPr>
      </w:pPr>
      <w:r w:rsidRPr="00433908">
        <w:t xml:space="preserve">Challenging </w:t>
      </w:r>
      <w:r w:rsidR="006120FC" w:rsidRPr="00433908">
        <w:t>(</w:t>
      </w:r>
      <w:r w:rsidR="00E0538F">
        <w:t>Now</w:t>
      </w:r>
      <w:r w:rsidR="006120FC" w:rsidRPr="00433908">
        <w:t xml:space="preserve">) </w:t>
      </w:r>
      <w:r w:rsidRPr="00433908">
        <w:t>Conventional Wisdom</w:t>
      </w:r>
      <w:r w:rsidR="003F7E45" w:rsidRPr="00433908">
        <w:t xml:space="preserve"> – </w:t>
      </w:r>
      <w:r w:rsidR="00AF450A" w:rsidRPr="00433908">
        <w:t>Is There Anything to Fear?</w:t>
      </w:r>
    </w:p>
    <w:p w14:paraId="55BBE01F" w14:textId="77777777" w:rsidR="00B240D4" w:rsidRPr="00433908" w:rsidRDefault="00B240D4" w:rsidP="009F78E3">
      <w:pPr>
        <w:jc w:val="both"/>
        <w:rPr>
          <w:rFonts w:asciiTheme="majorBidi" w:hAnsiTheme="majorBidi" w:cstheme="majorBidi"/>
        </w:rPr>
      </w:pPr>
    </w:p>
    <w:p w14:paraId="607C6D0C" w14:textId="4A3890AE" w:rsidR="00AF450A" w:rsidRPr="00433908" w:rsidRDefault="00AF450A" w:rsidP="00E2178C">
      <w:pPr>
        <w:jc w:val="both"/>
        <w:rPr>
          <w:rFonts w:asciiTheme="majorBidi" w:hAnsiTheme="majorBidi" w:cstheme="majorBidi"/>
        </w:rPr>
      </w:pPr>
      <w:r w:rsidRPr="00433908">
        <w:rPr>
          <w:rFonts w:asciiTheme="majorBidi" w:hAnsiTheme="majorBidi" w:cstheme="majorBidi"/>
        </w:rPr>
        <w:t xml:space="preserve">The argument developed in this Paper is that interlocking shareholding, in and of itself, does nothing to dampen competition. </w:t>
      </w:r>
      <w:r w:rsidR="005B7D5E" w:rsidRPr="00433908">
        <w:rPr>
          <w:rFonts w:asciiTheme="majorBidi" w:hAnsiTheme="majorBidi" w:cstheme="majorBidi"/>
        </w:rPr>
        <w:t>I</w:t>
      </w:r>
      <w:r w:rsidRPr="00433908">
        <w:rPr>
          <w:rFonts w:asciiTheme="majorBidi" w:hAnsiTheme="majorBidi" w:cstheme="majorBidi"/>
        </w:rPr>
        <w:t>nterlocking shareholding may facilitate explicit coordination</w:t>
      </w:r>
      <w:r w:rsidR="00E2178C" w:rsidRPr="00433908">
        <w:rPr>
          <w:rFonts w:asciiTheme="majorBidi" w:hAnsiTheme="majorBidi" w:cstheme="majorBidi"/>
        </w:rPr>
        <w:t>.</w:t>
      </w:r>
      <w:r w:rsidRPr="00433908">
        <w:rPr>
          <w:rFonts w:asciiTheme="majorBidi" w:hAnsiTheme="majorBidi" w:cstheme="majorBidi"/>
        </w:rPr>
        <w:t xml:space="preserve"> </w:t>
      </w:r>
      <w:r w:rsidR="00E2178C" w:rsidRPr="00433908">
        <w:rPr>
          <w:rFonts w:asciiTheme="majorBidi" w:hAnsiTheme="majorBidi" w:cstheme="majorBidi"/>
        </w:rPr>
        <w:t xml:space="preserve">It may also </w:t>
      </w:r>
      <w:r w:rsidRPr="00433908">
        <w:rPr>
          <w:rFonts w:asciiTheme="majorBidi" w:hAnsiTheme="majorBidi" w:cstheme="majorBidi"/>
        </w:rPr>
        <w:t>allow information to be credibly shared, thereby stabilizing tacit collusion. But interlocking shareholding in and of itself does not harm competition in any way.</w:t>
      </w:r>
      <w:r w:rsidR="00E948BD" w:rsidRPr="00433908">
        <w:rPr>
          <w:rFonts w:asciiTheme="majorBidi" w:hAnsiTheme="majorBidi" w:cstheme="majorBidi"/>
        </w:rPr>
        <w:t xml:space="preserve"> And </w:t>
      </w:r>
      <w:r w:rsidR="00E2178C" w:rsidRPr="00433908">
        <w:rPr>
          <w:rFonts w:asciiTheme="majorBidi" w:hAnsiTheme="majorBidi" w:cstheme="majorBidi"/>
        </w:rPr>
        <w:t>since</w:t>
      </w:r>
      <w:r w:rsidR="00E948BD" w:rsidRPr="00433908">
        <w:rPr>
          <w:rFonts w:asciiTheme="majorBidi" w:hAnsiTheme="majorBidi" w:cstheme="majorBidi"/>
        </w:rPr>
        <w:t xml:space="preserve"> there is</w:t>
      </w:r>
      <w:r w:rsidR="00672E4F" w:rsidRPr="00433908">
        <w:rPr>
          <w:rFonts w:asciiTheme="majorBidi" w:hAnsiTheme="majorBidi" w:cstheme="majorBidi"/>
        </w:rPr>
        <w:t>, as mentioned,</w:t>
      </w:r>
      <w:r w:rsidR="00E948BD" w:rsidRPr="00433908">
        <w:rPr>
          <w:rFonts w:asciiTheme="majorBidi" w:hAnsiTheme="majorBidi" w:cstheme="majorBidi"/>
        </w:rPr>
        <w:t xml:space="preserve"> wide </w:t>
      </w:r>
      <w:r w:rsidR="00672E4F" w:rsidRPr="00433908">
        <w:rPr>
          <w:rFonts w:asciiTheme="majorBidi" w:hAnsiTheme="majorBidi" w:cstheme="majorBidi"/>
        </w:rPr>
        <w:t xml:space="preserve">consensus </w:t>
      </w:r>
      <w:r w:rsidR="00E948BD" w:rsidRPr="00433908">
        <w:rPr>
          <w:rFonts w:asciiTheme="majorBidi" w:hAnsiTheme="majorBidi" w:cstheme="majorBidi"/>
        </w:rPr>
        <w:t>that institutional investors do not engage in coordination or in information sharing (between boards),</w:t>
      </w:r>
      <w:r w:rsidR="00E948BD" w:rsidRPr="00433908">
        <w:rPr>
          <w:rStyle w:val="FootnoteReference"/>
          <w:rFonts w:asciiTheme="majorBidi" w:hAnsiTheme="majorBidi" w:cstheme="majorBidi"/>
        </w:rPr>
        <w:footnoteReference w:id="77"/>
      </w:r>
      <w:r w:rsidR="00E948BD" w:rsidRPr="00433908">
        <w:rPr>
          <w:rFonts w:asciiTheme="majorBidi" w:hAnsiTheme="majorBidi" w:cstheme="majorBidi"/>
        </w:rPr>
        <w:t xml:space="preserve"> there is little reason to deal with interlocking shareholding.</w:t>
      </w:r>
    </w:p>
    <w:p w14:paraId="3B83A742" w14:textId="77777777" w:rsidR="00B240D4" w:rsidRPr="00433908" w:rsidRDefault="00B240D4" w:rsidP="003D0E4B">
      <w:pPr>
        <w:pStyle w:val="a"/>
        <w:numPr>
          <w:ilvl w:val="0"/>
          <w:numId w:val="0"/>
        </w:numPr>
        <w:ind w:left="792"/>
      </w:pPr>
    </w:p>
    <w:p w14:paraId="1BD43C3E" w14:textId="078C78D4" w:rsidR="00A1372F" w:rsidRPr="00433908" w:rsidRDefault="00E948BD" w:rsidP="006C2BB9">
      <w:pPr>
        <w:jc w:val="both"/>
        <w:rPr>
          <w:rFonts w:asciiTheme="majorBidi" w:hAnsiTheme="majorBidi" w:cstheme="majorBidi"/>
        </w:rPr>
      </w:pPr>
      <w:r w:rsidRPr="00433908">
        <w:rPr>
          <w:rFonts w:asciiTheme="majorBidi" w:hAnsiTheme="majorBidi" w:cstheme="majorBidi"/>
        </w:rPr>
        <w:t xml:space="preserve">At the outset, </w:t>
      </w:r>
      <w:r w:rsidR="009F5A88" w:rsidRPr="00433908">
        <w:rPr>
          <w:rFonts w:asciiTheme="majorBidi" w:hAnsiTheme="majorBidi" w:cstheme="majorBidi"/>
        </w:rPr>
        <w:t xml:space="preserve">the mechanism through which shareholders’ incentives trickle down to management is unclear. </w:t>
      </w:r>
      <w:r w:rsidR="006C2BB9">
        <w:rPr>
          <w:rFonts w:asciiTheme="majorBidi" w:hAnsiTheme="majorBidi" w:cstheme="majorBidi"/>
        </w:rPr>
        <w:t>If such a mechanism is lacking, t</w:t>
      </w:r>
      <w:r w:rsidRPr="00433908">
        <w:rPr>
          <w:rFonts w:asciiTheme="majorBidi" w:hAnsiTheme="majorBidi" w:cstheme="majorBidi"/>
        </w:rPr>
        <w:t xml:space="preserve">here is little reason to fear that managers will unilaterally adopt any anti-competitive conduct that they would not have adopted but for the interlocking shareholding. </w:t>
      </w:r>
      <w:r w:rsidR="007F3DD3" w:rsidRPr="00433908">
        <w:rPr>
          <w:rFonts w:asciiTheme="majorBidi" w:hAnsiTheme="majorBidi" w:cstheme="majorBidi"/>
        </w:rPr>
        <w:t xml:space="preserve">It is here that the observation regarding the self-harming nature of unilateral coordination comes into play. </w:t>
      </w:r>
      <w:r w:rsidR="009F5A88" w:rsidRPr="00433908">
        <w:rPr>
          <w:rFonts w:asciiTheme="majorBidi" w:hAnsiTheme="majorBidi" w:cstheme="majorBidi"/>
        </w:rPr>
        <w:t xml:space="preserve">Recall, that in the context of </w:t>
      </w:r>
      <w:r w:rsidR="005B7D5E" w:rsidRPr="00433908">
        <w:rPr>
          <w:rFonts w:asciiTheme="majorBidi" w:hAnsiTheme="majorBidi" w:cstheme="majorBidi"/>
        </w:rPr>
        <w:t>unilateral coordination</w:t>
      </w:r>
      <w:r w:rsidR="009F5A88" w:rsidRPr="00433908">
        <w:rPr>
          <w:rFonts w:asciiTheme="majorBidi" w:hAnsiTheme="majorBidi" w:cstheme="majorBidi"/>
        </w:rPr>
        <w:t xml:space="preserve">, the theory of competitive harm requires managers to </w:t>
      </w:r>
      <w:r w:rsidR="006C2BB9">
        <w:rPr>
          <w:rFonts w:asciiTheme="majorBidi" w:hAnsiTheme="majorBidi" w:cstheme="majorBidi"/>
        </w:rPr>
        <w:t xml:space="preserve">relax </w:t>
      </w:r>
      <w:r w:rsidR="009F5A88" w:rsidRPr="00433908">
        <w:rPr>
          <w:rFonts w:asciiTheme="majorBidi" w:hAnsiTheme="majorBidi" w:cstheme="majorBidi"/>
        </w:rPr>
        <w:t>compet</w:t>
      </w:r>
      <w:r w:rsidR="006C2BB9">
        <w:rPr>
          <w:rFonts w:asciiTheme="majorBidi" w:hAnsiTheme="majorBidi" w:cstheme="majorBidi"/>
        </w:rPr>
        <w:t xml:space="preserve">ition </w:t>
      </w:r>
      <w:r w:rsidR="009F5A88" w:rsidRPr="00433908">
        <w:rPr>
          <w:rFonts w:asciiTheme="majorBidi" w:hAnsiTheme="majorBidi" w:cstheme="majorBidi"/>
        </w:rPr>
        <w:t xml:space="preserve">in a manner that is detrimental to the firm which they manage. </w:t>
      </w:r>
      <w:r w:rsidRPr="00433908">
        <w:rPr>
          <w:rFonts w:asciiTheme="majorBidi" w:hAnsiTheme="majorBidi" w:cstheme="majorBidi"/>
        </w:rPr>
        <w:t xml:space="preserve">As demonstrated in the example presented earlier, </w:t>
      </w:r>
      <w:r w:rsidR="007F3DD3" w:rsidRPr="00433908">
        <w:rPr>
          <w:rFonts w:asciiTheme="majorBidi" w:hAnsiTheme="majorBidi" w:cstheme="majorBidi"/>
        </w:rPr>
        <w:t xml:space="preserve">the unilaterally coordinating firm essentially diverts </w:t>
      </w:r>
      <w:r w:rsidRPr="00433908">
        <w:rPr>
          <w:rFonts w:asciiTheme="majorBidi" w:hAnsiTheme="majorBidi" w:cstheme="majorBidi"/>
        </w:rPr>
        <w:t>profits to the competitor, by raising prices to an unprofitable level</w:t>
      </w:r>
      <w:r w:rsidR="00782DF3" w:rsidRPr="00433908">
        <w:rPr>
          <w:rFonts w:asciiTheme="majorBidi" w:hAnsiTheme="majorBidi" w:cstheme="majorBidi"/>
        </w:rPr>
        <w:t>.</w:t>
      </w:r>
      <w:r w:rsidRPr="00433908">
        <w:rPr>
          <w:rStyle w:val="FootnoteReference"/>
          <w:rFonts w:asciiTheme="majorBidi" w:hAnsiTheme="majorBidi" w:cstheme="majorBidi"/>
        </w:rPr>
        <w:footnoteReference w:id="78"/>
      </w:r>
      <w:r w:rsidRPr="00433908">
        <w:rPr>
          <w:rFonts w:asciiTheme="majorBidi" w:hAnsiTheme="majorBidi" w:cstheme="majorBidi"/>
        </w:rPr>
        <w:t xml:space="preserve"> </w:t>
      </w:r>
      <w:r w:rsidR="00A012D6" w:rsidRPr="00433908">
        <w:rPr>
          <w:rFonts w:asciiTheme="majorBidi" w:hAnsiTheme="majorBidi" w:cstheme="majorBidi"/>
        </w:rPr>
        <w:t>T</w:t>
      </w:r>
      <w:r w:rsidR="00782DF3" w:rsidRPr="00433908">
        <w:rPr>
          <w:rFonts w:asciiTheme="majorBidi" w:hAnsiTheme="majorBidi" w:cstheme="majorBidi"/>
        </w:rPr>
        <w:t xml:space="preserve">his </w:t>
      </w:r>
      <w:r w:rsidR="005B7D5E" w:rsidRPr="00433908">
        <w:rPr>
          <w:rFonts w:asciiTheme="majorBidi" w:hAnsiTheme="majorBidi" w:cstheme="majorBidi"/>
        </w:rPr>
        <w:t>requires the firm to</w:t>
      </w:r>
      <w:r w:rsidR="00782DF3" w:rsidRPr="00433908">
        <w:rPr>
          <w:rFonts w:asciiTheme="majorBidi" w:hAnsiTheme="majorBidi" w:cstheme="majorBidi"/>
        </w:rPr>
        <w:t xml:space="preserve"> sacrific</w:t>
      </w:r>
      <w:r w:rsidR="005B7D5E" w:rsidRPr="00433908">
        <w:rPr>
          <w:rFonts w:asciiTheme="majorBidi" w:hAnsiTheme="majorBidi" w:cstheme="majorBidi"/>
        </w:rPr>
        <w:t>e</w:t>
      </w:r>
      <w:r w:rsidR="00782DF3" w:rsidRPr="00433908">
        <w:rPr>
          <w:rFonts w:asciiTheme="majorBidi" w:hAnsiTheme="majorBidi" w:cstheme="majorBidi"/>
        </w:rPr>
        <w:t xml:space="preserve"> profit.</w:t>
      </w:r>
    </w:p>
    <w:p w14:paraId="48653961" w14:textId="77777777" w:rsidR="007F3DD3" w:rsidRPr="00433908" w:rsidRDefault="007F3DD3" w:rsidP="007F3DD3">
      <w:pPr>
        <w:jc w:val="both"/>
        <w:rPr>
          <w:rFonts w:asciiTheme="majorBidi" w:hAnsiTheme="majorBidi" w:cstheme="majorBidi"/>
        </w:rPr>
      </w:pPr>
    </w:p>
    <w:p w14:paraId="44AE1A98" w14:textId="3D44071D" w:rsidR="00782DF3" w:rsidRPr="00433908" w:rsidRDefault="00782DF3" w:rsidP="006C2BB9">
      <w:pPr>
        <w:jc w:val="both"/>
        <w:rPr>
          <w:rFonts w:asciiTheme="majorBidi" w:hAnsiTheme="majorBidi" w:cstheme="majorBidi"/>
        </w:rPr>
      </w:pPr>
      <w:r w:rsidRPr="00433908">
        <w:rPr>
          <w:rFonts w:asciiTheme="majorBidi" w:hAnsiTheme="majorBidi" w:cstheme="majorBidi"/>
        </w:rPr>
        <w:t xml:space="preserve">Of course, in the oligopolistic setting, the firm may expect its competitor to follow suit and raise prices as well. This may indeed be the case, and few would argue that tacit collusion </w:t>
      </w:r>
      <w:r w:rsidR="00016402" w:rsidRPr="00433908">
        <w:rPr>
          <w:rFonts w:asciiTheme="majorBidi" w:hAnsiTheme="majorBidi" w:cstheme="majorBidi"/>
        </w:rPr>
        <w:t>(which is</w:t>
      </w:r>
      <w:r w:rsidR="006C2BB9">
        <w:rPr>
          <w:rFonts w:asciiTheme="majorBidi" w:hAnsiTheme="majorBidi" w:cstheme="majorBidi"/>
        </w:rPr>
        <w:t>, as mentioned,</w:t>
      </w:r>
      <w:r w:rsidR="00016402" w:rsidRPr="00433908">
        <w:rPr>
          <w:rFonts w:asciiTheme="majorBidi" w:hAnsiTheme="majorBidi" w:cstheme="majorBidi"/>
        </w:rPr>
        <w:t xml:space="preserve"> generally legal)</w:t>
      </w:r>
      <w:r w:rsidR="006C2BB9" w:rsidRPr="00433908">
        <w:rPr>
          <w:rStyle w:val="FootnoteReference"/>
          <w:rFonts w:asciiTheme="majorBidi" w:hAnsiTheme="majorBidi" w:cstheme="majorBidi"/>
        </w:rPr>
        <w:footnoteReference w:id="79"/>
      </w:r>
      <w:r w:rsidR="00016402" w:rsidRPr="00433908">
        <w:rPr>
          <w:rFonts w:asciiTheme="majorBidi" w:hAnsiTheme="majorBidi" w:cstheme="majorBidi"/>
        </w:rPr>
        <w:t xml:space="preserve"> </w:t>
      </w:r>
      <w:r w:rsidRPr="00433908">
        <w:rPr>
          <w:rFonts w:asciiTheme="majorBidi" w:hAnsiTheme="majorBidi" w:cstheme="majorBidi"/>
        </w:rPr>
        <w:t>does not occur in oligopolistic markets. But this has nothing to do with interlocking shareholders. This is an outcome of concentration within the product market</w:t>
      </w:r>
      <w:r w:rsidR="00DA1E95" w:rsidRPr="00433908">
        <w:rPr>
          <w:rFonts w:asciiTheme="majorBidi" w:hAnsiTheme="majorBidi" w:cstheme="majorBidi"/>
        </w:rPr>
        <w:t xml:space="preserve"> in which the firms held by the interlocking shareholders compete</w:t>
      </w:r>
      <w:r w:rsidRPr="00433908">
        <w:rPr>
          <w:rFonts w:asciiTheme="majorBidi" w:hAnsiTheme="majorBidi" w:cstheme="majorBidi"/>
        </w:rPr>
        <w:t xml:space="preserve">. </w:t>
      </w:r>
      <w:r w:rsidR="00DA1E95" w:rsidRPr="00433908">
        <w:rPr>
          <w:rFonts w:asciiTheme="majorBidi" w:hAnsiTheme="majorBidi" w:cstheme="majorBidi"/>
        </w:rPr>
        <w:t xml:space="preserve">The product market </w:t>
      </w:r>
      <w:r w:rsidRPr="00433908">
        <w:rPr>
          <w:rFonts w:asciiTheme="majorBidi" w:hAnsiTheme="majorBidi" w:cstheme="majorBidi"/>
        </w:rPr>
        <w:t xml:space="preserve">may be conducive to tacit collusion, and it may </w:t>
      </w:r>
      <w:r w:rsidR="00A1372F" w:rsidRPr="00433908">
        <w:rPr>
          <w:rFonts w:asciiTheme="majorBidi" w:hAnsiTheme="majorBidi" w:cstheme="majorBidi"/>
        </w:rPr>
        <w:t xml:space="preserve">not. If it is, a firm – any firm – may indeed attempt to raise prices hoping that its competitor will reciprocate. If it is not, prices can be expected to be competitive. But regardless of </w:t>
      </w:r>
      <w:r w:rsidR="00A1372F" w:rsidRPr="00433908">
        <w:rPr>
          <w:rFonts w:asciiTheme="majorBidi" w:hAnsiTheme="majorBidi" w:cstheme="majorBidi"/>
          <w:i/>
          <w:iCs/>
        </w:rPr>
        <w:t xml:space="preserve">what </w:t>
      </w:r>
      <w:r w:rsidR="007F3DD3" w:rsidRPr="00433908">
        <w:rPr>
          <w:rFonts w:asciiTheme="majorBidi" w:hAnsiTheme="majorBidi" w:cstheme="majorBidi"/>
        </w:rPr>
        <w:t xml:space="preserve">the product-market </w:t>
      </w:r>
      <w:r w:rsidR="00A1372F" w:rsidRPr="00433908">
        <w:rPr>
          <w:rFonts w:asciiTheme="majorBidi" w:hAnsiTheme="majorBidi" w:cstheme="majorBidi"/>
        </w:rPr>
        <w:t>equilibrium is, there is no reason to think that managers will forego profit absent a mechanism that incentivizes them to do so.</w:t>
      </w:r>
      <w:r w:rsidR="00463787" w:rsidRPr="00433908">
        <w:rPr>
          <w:rStyle w:val="FootnoteReference"/>
          <w:rFonts w:asciiTheme="majorBidi" w:hAnsiTheme="majorBidi" w:cstheme="majorBidi"/>
        </w:rPr>
        <w:footnoteReference w:id="80"/>
      </w:r>
      <w:r w:rsidR="00A1372F" w:rsidRPr="00433908">
        <w:rPr>
          <w:rFonts w:asciiTheme="majorBidi" w:hAnsiTheme="majorBidi" w:cstheme="majorBidi"/>
        </w:rPr>
        <w:t xml:space="preserve"> The question therefore resonates even in the oligopolistic setting – why would managers act in a manner that is detrimental to the firm they manage?</w:t>
      </w:r>
    </w:p>
    <w:p w14:paraId="6094C4A2" w14:textId="77777777" w:rsidR="005653D4" w:rsidRPr="00433908" w:rsidRDefault="005653D4" w:rsidP="005653D4">
      <w:pPr>
        <w:jc w:val="both"/>
        <w:rPr>
          <w:rFonts w:asciiTheme="majorBidi" w:hAnsiTheme="majorBidi" w:cstheme="majorBidi"/>
        </w:rPr>
      </w:pPr>
    </w:p>
    <w:p w14:paraId="13FAE1D4" w14:textId="401B16D8" w:rsidR="00A92617" w:rsidRPr="00433908" w:rsidRDefault="00A92617" w:rsidP="006C2BB9">
      <w:pPr>
        <w:pStyle w:val="Heading2"/>
        <w:ind w:left="1418" w:hanging="992"/>
      </w:pPr>
      <w:r w:rsidRPr="003D0E4B">
        <w:t>Managerial</w:t>
      </w:r>
      <w:r w:rsidRPr="00433908">
        <w:t xml:space="preserve"> Compensation </w:t>
      </w:r>
      <w:r w:rsidR="006C2BB9">
        <w:t>L</w:t>
      </w:r>
      <w:r w:rsidRPr="00433908">
        <w:t>inked to Industry Performance</w:t>
      </w:r>
    </w:p>
    <w:p w14:paraId="2F082EBF" w14:textId="77777777" w:rsidR="00346D2C" w:rsidRPr="00433908" w:rsidRDefault="00346D2C" w:rsidP="005653D4">
      <w:pPr>
        <w:jc w:val="both"/>
        <w:rPr>
          <w:rFonts w:asciiTheme="majorBidi" w:hAnsiTheme="majorBidi" w:cstheme="majorBidi"/>
          <w:b/>
          <w:bCs/>
          <w:u w:val="single"/>
        </w:rPr>
      </w:pPr>
    </w:p>
    <w:p w14:paraId="63760580" w14:textId="345ECAF6" w:rsidR="00847335" w:rsidRPr="00433908" w:rsidRDefault="00A1372F" w:rsidP="006C2BB9">
      <w:pPr>
        <w:jc w:val="both"/>
        <w:rPr>
          <w:rFonts w:asciiTheme="majorBidi" w:hAnsiTheme="majorBidi" w:cstheme="majorBidi"/>
        </w:rPr>
      </w:pPr>
      <w:r w:rsidRPr="00433908">
        <w:rPr>
          <w:rFonts w:asciiTheme="majorBidi" w:hAnsiTheme="majorBidi" w:cstheme="majorBidi"/>
        </w:rPr>
        <w:t>One answer to this puzzle</w:t>
      </w:r>
      <w:r w:rsidR="005653D4" w:rsidRPr="00433908">
        <w:rPr>
          <w:rFonts w:asciiTheme="majorBidi" w:hAnsiTheme="majorBidi" w:cstheme="majorBidi"/>
        </w:rPr>
        <w:t>, offered in the literature,</w:t>
      </w:r>
      <w:r w:rsidR="005653D4" w:rsidRPr="00433908">
        <w:rPr>
          <w:rStyle w:val="FootnoteReference"/>
          <w:rFonts w:asciiTheme="majorBidi" w:hAnsiTheme="majorBidi" w:cstheme="majorBidi"/>
        </w:rPr>
        <w:footnoteReference w:id="81"/>
      </w:r>
      <w:r w:rsidRPr="00433908">
        <w:rPr>
          <w:rFonts w:asciiTheme="majorBidi" w:hAnsiTheme="majorBidi" w:cstheme="majorBidi"/>
        </w:rPr>
        <w:t xml:space="preserve"> is that </w:t>
      </w:r>
      <w:r w:rsidR="005653D4" w:rsidRPr="00433908">
        <w:rPr>
          <w:rFonts w:asciiTheme="majorBidi" w:hAnsiTheme="majorBidi" w:cstheme="majorBidi"/>
        </w:rPr>
        <w:t>managers’ performance-</w:t>
      </w:r>
      <w:r w:rsidRPr="00433908">
        <w:rPr>
          <w:rFonts w:asciiTheme="majorBidi" w:hAnsiTheme="majorBidi" w:cstheme="majorBidi"/>
        </w:rPr>
        <w:t xml:space="preserve">based compensation </w:t>
      </w:r>
      <w:r w:rsidR="00433552" w:rsidRPr="00433908">
        <w:rPr>
          <w:rFonts w:asciiTheme="majorBidi" w:hAnsiTheme="majorBidi" w:cstheme="majorBidi"/>
        </w:rPr>
        <w:t xml:space="preserve">may be linked </w:t>
      </w:r>
      <w:r w:rsidRPr="00433908">
        <w:rPr>
          <w:rFonts w:asciiTheme="majorBidi" w:hAnsiTheme="majorBidi" w:cstheme="majorBidi"/>
        </w:rPr>
        <w:t xml:space="preserve">to performance of the </w:t>
      </w:r>
      <w:r w:rsidRPr="00433908">
        <w:rPr>
          <w:rFonts w:asciiTheme="majorBidi" w:hAnsiTheme="majorBidi" w:cstheme="majorBidi"/>
          <w:i/>
          <w:iCs/>
        </w:rPr>
        <w:t>industry</w:t>
      </w:r>
      <w:r w:rsidRPr="00433908">
        <w:rPr>
          <w:rFonts w:asciiTheme="majorBidi" w:hAnsiTheme="majorBidi" w:cstheme="majorBidi"/>
        </w:rPr>
        <w:t xml:space="preserve"> rather than to performance of the specific firm</w:t>
      </w:r>
      <w:r w:rsidR="005653D4" w:rsidRPr="00433908">
        <w:rPr>
          <w:rFonts w:asciiTheme="majorBidi" w:hAnsiTheme="majorBidi" w:cstheme="majorBidi"/>
        </w:rPr>
        <w:t xml:space="preserve"> (or the extent to which the specific firm’s performance exceeds industry </w:t>
      </w:r>
      <w:r w:rsidR="005653D4" w:rsidRPr="00433908">
        <w:rPr>
          <w:rFonts w:asciiTheme="majorBidi" w:hAnsiTheme="majorBidi" w:cstheme="majorBidi"/>
        </w:rPr>
        <w:lastRenderedPageBreak/>
        <w:t>performance)</w:t>
      </w:r>
      <w:r w:rsidRPr="00433908">
        <w:rPr>
          <w:rFonts w:asciiTheme="majorBidi" w:hAnsiTheme="majorBidi" w:cstheme="majorBidi"/>
        </w:rPr>
        <w:t>.</w:t>
      </w:r>
      <w:bookmarkStart w:id="21" w:name="_Ref503086939"/>
      <w:r w:rsidR="00717B16" w:rsidRPr="00433908">
        <w:rPr>
          <w:rStyle w:val="FootnoteReference"/>
          <w:rFonts w:asciiTheme="majorBidi" w:hAnsiTheme="majorBidi" w:cstheme="majorBidi"/>
        </w:rPr>
        <w:footnoteReference w:id="82"/>
      </w:r>
      <w:bookmarkEnd w:id="21"/>
      <w:r w:rsidR="00EC183D" w:rsidRPr="00433908">
        <w:rPr>
          <w:rFonts w:asciiTheme="majorBidi" w:hAnsiTheme="majorBidi" w:cstheme="majorBidi"/>
        </w:rPr>
        <w:t xml:space="preserve"> But a closer look at such compensation plans</w:t>
      </w:r>
      <w:r w:rsidR="005A0DBC" w:rsidRPr="00433908">
        <w:rPr>
          <w:rFonts w:asciiTheme="majorBidi" w:hAnsiTheme="majorBidi" w:cstheme="majorBidi"/>
        </w:rPr>
        <w:t>, and specifically at the common mechanism that links managerial compensation to industry performance – granting managers stock or options in the firm they manage –</w:t>
      </w:r>
      <w:r w:rsidR="00EC183D" w:rsidRPr="00433908">
        <w:rPr>
          <w:rFonts w:asciiTheme="majorBidi" w:hAnsiTheme="majorBidi" w:cstheme="majorBidi"/>
        </w:rPr>
        <w:t xml:space="preserve"> reveals</w:t>
      </w:r>
      <w:r w:rsidR="00D721DC" w:rsidRPr="00433908">
        <w:rPr>
          <w:rFonts w:asciiTheme="majorBidi" w:hAnsiTheme="majorBidi" w:cstheme="majorBidi"/>
        </w:rPr>
        <w:t xml:space="preserve"> that although the</w:t>
      </w:r>
      <w:r w:rsidR="005A0DBC" w:rsidRPr="00433908">
        <w:rPr>
          <w:rFonts w:asciiTheme="majorBidi" w:hAnsiTheme="majorBidi" w:cstheme="majorBidi"/>
        </w:rPr>
        <w:t xml:space="preserve">se compensation plans </w:t>
      </w:r>
      <w:r w:rsidR="00D721DC" w:rsidRPr="00433908">
        <w:rPr>
          <w:rFonts w:asciiTheme="majorBidi" w:hAnsiTheme="majorBidi" w:cstheme="majorBidi"/>
        </w:rPr>
        <w:t xml:space="preserve">are problematic from </w:t>
      </w:r>
      <w:r w:rsidR="006C2BB9">
        <w:rPr>
          <w:rFonts w:asciiTheme="majorBidi" w:hAnsiTheme="majorBidi" w:cstheme="majorBidi"/>
        </w:rPr>
        <w:t xml:space="preserve">the perspective of the </w:t>
      </w:r>
      <w:r w:rsidR="00D721DC" w:rsidRPr="00433908">
        <w:rPr>
          <w:rFonts w:asciiTheme="majorBidi" w:hAnsiTheme="majorBidi" w:cstheme="majorBidi"/>
        </w:rPr>
        <w:t>shareholder-management</w:t>
      </w:r>
      <w:r w:rsidR="006C2BB9">
        <w:rPr>
          <w:rFonts w:asciiTheme="majorBidi" w:hAnsiTheme="majorBidi" w:cstheme="majorBidi"/>
        </w:rPr>
        <w:t xml:space="preserve"> </w:t>
      </w:r>
      <w:r w:rsidR="00D721DC" w:rsidRPr="00433908">
        <w:rPr>
          <w:rFonts w:asciiTheme="majorBidi" w:hAnsiTheme="majorBidi" w:cstheme="majorBidi"/>
        </w:rPr>
        <w:t>relationship,</w:t>
      </w:r>
      <w:r w:rsidR="005A0DBC" w:rsidRPr="00433908">
        <w:rPr>
          <w:rFonts w:asciiTheme="majorBidi" w:hAnsiTheme="majorBidi" w:cstheme="majorBidi"/>
        </w:rPr>
        <w:t xml:space="preserve"> </w:t>
      </w:r>
      <w:r w:rsidR="00EC183D" w:rsidRPr="00433908">
        <w:rPr>
          <w:rFonts w:asciiTheme="majorBidi" w:hAnsiTheme="majorBidi" w:cstheme="majorBidi"/>
        </w:rPr>
        <w:t>they are unlikely to bring about unilateral coord</w:t>
      </w:r>
      <w:r w:rsidR="005A0DBC" w:rsidRPr="00433908">
        <w:rPr>
          <w:rFonts w:asciiTheme="majorBidi" w:hAnsiTheme="majorBidi" w:cstheme="majorBidi"/>
        </w:rPr>
        <w:t>ination.</w:t>
      </w:r>
    </w:p>
    <w:p w14:paraId="4B8C0052" w14:textId="77777777" w:rsidR="00F750F4" w:rsidRPr="00433908" w:rsidRDefault="00F750F4" w:rsidP="00F1382A">
      <w:pPr>
        <w:jc w:val="both"/>
        <w:rPr>
          <w:rFonts w:asciiTheme="majorBidi" w:hAnsiTheme="majorBidi" w:cstheme="majorBidi"/>
        </w:rPr>
      </w:pPr>
    </w:p>
    <w:p w14:paraId="00E81EE7" w14:textId="7FCCD3F6" w:rsidR="00421306" w:rsidRPr="00433908" w:rsidRDefault="00991DA6" w:rsidP="005A0DBC">
      <w:pPr>
        <w:jc w:val="both"/>
        <w:rPr>
          <w:rFonts w:asciiTheme="majorBidi" w:hAnsiTheme="majorBidi" w:cstheme="majorBidi"/>
        </w:rPr>
      </w:pPr>
      <w:r w:rsidRPr="00433908">
        <w:rPr>
          <w:rFonts w:asciiTheme="majorBidi" w:hAnsiTheme="majorBidi" w:cstheme="majorBidi"/>
        </w:rPr>
        <w:t>In an influential article</w:t>
      </w:r>
      <w:r w:rsidR="00EC183D" w:rsidRPr="00433908">
        <w:rPr>
          <w:rFonts w:asciiTheme="majorBidi" w:hAnsiTheme="majorBidi" w:cstheme="majorBidi"/>
        </w:rPr>
        <w:t xml:space="preserve"> on managerial compensation</w:t>
      </w:r>
      <w:r w:rsidRPr="00433908">
        <w:rPr>
          <w:rFonts w:asciiTheme="majorBidi" w:hAnsiTheme="majorBidi" w:cstheme="majorBidi"/>
        </w:rPr>
        <w:t xml:space="preserve"> </w:t>
      </w:r>
      <w:proofErr w:type="spellStart"/>
      <w:r w:rsidRPr="00433908">
        <w:rPr>
          <w:rFonts w:asciiTheme="majorBidi" w:hAnsiTheme="majorBidi" w:cstheme="majorBidi"/>
        </w:rPr>
        <w:t>Bebchuck</w:t>
      </w:r>
      <w:proofErr w:type="spellEnd"/>
      <w:r w:rsidRPr="00433908">
        <w:rPr>
          <w:rFonts w:asciiTheme="majorBidi" w:hAnsiTheme="majorBidi" w:cstheme="majorBidi"/>
        </w:rPr>
        <w:t xml:space="preserve">, Fried, and Walker </w:t>
      </w:r>
      <w:r w:rsidR="006607A4" w:rsidRPr="00433908">
        <w:rPr>
          <w:rFonts w:asciiTheme="majorBidi" w:hAnsiTheme="majorBidi" w:cstheme="majorBidi"/>
        </w:rPr>
        <w:t xml:space="preserve">argue that managerial compensation plans are </w:t>
      </w:r>
      <w:r w:rsidR="0036607D" w:rsidRPr="00433908">
        <w:rPr>
          <w:rFonts w:asciiTheme="majorBidi" w:hAnsiTheme="majorBidi" w:cstheme="majorBidi"/>
        </w:rPr>
        <w:t xml:space="preserve">not an outcome of optimal contracting, but rather of managerial power. </w:t>
      </w:r>
      <w:r w:rsidR="006607A4" w:rsidRPr="00433908">
        <w:rPr>
          <w:rFonts w:asciiTheme="majorBidi" w:hAnsiTheme="majorBidi" w:cstheme="majorBidi"/>
        </w:rPr>
        <w:t>Within th</w:t>
      </w:r>
      <w:r w:rsidR="00626B8F" w:rsidRPr="00433908">
        <w:rPr>
          <w:rFonts w:asciiTheme="majorBidi" w:hAnsiTheme="majorBidi" w:cstheme="majorBidi"/>
        </w:rPr>
        <w:t xml:space="preserve">is </w:t>
      </w:r>
      <w:r w:rsidR="006607A4" w:rsidRPr="00433908">
        <w:rPr>
          <w:rFonts w:asciiTheme="majorBidi" w:hAnsiTheme="majorBidi" w:cstheme="majorBidi"/>
        </w:rPr>
        <w:t>framework</w:t>
      </w:r>
      <w:r w:rsidR="00626B8F" w:rsidRPr="00433908">
        <w:rPr>
          <w:rFonts w:asciiTheme="majorBidi" w:hAnsiTheme="majorBidi" w:cstheme="majorBidi"/>
        </w:rPr>
        <w:t xml:space="preserve">, </w:t>
      </w:r>
      <w:proofErr w:type="spellStart"/>
      <w:r w:rsidR="00CC3398" w:rsidRPr="00433908">
        <w:rPr>
          <w:rFonts w:asciiTheme="majorBidi" w:hAnsiTheme="majorBidi" w:cstheme="majorBidi"/>
        </w:rPr>
        <w:t>Bebchuck</w:t>
      </w:r>
      <w:proofErr w:type="spellEnd"/>
      <w:r w:rsidR="00CC3398" w:rsidRPr="00433908">
        <w:rPr>
          <w:rFonts w:asciiTheme="majorBidi" w:hAnsiTheme="majorBidi" w:cstheme="majorBidi"/>
        </w:rPr>
        <w:t xml:space="preserve"> et al. </w:t>
      </w:r>
      <w:r w:rsidR="005A0DBC" w:rsidRPr="00433908">
        <w:rPr>
          <w:rFonts w:asciiTheme="majorBidi" w:hAnsiTheme="majorBidi" w:cstheme="majorBidi"/>
        </w:rPr>
        <w:t xml:space="preserve">analyze the phenomenon of granting management options to purchase firm stock. </w:t>
      </w:r>
      <w:proofErr w:type="spellStart"/>
      <w:r w:rsidR="005A0DBC" w:rsidRPr="00433908">
        <w:rPr>
          <w:rFonts w:asciiTheme="majorBidi" w:hAnsiTheme="majorBidi" w:cstheme="majorBidi"/>
        </w:rPr>
        <w:t>Bebchuck</w:t>
      </w:r>
      <w:proofErr w:type="spellEnd"/>
      <w:r w:rsidR="005A0DBC" w:rsidRPr="00433908">
        <w:rPr>
          <w:rFonts w:asciiTheme="majorBidi" w:hAnsiTheme="majorBidi" w:cstheme="majorBidi"/>
        </w:rPr>
        <w:t xml:space="preserve"> et al. </w:t>
      </w:r>
      <w:r w:rsidR="00626B8F" w:rsidRPr="00433908">
        <w:rPr>
          <w:rFonts w:asciiTheme="majorBidi" w:hAnsiTheme="majorBidi" w:cstheme="majorBidi"/>
        </w:rPr>
        <w:t xml:space="preserve">make the point </w:t>
      </w:r>
      <w:r w:rsidR="00CC3398" w:rsidRPr="00433908">
        <w:rPr>
          <w:rFonts w:asciiTheme="majorBidi" w:hAnsiTheme="majorBidi" w:cstheme="majorBidi"/>
        </w:rPr>
        <w:t xml:space="preserve">that </w:t>
      </w:r>
      <w:r w:rsidR="005A0DBC" w:rsidRPr="00433908">
        <w:rPr>
          <w:rFonts w:asciiTheme="majorBidi" w:hAnsiTheme="majorBidi" w:cstheme="majorBidi"/>
        </w:rPr>
        <w:t xml:space="preserve">a result of such a mechanism is that </w:t>
      </w:r>
      <w:r w:rsidR="00CC3398" w:rsidRPr="00433908">
        <w:rPr>
          <w:rFonts w:asciiTheme="majorBidi" w:hAnsiTheme="majorBidi" w:cstheme="majorBidi"/>
        </w:rPr>
        <w:t>managers</w:t>
      </w:r>
      <w:r w:rsidR="00CC3398" w:rsidRPr="00433908">
        <w:rPr>
          <w:rFonts w:asciiTheme="majorBidi" w:eastAsia="Helvetica" w:hAnsiTheme="majorBidi" w:cstheme="majorBidi"/>
        </w:rPr>
        <w:t>’</w:t>
      </w:r>
      <w:r w:rsidR="00CC3398" w:rsidRPr="00433908">
        <w:rPr>
          <w:rFonts w:asciiTheme="majorBidi" w:hAnsiTheme="majorBidi" w:cstheme="majorBidi"/>
        </w:rPr>
        <w:t xml:space="preserve"> compensation is conditioned on absolute share price</w:t>
      </w:r>
      <w:r w:rsidR="005A0DBC" w:rsidRPr="00433908">
        <w:rPr>
          <w:rFonts w:asciiTheme="majorBidi" w:hAnsiTheme="majorBidi" w:cstheme="majorBidi"/>
        </w:rPr>
        <w:t xml:space="preserve">, rather than </w:t>
      </w:r>
      <w:r w:rsidR="00AF15F9" w:rsidRPr="00433908">
        <w:rPr>
          <w:rFonts w:asciiTheme="majorBidi" w:hAnsiTheme="majorBidi" w:cstheme="majorBidi"/>
        </w:rPr>
        <w:t xml:space="preserve">on </w:t>
      </w:r>
      <w:r w:rsidR="003B140C" w:rsidRPr="00433908">
        <w:rPr>
          <w:rFonts w:asciiTheme="majorBidi" w:hAnsiTheme="majorBidi" w:cstheme="majorBidi"/>
        </w:rPr>
        <w:t xml:space="preserve">the performance of the stock </w:t>
      </w:r>
      <w:r w:rsidR="003B140C" w:rsidRPr="00433908">
        <w:rPr>
          <w:rFonts w:asciiTheme="majorBidi" w:hAnsiTheme="majorBidi" w:cstheme="majorBidi"/>
          <w:i/>
          <w:iCs/>
        </w:rPr>
        <w:t>in comparison</w:t>
      </w:r>
      <w:r w:rsidR="003B140C" w:rsidRPr="00433908">
        <w:rPr>
          <w:rFonts w:asciiTheme="majorBidi" w:hAnsiTheme="majorBidi" w:cstheme="majorBidi"/>
        </w:rPr>
        <w:t xml:space="preserve"> to other firms</w:t>
      </w:r>
      <w:r w:rsidR="003B140C" w:rsidRPr="00433908">
        <w:rPr>
          <w:rFonts w:asciiTheme="majorBidi" w:eastAsia="Helvetica" w:hAnsiTheme="majorBidi" w:cstheme="majorBidi"/>
        </w:rPr>
        <w:t>’</w:t>
      </w:r>
      <w:r w:rsidR="003B140C" w:rsidRPr="00433908">
        <w:rPr>
          <w:rFonts w:asciiTheme="majorBidi" w:hAnsiTheme="majorBidi" w:cstheme="majorBidi"/>
        </w:rPr>
        <w:t xml:space="preserve"> stock</w:t>
      </w:r>
      <w:r w:rsidR="005A0DBC" w:rsidRPr="00433908">
        <w:rPr>
          <w:rFonts w:asciiTheme="majorBidi" w:hAnsiTheme="majorBidi" w:cstheme="majorBidi"/>
        </w:rPr>
        <w:t>.</w:t>
      </w:r>
      <w:r w:rsidR="00CC3398" w:rsidRPr="00433908">
        <w:rPr>
          <w:rFonts w:asciiTheme="majorBidi" w:hAnsiTheme="majorBidi" w:cstheme="majorBidi"/>
        </w:rPr>
        <w:t xml:space="preserve"> </w:t>
      </w:r>
      <w:r w:rsidR="005A0DBC" w:rsidRPr="00433908">
        <w:rPr>
          <w:rFonts w:asciiTheme="majorBidi" w:hAnsiTheme="majorBidi" w:cstheme="majorBidi"/>
        </w:rPr>
        <w:t>Managers are thus, through this mechanism,</w:t>
      </w:r>
      <w:r w:rsidR="00CC3398" w:rsidRPr="00433908">
        <w:rPr>
          <w:rFonts w:asciiTheme="majorBidi" w:hAnsiTheme="majorBidi" w:cstheme="majorBidi"/>
        </w:rPr>
        <w:t xml:space="preserve"> rewarded for share price increases that they may not have contributed to.</w:t>
      </w:r>
      <w:r w:rsidR="00CC3398" w:rsidRPr="00433908">
        <w:rPr>
          <w:rStyle w:val="FootnoteReference"/>
          <w:rFonts w:asciiTheme="majorBidi" w:hAnsiTheme="majorBidi" w:cstheme="majorBidi"/>
        </w:rPr>
        <w:footnoteReference w:id="83"/>
      </w:r>
      <w:r w:rsidR="00CC3398" w:rsidRPr="00433908">
        <w:rPr>
          <w:rFonts w:asciiTheme="majorBidi" w:hAnsiTheme="majorBidi" w:cstheme="majorBidi"/>
        </w:rPr>
        <w:t xml:space="preserve"> </w:t>
      </w:r>
      <w:proofErr w:type="spellStart"/>
      <w:r w:rsidR="00CC3398" w:rsidRPr="00433908">
        <w:rPr>
          <w:rFonts w:asciiTheme="majorBidi" w:hAnsiTheme="majorBidi" w:cstheme="majorBidi"/>
        </w:rPr>
        <w:t>Bebchuck</w:t>
      </w:r>
      <w:proofErr w:type="spellEnd"/>
      <w:r w:rsidR="00CC3398" w:rsidRPr="00433908">
        <w:rPr>
          <w:rFonts w:asciiTheme="majorBidi" w:hAnsiTheme="majorBidi" w:cstheme="majorBidi"/>
        </w:rPr>
        <w:t xml:space="preserve"> et al. point out that “[</w:t>
      </w:r>
      <w:proofErr w:type="spellStart"/>
      <w:r w:rsidR="00CC3398" w:rsidRPr="00433908">
        <w:rPr>
          <w:rFonts w:asciiTheme="majorBidi" w:hAnsiTheme="majorBidi" w:cstheme="majorBidi"/>
        </w:rPr>
        <w:t>t]o</w:t>
      </w:r>
      <w:proofErr w:type="spellEnd"/>
      <w:r w:rsidR="00CC3398" w:rsidRPr="00433908">
        <w:rPr>
          <w:rFonts w:asciiTheme="majorBidi" w:hAnsiTheme="majorBidi" w:cstheme="majorBidi"/>
        </w:rPr>
        <w:t xml:space="preserve"> the extent industry- and market-wide effects boost the stock price, the manager will be “rewarded” for these increases when he exercises the options and shareholders will pay for this reward, even though this reward has no effect on the manager’s incentives”.</w:t>
      </w:r>
      <w:r w:rsidR="00CC3398" w:rsidRPr="00433908">
        <w:rPr>
          <w:rStyle w:val="FootnoteReference"/>
          <w:rFonts w:asciiTheme="majorBidi" w:hAnsiTheme="majorBidi" w:cstheme="majorBidi"/>
        </w:rPr>
        <w:footnoteReference w:id="84"/>
      </w:r>
    </w:p>
    <w:p w14:paraId="04A91030" w14:textId="77777777" w:rsidR="00AF15F9" w:rsidRPr="00433908" w:rsidRDefault="00AF15F9" w:rsidP="00E827E7">
      <w:pPr>
        <w:jc w:val="both"/>
        <w:rPr>
          <w:rFonts w:asciiTheme="majorBidi" w:hAnsiTheme="majorBidi" w:cstheme="majorBidi"/>
        </w:rPr>
      </w:pPr>
    </w:p>
    <w:p w14:paraId="074E147D" w14:textId="19E559E6" w:rsidR="00CC3398" w:rsidRPr="00433908" w:rsidRDefault="006C2BB9" w:rsidP="00CB5E04">
      <w:pPr>
        <w:jc w:val="both"/>
        <w:rPr>
          <w:rFonts w:asciiTheme="majorBidi" w:hAnsiTheme="majorBidi" w:cstheme="majorBidi"/>
          <w:rtl/>
        </w:rPr>
      </w:pPr>
      <w:r>
        <w:rPr>
          <w:rFonts w:asciiTheme="majorBidi" w:hAnsiTheme="majorBidi" w:cstheme="majorBidi"/>
        </w:rPr>
        <w:t xml:space="preserve">It would seem that granting managers option and stock might incentivize them to unilaterally coordinate. However, this is not the case. </w:t>
      </w:r>
      <w:r w:rsidR="00D721DC" w:rsidRPr="00433908">
        <w:rPr>
          <w:rFonts w:asciiTheme="majorBidi" w:hAnsiTheme="majorBidi" w:cstheme="majorBidi"/>
        </w:rPr>
        <w:t>A</w:t>
      </w:r>
      <w:r w:rsidR="00CC3398" w:rsidRPr="00433908">
        <w:rPr>
          <w:rFonts w:asciiTheme="majorBidi" w:hAnsiTheme="majorBidi" w:cstheme="majorBidi"/>
        </w:rPr>
        <w:t xml:space="preserve">lthough stock or options effectively reward managers for the performance of their competitors, in the context of unilateral coordination this effect is reversed. Granting managers stock or options in the firm they manage </w:t>
      </w:r>
      <w:r w:rsidR="00421306" w:rsidRPr="00433908">
        <w:rPr>
          <w:rFonts w:asciiTheme="majorBidi" w:hAnsiTheme="majorBidi" w:cstheme="majorBidi"/>
        </w:rPr>
        <w:t xml:space="preserve">creates a </w:t>
      </w:r>
      <w:r w:rsidR="00CC3398" w:rsidRPr="00433908">
        <w:rPr>
          <w:rFonts w:asciiTheme="majorBidi" w:hAnsiTheme="majorBidi" w:cstheme="majorBidi"/>
          <w:i/>
          <w:iCs/>
        </w:rPr>
        <w:t>disincentive</w:t>
      </w:r>
      <w:r w:rsidR="00421306" w:rsidRPr="00433908">
        <w:rPr>
          <w:rFonts w:asciiTheme="majorBidi" w:hAnsiTheme="majorBidi" w:cstheme="majorBidi"/>
        </w:rPr>
        <w:t xml:space="preserve"> to</w:t>
      </w:r>
      <w:r w:rsidR="00CC3398" w:rsidRPr="00433908">
        <w:rPr>
          <w:rFonts w:asciiTheme="majorBidi" w:hAnsiTheme="majorBidi" w:cstheme="majorBidi"/>
        </w:rPr>
        <w:t xml:space="preserve"> unilateral</w:t>
      </w:r>
      <w:r w:rsidR="00421306" w:rsidRPr="00433908">
        <w:rPr>
          <w:rFonts w:asciiTheme="majorBidi" w:hAnsiTheme="majorBidi" w:cstheme="majorBidi"/>
        </w:rPr>
        <w:t>ly</w:t>
      </w:r>
      <w:r w:rsidR="00CC3398" w:rsidRPr="00433908">
        <w:rPr>
          <w:rFonts w:asciiTheme="majorBidi" w:hAnsiTheme="majorBidi" w:cstheme="majorBidi"/>
        </w:rPr>
        <w:t xml:space="preserve"> coordinat</w:t>
      </w:r>
      <w:r w:rsidR="00421306" w:rsidRPr="00433908">
        <w:rPr>
          <w:rFonts w:asciiTheme="majorBidi" w:hAnsiTheme="majorBidi" w:cstheme="majorBidi"/>
        </w:rPr>
        <w:t>e</w:t>
      </w:r>
      <w:r w:rsidR="00CC3398" w:rsidRPr="00433908">
        <w:rPr>
          <w:rFonts w:asciiTheme="majorBidi" w:hAnsiTheme="majorBidi" w:cstheme="majorBidi"/>
        </w:rPr>
        <w:t xml:space="preserve">, because if the firm unilaterally coordinates, the effect on the price of its own stock will be </w:t>
      </w:r>
      <w:r w:rsidR="00CC3398" w:rsidRPr="00433908">
        <w:rPr>
          <w:rFonts w:asciiTheme="majorBidi" w:hAnsiTheme="majorBidi" w:cstheme="majorBidi"/>
          <w:i/>
          <w:iCs/>
        </w:rPr>
        <w:t>negative</w:t>
      </w:r>
      <w:r w:rsidR="00CA3831">
        <w:rPr>
          <w:rFonts w:asciiTheme="majorBidi" w:hAnsiTheme="majorBidi" w:cstheme="majorBidi"/>
        </w:rPr>
        <w:t>. Profits will flow to</w:t>
      </w:r>
      <w:r w:rsidR="00CC3398" w:rsidRPr="00433908">
        <w:rPr>
          <w:rFonts w:asciiTheme="majorBidi" w:hAnsiTheme="majorBidi" w:cstheme="majorBidi"/>
        </w:rPr>
        <w:t xml:space="preserve"> competitors, whose stock price will be positively affected. But the stock</w:t>
      </w:r>
      <w:r w:rsidR="003B140C" w:rsidRPr="00433908">
        <w:rPr>
          <w:rFonts w:asciiTheme="majorBidi" w:hAnsiTheme="majorBidi" w:cstheme="majorBidi"/>
        </w:rPr>
        <w:t xml:space="preserve"> price</w:t>
      </w:r>
      <w:r w:rsidR="00CC3398" w:rsidRPr="00433908">
        <w:rPr>
          <w:rFonts w:asciiTheme="majorBidi" w:hAnsiTheme="majorBidi" w:cstheme="majorBidi"/>
        </w:rPr>
        <w:t xml:space="preserve"> of the unilaterally coordinating firm </w:t>
      </w:r>
      <w:r w:rsidR="003B140C" w:rsidRPr="00433908">
        <w:rPr>
          <w:rFonts w:asciiTheme="majorBidi" w:hAnsiTheme="majorBidi" w:cstheme="majorBidi"/>
        </w:rPr>
        <w:t>can be expected to drop</w:t>
      </w:r>
      <w:r w:rsidR="00CC3398" w:rsidRPr="00433908">
        <w:rPr>
          <w:rFonts w:asciiTheme="majorBidi" w:hAnsiTheme="majorBidi" w:cstheme="majorBidi"/>
        </w:rPr>
        <w:t xml:space="preserve">. This is a result of the simple observation offered earlier </w:t>
      </w:r>
      <w:r w:rsidR="00CC3398" w:rsidRPr="00433908">
        <w:rPr>
          <w:rFonts w:asciiTheme="majorBidi" w:eastAsia="Helvetica" w:hAnsiTheme="majorBidi" w:cstheme="majorBidi"/>
        </w:rPr>
        <w:t>–</w:t>
      </w:r>
      <w:r w:rsidR="00CC3398" w:rsidRPr="00433908">
        <w:rPr>
          <w:rFonts w:asciiTheme="majorBidi" w:hAnsiTheme="majorBidi" w:cstheme="majorBidi"/>
        </w:rPr>
        <w:t xml:space="preserve"> unilateral coordination </w:t>
      </w:r>
      <w:r w:rsidR="00421306" w:rsidRPr="00433908">
        <w:rPr>
          <w:rFonts w:asciiTheme="majorBidi" w:hAnsiTheme="majorBidi" w:cstheme="majorBidi"/>
        </w:rPr>
        <w:t>results in a loss to the</w:t>
      </w:r>
      <w:r w:rsidR="00CC3398" w:rsidRPr="00433908">
        <w:rPr>
          <w:rFonts w:asciiTheme="majorBidi" w:hAnsiTheme="majorBidi" w:cstheme="majorBidi"/>
        </w:rPr>
        <w:t xml:space="preserve"> firm for the benefit of its competitors.</w:t>
      </w:r>
      <w:r w:rsidR="00EB5C7E" w:rsidRPr="00433908">
        <w:rPr>
          <w:rFonts w:asciiTheme="majorBidi" w:hAnsiTheme="majorBidi" w:cstheme="majorBidi"/>
        </w:rPr>
        <w:t xml:space="preserve"> </w:t>
      </w:r>
      <w:r>
        <w:rPr>
          <w:rFonts w:asciiTheme="majorBidi" w:hAnsiTheme="majorBidi" w:cstheme="majorBidi"/>
        </w:rPr>
        <w:t xml:space="preserve">In the extreme numerical example offered in </w:t>
      </w:r>
      <w:r w:rsidRPr="006C2BB9">
        <w:rPr>
          <w:rFonts w:asciiTheme="majorBidi" w:hAnsiTheme="majorBidi" w:cstheme="majorBidi"/>
          <w:i/>
          <w:iCs/>
        </w:rPr>
        <w:t>table 1</w:t>
      </w:r>
      <w:r>
        <w:rPr>
          <w:rFonts w:asciiTheme="majorBidi" w:hAnsiTheme="majorBidi" w:cstheme="majorBidi"/>
        </w:rPr>
        <w:t xml:space="preserve">, the competitor’s stock will </w:t>
      </w:r>
      <w:r w:rsidR="00CB5E04">
        <w:rPr>
          <w:rFonts w:asciiTheme="majorBidi" w:hAnsiTheme="majorBidi" w:cstheme="majorBidi"/>
        </w:rPr>
        <w:t>rocket, because it has substituted monopoly rents for a competitive return, but the unilaterally coordinating firm’s stock will plummet, because it has foregone all sales. M</w:t>
      </w:r>
      <w:r w:rsidR="00EB5C7E" w:rsidRPr="00433908">
        <w:rPr>
          <w:rFonts w:asciiTheme="majorBidi" w:hAnsiTheme="majorBidi" w:cstheme="majorBidi"/>
        </w:rPr>
        <w:t xml:space="preserve">anagerial compensation plans </w:t>
      </w:r>
      <w:r w:rsidR="00CB5E04">
        <w:rPr>
          <w:rFonts w:asciiTheme="majorBidi" w:hAnsiTheme="majorBidi" w:cstheme="majorBidi"/>
        </w:rPr>
        <w:t>granting management stock or options in the firm under management are</w:t>
      </w:r>
      <w:r w:rsidR="00EB5C7E" w:rsidRPr="00433908">
        <w:rPr>
          <w:rFonts w:asciiTheme="majorBidi" w:hAnsiTheme="majorBidi" w:cstheme="majorBidi"/>
        </w:rPr>
        <w:t xml:space="preserve"> unlikely to result in unilateral coordination. In order to incentivize unilateral coordination</w:t>
      </w:r>
      <w:r w:rsidR="00123213">
        <w:rPr>
          <w:rFonts w:asciiTheme="majorBidi" w:hAnsiTheme="majorBidi" w:cstheme="majorBidi"/>
        </w:rPr>
        <w:t>,</w:t>
      </w:r>
      <w:r w:rsidR="00EB5C7E" w:rsidRPr="00433908">
        <w:rPr>
          <w:rFonts w:asciiTheme="majorBidi" w:hAnsiTheme="majorBidi" w:cstheme="majorBidi"/>
        </w:rPr>
        <w:t xml:space="preserve"> compensation must be designed to benefit management not only when competitors do well, but also when competitors do well </w:t>
      </w:r>
      <w:r w:rsidR="00EB5C7E" w:rsidRPr="00433908">
        <w:rPr>
          <w:rFonts w:asciiTheme="majorBidi" w:hAnsiTheme="majorBidi" w:cstheme="majorBidi"/>
          <w:i/>
          <w:iCs/>
        </w:rPr>
        <w:t>and</w:t>
      </w:r>
      <w:r w:rsidR="00EB5C7E" w:rsidRPr="00433908">
        <w:rPr>
          <w:rFonts w:asciiTheme="majorBidi" w:hAnsiTheme="majorBidi" w:cstheme="majorBidi"/>
        </w:rPr>
        <w:t xml:space="preserve"> the firm under management performs relatively poorly at the same time. Stock and options </w:t>
      </w:r>
      <w:r w:rsidR="00CB5E04">
        <w:rPr>
          <w:rFonts w:asciiTheme="majorBidi" w:hAnsiTheme="majorBidi" w:cstheme="majorBidi"/>
        </w:rPr>
        <w:t xml:space="preserve">(of the managed firm) </w:t>
      </w:r>
      <w:r w:rsidR="00EB5C7E" w:rsidRPr="00433908">
        <w:rPr>
          <w:rFonts w:asciiTheme="majorBidi" w:hAnsiTheme="majorBidi" w:cstheme="majorBidi"/>
        </w:rPr>
        <w:t>do not accomplish this.</w:t>
      </w:r>
      <w:r w:rsidR="007B3830">
        <w:rPr>
          <w:rStyle w:val="FootnoteReference"/>
          <w:rFonts w:asciiTheme="majorBidi" w:hAnsiTheme="majorBidi" w:cstheme="majorBidi"/>
        </w:rPr>
        <w:footnoteReference w:id="85"/>
      </w:r>
    </w:p>
    <w:p w14:paraId="584D6031" w14:textId="77777777" w:rsidR="00D721DC" w:rsidRPr="00433908" w:rsidRDefault="00D721DC" w:rsidP="00421306">
      <w:pPr>
        <w:jc w:val="both"/>
        <w:rPr>
          <w:rFonts w:asciiTheme="majorBidi" w:hAnsiTheme="majorBidi" w:cstheme="majorBidi"/>
        </w:rPr>
      </w:pPr>
    </w:p>
    <w:p w14:paraId="0305944F" w14:textId="2A4C5B95" w:rsidR="00B66391" w:rsidRPr="00433908" w:rsidRDefault="00B66391" w:rsidP="00DD69E0">
      <w:pPr>
        <w:jc w:val="both"/>
        <w:rPr>
          <w:rFonts w:asciiTheme="majorBidi" w:hAnsiTheme="majorBidi" w:cstheme="majorBidi"/>
          <w:rtl/>
        </w:rPr>
      </w:pPr>
      <w:r w:rsidRPr="00433908">
        <w:rPr>
          <w:rFonts w:asciiTheme="majorBidi" w:hAnsiTheme="majorBidi" w:cstheme="majorBidi"/>
        </w:rPr>
        <w:t xml:space="preserve">Moreover, incentivizing explicit or tacit coordination has little to do with cross ownership. A shareholder – any shareholder – benefits from relaxed </w:t>
      </w:r>
      <w:r w:rsidR="007B3830">
        <w:rPr>
          <w:rFonts w:asciiTheme="majorBidi" w:hAnsiTheme="majorBidi" w:cstheme="majorBidi"/>
        </w:rPr>
        <w:t>product-</w:t>
      </w:r>
      <w:r w:rsidRPr="00433908">
        <w:rPr>
          <w:rFonts w:asciiTheme="majorBidi" w:hAnsiTheme="majorBidi" w:cstheme="majorBidi"/>
        </w:rPr>
        <w:t>market</w:t>
      </w:r>
      <w:r w:rsidR="007B3830" w:rsidRPr="007B3830">
        <w:rPr>
          <w:rFonts w:asciiTheme="majorBidi" w:hAnsiTheme="majorBidi" w:cstheme="majorBidi"/>
        </w:rPr>
        <w:t xml:space="preserve"> </w:t>
      </w:r>
      <w:r w:rsidR="007B3830" w:rsidRPr="00433908">
        <w:rPr>
          <w:rFonts w:asciiTheme="majorBidi" w:hAnsiTheme="majorBidi" w:cstheme="majorBidi"/>
        </w:rPr>
        <w:t>competition</w:t>
      </w:r>
      <w:r w:rsidRPr="00433908">
        <w:rPr>
          <w:rFonts w:asciiTheme="majorBidi" w:hAnsiTheme="majorBidi" w:cstheme="majorBidi"/>
        </w:rPr>
        <w:t xml:space="preserve">. A shareholder – </w:t>
      </w:r>
      <w:r w:rsidR="000C60C0" w:rsidRPr="00433908">
        <w:rPr>
          <w:rFonts w:asciiTheme="majorBidi" w:hAnsiTheme="majorBidi" w:cstheme="majorBidi"/>
        </w:rPr>
        <w:t xml:space="preserve">again, </w:t>
      </w:r>
      <w:r w:rsidRPr="00433908">
        <w:rPr>
          <w:rFonts w:asciiTheme="majorBidi" w:hAnsiTheme="majorBidi" w:cstheme="majorBidi"/>
        </w:rPr>
        <w:t>any shareholder – may thus devise a compensation plan that incentivizes management to compete less vigorously</w:t>
      </w:r>
      <w:r w:rsidR="00CB5E04">
        <w:rPr>
          <w:rFonts w:asciiTheme="majorBidi" w:hAnsiTheme="majorBidi" w:cstheme="majorBidi"/>
        </w:rPr>
        <w:t xml:space="preserve"> by explicitly or tacitly coordinating with competitors</w:t>
      </w:r>
      <w:r w:rsidRPr="00433908">
        <w:rPr>
          <w:rFonts w:asciiTheme="majorBidi" w:hAnsiTheme="majorBidi" w:cstheme="majorBidi"/>
        </w:rPr>
        <w:t>.</w:t>
      </w:r>
      <w:r w:rsidR="00CB5E04">
        <w:rPr>
          <w:rFonts w:asciiTheme="majorBidi" w:hAnsiTheme="majorBidi" w:cstheme="majorBidi"/>
        </w:rPr>
        <w:t xml:space="preserve"> The shareholder</w:t>
      </w:r>
      <w:r w:rsidR="00811B05">
        <w:rPr>
          <w:rFonts w:asciiTheme="majorBidi" w:hAnsiTheme="majorBidi" w:cstheme="majorBidi"/>
        </w:rPr>
        <w:t xml:space="preserve">’s holdings in </w:t>
      </w:r>
      <w:r w:rsidR="00CB5E04">
        <w:rPr>
          <w:rFonts w:asciiTheme="majorBidi" w:hAnsiTheme="majorBidi" w:cstheme="majorBidi"/>
        </w:rPr>
        <w:t xml:space="preserve">competitors </w:t>
      </w:r>
      <w:r w:rsidR="00811B05">
        <w:rPr>
          <w:rFonts w:asciiTheme="majorBidi" w:hAnsiTheme="majorBidi" w:cstheme="majorBidi"/>
        </w:rPr>
        <w:t xml:space="preserve">or </w:t>
      </w:r>
      <w:r w:rsidR="00DD69E0">
        <w:rPr>
          <w:rFonts w:asciiTheme="majorBidi" w:hAnsiTheme="majorBidi" w:cstheme="majorBidi"/>
        </w:rPr>
        <w:t xml:space="preserve">the lack of such holdings </w:t>
      </w:r>
      <w:r w:rsidR="00811B05">
        <w:rPr>
          <w:rFonts w:asciiTheme="majorBidi" w:hAnsiTheme="majorBidi" w:cstheme="majorBidi"/>
        </w:rPr>
        <w:t xml:space="preserve">do not change the profitability of anti-competitive conduct in any way. </w:t>
      </w:r>
      <w:r w:rsidR="00CB5E04">
        <w:rPr>
          <w:rFonts w:asciiTheme="majorBidi" w:hAnsiTheme="majorBidi" w:cstheme="majorBidi"/>
        </w:rPr>
        <w:t xml:space="preserve">A shareholder holding 2% of the equity of a single firm in the industry benefits from coordination </w:t>
      </w:r>
      <w:r w:rsidR="00DD69E0">
        <w:rPr>
          <w:rFonts w:asciiTheme="majorBidi" w:hAnsiTheme="majorBidi" w:cstheme="majorBidi"/>
        </w:rPr>
        <w:t xml:space="preserve">between that firm and its competitor </w:t>
      </w:r>
      <w:r w:rsidR="00CB5E04">
        <w:rPr>
          <w:rFonts w:asciiTheme="majorBidi" w:hAnsiTheme="majorBidi" w:cstheme="majorBidi"/>
        </w:rPr>
        <w:t>exactly as a shareholder holding 1% of the equity of the same firm and 1% of the competitor’s equity does.</w:t>
      </w:r>
      <w:r w:rsidRPr="00433908">
        <w:rPr>
          <w:rFonts w:asciiTheme="majorBidi" w:hAnsiTheme="majorBidi" w:cstheme="majorBidi"/>
        </w:rPr>
        <w:t xml:space="preserve"> </w:t>
      </w:r>
      <w:r w:rsidR="001A0A66" w:rsidRPr="00433908">
        <w:rPr>
          <w:rFonts w:asciiTheme="majorBidi" w:hAnsiTheme="majorBidi" w:cstheme="majorBidi"/>
        </w:rPr>
        <w:t xml:space="preserve">And indeed, the literature has </w:t>
      </w:r>
      <w:r w:rsidR="001C3CBE" w:rsidRPr="00433908">
        <w:rPr>
          <w:rFonts w:asciiTheme="majorBidi" w:hAnsiTheme="majorBidi" w:cstheme="majorBidi"/>
        </w:rPr>
        <w:t xml:space="preserve">suggested that compensation plans of this sort may bring about </w:t>
      </w:r>
      <w:r w:rsidR="00CB5E04">
        <w:rPr>
          <w:rFonts w:asciiTheme="majorBidi" w:hAnsiTheme="majorBidi" w:cstheme="majorBidi"/>
        </w:rPr>
        <w:t>explicit coordination</w:t>
      </w:r>
      <w:r w:rsidR="00DD69E0">
        <w:rPr>
          <w:rFonts w:asciiTheme="majorBidi" w:hAnsiTheme="majorBidi" w:cstheme="majorBidi"/>
        </w:rPr>
        <w:t xml:space="preserve"> as a general matter, regardless of cross ownership</w:t>
      </w:r>
      <w:r w:rsidR="00CB5E04">
        <w:rPr>
          <w:rFonts w:asciiTheme="majorBidi" w:hAnsiTheme="majorBidi" w:cstheme="majorBidi"/>
        </w:rPr>
        <w:t>.</w:t>
      </w:r>
      <w:r w:rsidR="00CB5E04" w:rsidRPr="00433908">
        <w:rPr>
          <w:rStyle w:val="FootnoteReference"/>
          <w:rFonts w:asciiTheme="majorBidi" w:hAnsiTheme="majorBidi" w:cstheme="majorBidi"/>
        </w:rPr>
        <w:footnoteReference w:id="86"/>
      </w:r>
      <w:r w:rsidR="00CB5E04">
        <w:rPr>
          <w:rFonts w:asciiTheme="majorBidi" w:hAnsiTheme="majorBidi" w:cstheme="majorBidi"/>
        </w:rPr>
        <w:t xml:space="preserve"> </w:t>
      </w:r>
      <w:r w:rsidRPr="00433908">
        <w:rPr>
          <w:rFonts w:asciiTheme="majorBidi" w:hAnsiTheme="majorBidi" w:cstheme="majorBidi"/>
        </w:rPr>
        <w:t xml:space="preserve">Cross ownership and unilateral coordination are not </w:t>
      </w:r>
      <w:r w:rsidR="00CB5E04">
        <w:rPr>
          <w:rFonts w:asciiTheme="majorBidi" w:hAnsiTheme="majorBidi" w:cstheme="majorBidi"/>
        </w:rPr>
        <w:t>required for this analysis to hold</w:t>
      </w:r>
      <w:r w:rsidR="00DE4136" w:rsidRPr="00433908">
        <w:rPr>
          <w:rFonts w:asciiTheme="majorBidi" w:hAnsiTheme="majorBidi" w:cstheme="majorBidi"/>
        </w:rPr>
        <w:t>.</w:t>
      </w:r>
    </w:p>
    <w:p w14:paraId="05A33E5A" w14:textId="77777777" w:rsidR="00DE4136" w:rsidRPr="00433908" w:rsidRDefault="00DE4136" w:rsidP="00DE7FE0">
      <w:pPr>
        <w:jc w:val="both"/>
        <w:rPr>
          <w:rFonts w:asciiTheme="majorBidi" w:hAnsiTheme="majorBidi" w:cstheme="majorBidi"/>
        </w:rPr>
      </w:pPr>
    </w:p>
    <w:p w14:paraId="15D5F4F5" w14:textId="20737D0F" w:rsidR="00F1382A" w:rsidRPr="00433908" w:rsidRDefault="00626B8F" w:rsidP="00DD69E0">
      <w:pPr>
        <w:jc w:val="both"/>
        <w:rPr>
          <w:rFonts w:asciiTheme="majorBidi" w:hAnsiTheme="majorBidi" w:cstheme="majorBidi"/>
        </w:rPr>
      </w:pPr>
      <w:r w:rsidRPr="00433908">
        <w:rPr>
          <w:rFonts w:asciiTheme="majorBidi" w:hAnsiTheme="majorBidi" w:cstheme="majorBidi"/>
        </w:rPr>
        <w:t xml:space="preserve">It is beyond the scope of this Paper to recommend a specific rule to be applied to </w:t>
      </w:r>
      <w:r w:rsidR="00421306" w:rsidRPr="00433908">
        <w:rPr>
          <w:rFonts w:asciiTheme="majorBidi" w:hAnsiTheme="majorBidi" w:cstheme="majorBidi"/>
        </w:rPr>
        <w:t xml:space="preserve">possible compensation plans that </w:t>
      </w:r>
      <w:r w:rsidRPr="00433908">
        <w:rPr>
          <w:rFonts w:asciiTheme="majorBidi" w:hAnsiTheme="majorBidi" w:cstheme="majorBidi"/>
        </w:rPr>
        <w:t xml:space="preserve">link managers’ compensation to the performance of other firms. Devising such a rule requires a comprehensive analysis of the potential welfare-enhancing effects of such </w:t>
      </w:r>
      <w:r w:rsidR="00DE7FE0" w:rsidRPr="00433908">
        <w:rPr>
          <w:rFonts w:asciiTheme="majorBidi" w:hAnsiTheme="majorBidi" w:cstheme="majorBidi"/>
        </w:rPr>
        <w:t>compensation plans</w:t>
      </w:r>
      <w:r w:rsidRPr="00433908">
        <w:rPr>
          <w:rFonts w:asciiTheme="majorBidi" w:hAnsiTheme="majorBidi" w:cstheme="majorBidi"/>
        </w:rPr>
        <w:t>,</w:t>
      </w:r>
      <w:r w:rsidRPr="00433908">
        <w:rPr>
          <w:rStyle w:val="FootnoteReference"/>
          <w:rFonts w:asciiTheme="majorBidi" w:hAnsiTheme="majorBidi" w:cstheme="majorBidi"/>
        </w:rPr>
        <w:footnoteReference w:id="87"/>
      </w:r>
      <w:r w:rsidRPr="00433908">
        <w:rPr>
          <w:rFonts w:asciiTheme="majorBidi" w:hAnsiTheme="majorBidi" w:cstheme="majorBidi"/>
        </w:rPr>
        <w:t xml:space="preserve"> after which these effects may be balanced against the clear anti-competitive effects of the </w:t>
      </w:r>
      <w:r w:rsidR="00DD69E0">
        <w:rPr>
          <w:rFonts w:asciiTheme="majorBidi" w:hAnsiTheme="majorBidi" w:cstheme="majorBidi"/>
        </w:rPr>
        <w:t>plans</w:t>
      </w:r>
      <w:r w:rsidRPr="00433908">
        <w:rPr>
          <w:rFonts w:asciiTheme="majorBidi" w:hAnsiTheme="majorBidi" w:cstheme="majorBidi"/>
        </w:rPr>
        <w:t xml:space="preserve">. A </w:t>
      </w:r>
      <w:r w:rsidRPr="00433908">
        <w:rPr>
          <w:rFonts w:asciiTheme="majorBidi" w:hAnsiTheme="majorBidi" w:cstheme="majorBidi"/>
          <w:i/>
          <w:iCs/>
        </w:rPr>
        <w:t>per se</w:t>
      </w:r>
      <w:r w:rsidRPr="00433908">
        <w:rPr>
          <w:rFonts w:asciiTheme="majorBidi" w:hAnsiTheme="majorBidi" w:cstheme="majorBidi"/>
        </w:rPr>
        <w:t xml:space="preserve"> illegality rule may be appropriate, and a rule of reason may be appropriate (if enough welfare-enhancing effect</w:t>
      </w:r>
      <w:r w:rsidR="00CB5E04">
        <w:rPr>
          <w:rFonts w:asciiTheme="majorBidi" w:hAnsiTheme="majorBidi" w:cstheme="majorBidi"/>
        </w:rPr>
        <w:t>s</w:t>
      </w:r>
      <w:r w:rsidRPr="00433908">
        <w:rPr>
          <w:rFonts w:asciiTheme="majorBidi" w:hAnsiTheme="majorBidi" w:cstheme="majorBidi"/>
        </w:rPr>
        <w:t xml:space="preserve"> are identified), specifically when the industry-performance-dependent component of compensation is trivial. For current purposes, it suffices to acknowledge that </w:t>
      </w:r>
      <w:r w:rsidR="00DE4136" w:rsidRPr="00433908">
        <w:rPr>
          <w:rFonts w:asciiTheme="majorBidi" w:hAnsiTheme="majorBidi" w:cstheme="majorBidi"/>
        </w:rPr>
        <w:t>although it does not incentivi</w:t>
      </w:r>
      <w:r w:rsidR="00FF04EF" w:rsidRPr="00433908">
        <w:rPr>
          <w:rFonts w:asciiTheme="majorBidi" w:hAnsiTheme="majorBidi" w:cstheme="majorBidi"/>
        </w:rPr>
        <w:t xml:space="preserve">ze unilateral coordination, </w:t>
      </w:r>
      <w:r w:rsidRPr="00433908">
        <w:rPr>
          <w:rFonts w:asciiTheme="majorBidi" w:hAnsiTheme="majorBidi" w:cstheme="majorBidi"/>
        </w:rPr>
        <w:t xml:space="preserve">linking managers’ compensation to the performance of competing firms </w:t>
      </w:r>
      <w:r w:rsidR="00CB5E04">
        <w:rPr>
          <w:rFonts w:asciiTheme="majorBidi" w:hAnsiTheme="majorBidi" w:cstheme="majorBidi"/>
        </w:rPr>
        <w:t xml:space="preserve">by granting them stock or options </w:t>
      </w:r>
      <w:r w:rsidR="009D7A10">
        <w:rPr>
          <w:rFonts w:asciiTheme="majorBidi" w:hAnsiTheme="majorBidi" w:cstheme="majorBidi"/>
        </w:rPr>
        <w:t xml:space="preserve">of the firm they manage </w:t>
      </w:r>
      <w:r w:rsidRPr="00433908">
        <w:rPr>
          <w:rFonts w:asciiTheme="majorBidi" w:hAnsiTheme="majorBidi" w:cstheme="majorBidi"/>
        </w:rPr>
        <w:t xml:space="preserve">is undoubtedly a mechanism through which shareholders’ </w:t>
      </w:r>
      <w:r w:rsidR="00FF04EF" w:rsidRPr="00433908">
        <w:rPr>
          <w:rFonts w:asciiTheme="majorBidi" w:hAnsiTheme="majorBidi" w:cstheme="majorBidi"/>
        </w:rPr>
        <w:t xml:space="preserve">(not necessarily cross-owners’) </w:t>
      </w:r>
      <w:r w:rsidRPr="00433908">
        <w:rPr>
          <w:rFonts w:asciiTheme="majorBidi" w:hAnsiTheme="majorBidi" w:cstheme="majorBidi"/>
        </w:rPr>
        <w:t>incentives to inhibit competition trickle down to management.</w:t>
      </w:r>
      <w:r w:rsidR="00A92617" w:rsidRPr="00433908">
        <w:rPr>
          <w:rFonts w:asciiTheme="majorBidi" w:hAnsiTheme="majorBidi" w:cstheme="majorBidi"/>
        </w:rPr>
        <w:t xml:space="preserve"> </w:t>
      </w:r>
      <w:r w:rsidR="009D7A10">
        <w:rPr>
          <w:rFonts w:asciiTheme="majorBidi" w:hAnsiTheme="majorBidi" w:cstheme="majorBidi"/>
        </w:rPr>
        <w:t>Detached from unilateral coordination, a</w:t>
      </w:r>
      <w:r w:rsidR="00A92617" w:rsidRPr="00433908">
        <w:rPr>
          <w:rFonts w:asciiTheme="majorBidi" w:hAnsiTheme="majorBidi" w:cstheme="majorBidi"/>
        </w:rPr>
        <w:t>ntitrust law should indeed deal with the phenomenon, much like it deals with the acquisition of competitors’ stock</w:t>
      </w:r>
      <w:r w:rsidR="009D7A10">
        <w:rPr>
          <w:rFonts w:asciiTheme="majorBidi" w:hAnsiTheme="majorBidi" w:cstheme="majorBidi"/>
        </w:rPr>
        <w:t>.</w:t>
      </w:r>
    </w:p>
    <w:p w14:paraId="0D48979E" w14:textId="77777777" w:rsidR="00387BE8" w:rsidRPr="00433908" w:rsidRDefault="00387BE8" w:rsidP="005B7D5E">
      <w:pPr>
        <w:jc w:val="both"/>
        <w:rPr>
          <w:rFonts w:asciiTheme="majorBidi" w:hAnsiTheme="majorBidi" w:cstheme="majorBidi"/>
        </w:rPr>
      </w:pPr>
    </w:p>
    <w:p w14:paraId="00D1199D" w14:textId="77777777" w:rsidR="009D7A10" w:rsidRDefault="00DC132A" w:rsidP="0081376C">
      <w:pPr>
        <w:jc w:val="both"/>
        <w:rPr>
          <w:rFonts w:asciiTheme="majorBidi" w:hAnsiTheme="majorBidi" w:cstheme="majorBidi"/>
        </w:rPr>
      </w:pPr>
      <w:r w:rsidRPr="00433908">
        <w:rPr>
          <w:rFonts w:asciiTheme="majorBidi" w:hAnsiTheme="majorBidi" w:cstheme="majorBidi"/>
        </w:rPr>
        <w:t>I now turn to analyze additional mechanisms suggested in the literature</w:t>
      </w:r>
      <w:r w:rsidR="008C0625" w:rsidRPr="00433908">
        <w:rPr>
          <w:rFonts w:asciiTheme="majorBidi" w:hAnsiTheme="majorBidi" w:cstheme="majorBidi"/>
        </w:rPr>
        <w:t xml:space="preserve"> </w:t>
      </w:r>
      <w:r w:rsidR="001E1478" w:rsidRPr="00433908">
        <w:rPr>
          <w:rFonts w:asciiTheme="majorBidi" w:hAnsiTheme="majorBidi" w:cstheme="majorBidi"/>
        </w:rPr>
        <w:t xml:space="preserve">as mechanisms </w:t>
      </w:r>
      <w:r w:rsidR="008C0625" w:rsidRPr="00433908">
        <w:rPr>
          <w:rFonts w:asciiTheme="majorBidi" w:hAnsiTheme="majorBidi" w:cstheme="majorBidi"/>
        </w:rPr>
        <w:t>that may incentivize management to manage the firm in a self-harming manner, for the benefit of non-controlling, passive, cross owners</w:t>
      </w:r>
      <w:r w:rsidRPr="00433908">
        <w:rPr>
          <w:rFonts w:asciiTheme="majorBidi" w:hAnsiTheme="majorBidi" w:cstheme="majorBidi"/>
        </w:rPr>
        <w:t>.</w:t>
      </w:r>
    </w:p>
    <w:p w14:paraId="1E8EEFD8" w14:textId="70D05A39" w:rsidR="00AE151B" w:rsidRPr="00433908" w:rsidRDefault="00DC132A" w:rsidP="0081376C">
      <w:pPr>
        <w:jc w:val="both"/>
        <w:rPr>
          <w:rFonts w:asciiTheme="majorBidi" w:hAnsiTheme="majorBidi" w:cstheme="majorBidi"/>
        </w:rPr>
      </w:pPr>
      <w:r w:rsidRPr="00433908">
        <w:rPr>
          <w:rFonts w:asciiTheme="majorBidi" w:hAnsiTheme="majorBidi" w:cstheme="majorBidi"/>
        </w:rPr>
        <w:t xml:space="preserve"> </w:t>
      </w:r>
    </w:p>
    <w:p w14:paraId="34619C86" w14:textId="77777777" w:rsidR="00BD4DFA" w:rsidRPr="00433908" w:rsidRDefault="00BD4DFA" w:rsidP="00BD4DFA">
      <w:pPr>
        <w:jc w:val="both"/>
        <w:rPr>
          <w:rFonts w:asciiTheme="majorBidi" w:hAnsiTheme="majorBidi" w:cstheme="majorBidi"/>
        </w:rPr>
      </w:pPr>
    </w:p>
    <w:p w14:paraId="5F4DE4FB" w14:textId="6251BC56" w:rsidR="00A92617" w:rsidRPr="00433908" w:rsidRDefault="0081376C" w:rsidP="00E0538F">
      <w:pPr>
        <w:pStyle w:val="Heading2"/>
        <w:ind w:left="1418" w:hanging="992"/>
      </w:pPr>
      <w:r w:rsidRPr="00433908">
        <w:t xml:space="preserve">Future </w:t>
      </w:r>
      <w:r w:rsidR="002D2C9B">
        <w:t xml:space="preserve">External </w:t>
      </w:r>
      <w:r w:rsidR="00392337" w:rsidRPr="00433908">
        <w:t>Remuneration</w:t>
      </w:r>
    </w:p>
    <w:p w14:paraId="4CABF65F" w14:textId="77777777" w:rsidR="00AC5392" w:rsidRPr="00433908" w:rsidRDefault="00AC5392" w:rsidP="00E55DE1">
      <w:pPr>
        <w:jc w:val="both"/>
        <w:rPr>
          <w:rFonts w:asciiTheme="majorBidi" w:hAnsiTheme="majorBidi" w:cstheme="majorBidi"/>
        </w:rPr>
      </w:pPr>
    </w:p>
    <w:p w14:paraId="380B74DC" w14:textId="36C8B42E" w:rsidR="00AC5392" w:rsidRPr="00433908" w:rsidRDefault="00AC5392" w:rsidP="00DD69E0">
      <w:pPr>
        <w:jc w:val="both"/>
        <w:rPr>
          <w:rFonts w:asciiTheme="majorBidi" w:hAnsiTheme="majorBidi" w:cstheme="majorBidi"/>
        </w:rPr>
      </w:pPr>
      <w:r w:rsidRPr="00433908">
        <w:rPr>
          <w:rFonts w:asciiTheme="majorBidi" w:hAnsiTheme="majorBidi" w:cstheme="majorBidi"/>
        </w:rPr>
        <w:t xml:space="preserve">The term ‘future </w:t>
      </w:r>
      <w:r w:rsidR="009D7A10">
        <w:rPr>
          <w:rFonts w:asciiTheme="majorBidi" w:hAnsiTheme="majorBidi" w:cstheme="majorBidi"/>
        </w:rPr>
        <w:t>e</w:t>
      </w:r>
      <w:r w:rsidR="002D2C9B">
        <w:rPr>
          <w:rFonts w:asciiTheme="majorBidi" w:hAnsiTheme="majorBidi" w:cstheme="majorBidi"/>
        </w:rPr>
        <w:t xml:space="preserve">xternal </w:t>
      </w:r>
      <w:r w:rsidR="00392337" w:rsidRPr="00433908">
        <w:rPr>
          <w:rFonts w:asciiTheme="majorBidi" w:hAnsiTheme="majorBidi" w:cstheme="majorBidi"/>
        </w:rPr>
        <w:t>remuneration</w:t>
      </w:r>
      <w:r w:rsidRPr="00433908">
        <w:rPr>
          <w:rFonts w:asciiTheme="majorBidi" w:hAnsiTheme="majorBidi" w:cstheme="majorBidi"/>
        </w:rPr>
        <w:t>’</w:t>
      </w:r>
      <w:r w:rsidR="00392337" w:rsidRPr="00433908">
        <w:rPr>
          <w:rFonts w:asciiTheme="majorBidi" w:hAnsiTheme="majorBidi" w:cstheme="majorBidi"/>
        </w:rPr>
        <w:t>, as used here,</w:t>
      </w:r>
      <w:r w:rsidRPr="00433908">
        <w:rPr>
          <w:rFonts w:asciiTheme="majorBidi" w:hAnsiTheme="majorBidi" w:cstheme="majorBidi"/>
        </w:rPr>
        <w:t xml:space="preserve"> refer</w:t>
      </w:r>
      <w:r w:rsidR="00392337" w:rsidRPr="00433908">
        <w:rPr>
          <w:rFonts w:asciiTheme="majorBidi" w:hAnsiTheme="majorBidi" w:cstheme="majorBidi"/>
        </w:rPr>
        <w:t>s</w:t>
      </w:r>
      <w:r w:rsidR="004D5C81" w:rsidRPr="00433908">
        <w:rPr>
          <w:rFonts w:asciiTheme="majorBidi" w:hAnsiTheme="majorBidi" w:cstheme="majorBidi"/>
        </w:rPr>
        <w:t xml:space="preserve"> to consideration that </w:t>
      </w:r>
      <w:r w:rsidR="00AE5BFD" w:rsidRPr="00433908">
        <w:rPr>
          <w:rFonts w:asciiTheme="majorBidi" w:hAnsiTheme="majorBidi" w:cstheme="majorBidi"/>
        </w:rPr>
        <w:t xml:space="preserve">does not take the form </w:t>
      </w:r>
      <w:r w:rsidR="004D5C81" w:rsidRPr="00433908">
        <w:rPr>
          <w:rFonts w:asciiTheme="majorBidi" w:hAnsiTheme="majorBidi" w:cstheme="majorBidi"/>
        </w:rPr>
        <w:t xml:space="preserve">of </w:t>
      </w:r>
      <w:r w:rsidR="00AE5BFD" w:rsidRPr="00433908">
        <w:rPr>
          <w:rFonts w:asciiTheme="majorBidi" w:hAnsiTheme="majorBidi" w:cstheme="majorBidi"/>
        </w:rPr>
        <w:t>supporting manage</w:t>
      </w:r>
      <w:r w:rsidR="00884AB4">
        <w:rPr>
          <w:rFonts w:asciiTheme="majorBidi" w:hAnsiTheme="majorBidi" w:cstheme="majorBidi"/>
        </w:rPr>
        <w:t>ment</w:t>
      </w:r>
      <w:r w:rsidR="00AE5BFD" w:rsidRPr="00433908">
        <w:rPr>
          <w:rFonts w:asciiTheme="majorBidi" w:hAnsiTheme="majorBidi" w:cstheme="majorBidi"/>
        </w:rPr>
        <w:t xml:space="preserve"> in future votes in the company that unilaterally coordinates. </w:t>
      </w:r>
      <w:r w:rsidR="00DD69E0">
        <w:rPr>
          <w:rFonts w:asciiTheme="majorBidi" w:hAnsiTheme="majorBidi" w:cstheme="majorBidi"/>
        </w:rPr>
        <w:t xml:space="preserve">This possibility is addressed in the next sub-chapter. In the current context, the remuneration considered </w:t>
      </w:r>
      <w:r w:rsidR="002D2C9B">
        <w:rPr>
          <w:rFonts w:asciiTheme="majorBidi" w:hAnsiTheme="majorBidi" w:cstheme="majorBidi"/>
        </w:rPr>
        <w:t xml:space="preserve">is external to the unilaterally coordinating firm. </w:t>
      </w:r>
      <w:r w:rsidR="004D5C81" w:rsidRPr="00433908">
        <w:rPr>
          <w:rFonts w:asciiTheme="majorBidi" w:hAnsiTheme="majorBidi" w:cstheme="majorBidi"/>
        </w:rPr>
        <w:t xml:space="preserve">Future </w:t>
      </w:r>
      <w:r w:rsidR="002D2C9B">
        <w:rPr>
          <w:rFonts w:asciiTheme="majorBidi" w:hAnsiTheme="majorBidi" w:cstheme="majorBidi"/>
        </w:rPr>
        <w:t xml:space="preserve">external </w:t>
      </w:r>
      <w:r w:rsidR="004D5C81" w:rsidRPr="00433908">
        <w:rPr>
          <w:rFonts w:asciiTheme="majorBidi" w:hAnsiTheme="majorBidi" w:cstheme="majorBidi"/>
        </w:rPr>
        <w:t xml:space="preserve">remuneration may take the form of </w:t>
      </w:r>
      <w:r w:rsidRPr="00433908">
        <w:rPr>
          <w:rFonts w:asciiTheme="majorBidi" w:hAnsiTheme="majorBidi" w:cstheme="majorBidi"/>
        </w:rPr>
        <w:t xml:space="preserve">employment within the institutional investor’s </w:t>
      </w:r>
      <w:r w:rsidR="004D5C81" w:rsidRPr="00433908">
        <w:rPr>
          <w:rFonts w:asciiTheme="majorBidi" w:hAnsiTheme="majorBidi" w:cstheme="majorBidi"/>
        </w:rPr>
        <w:t>organization</w:t>
      </w:r>
      <w:r w:rsidRPr="00433908">
        <w:rPr>
          <w:rFonts w:asciiTheme="majorBidi" w:hAnsiTheme="majorBidi" w:cstheme="majorBidi"/>
        </w:rPr>
        <w:t xml:space="preserve">, future employment in other firms in which the institutional investor may have holdings, </w:t>
      </w:r>
      <w:r w:rsidR="002A015B" w:rsidRPr="00433908">
        <w:rPr>
          <w:rFonts w:asciiTheme="majorBidi" w:hAnsiTheme="majorBidi" w:cstheme="majorBidi"/>
        </w:rPr>
        <w:t xml:space="preserve">lucrative </w:t>
      </w:r>
      <w:r w:rsidR="00F811CB" w:rsidRPr="00433908">
        <w:rPr>
          <w:rFonts w:asciiTheme="majorBidi" w:hAnsiTheme="majorBidi" w:cstheme="majorBidi"/>
        </w:rPr>
        <w:t xml:space="preserve">consulting agreements, </w:t>
      </w:r>
      <w:r w:rsidRPr="00433908">
        <w:rPr>
          <w:rFonts w:asciiTheme="majorBidi" w:hAnsiTheme="majorBidi" w:cstheme="majorBidi"/>
        </w:rPr>
        <w:t xml:space="preserve">or any other form of remuneration that is detached from the </w:t>
      </w:r>
      <w:r w:rsidR="00AE5BFD" w:rsidRPr="00433908">
        <w:rPr>
          <w:rFonts w:asciiTheme="majorBidi" w:hAnsiTheme="majorBidi" w:cstheme="majorBidi"/>
        </w:rPr>
        <w:t xml:space="preserve">unilaterally coordinating </w:t>
      </w:r>
      <w:r w:rsidRPr="00433908">
        <w:rPr>
          <w:rFonts w:asciiTheme="majorBidi" w:hAnsiTheme="majorBidi" w:cstheme="majorBidi"/>
        </w:rPr>
        <w:t xml:space="preserve">firm. </w:t>
      </w:r>
      <w:r w:rsidR="00AE5BFD" w:rsidRPr="00433908">
        <w:rPr>
          <w:rFonts w:asciiTheme="majorBidi" w:hAnsiTheme="majorBidi" w:cstheme="majorBidi"/>
        </w:rPr>
        <w:t xml:space="preserve">While from the manager’s perspective there may be little </w:t>
      </w:r>
      <w:r w:rsidR="00AE5BFD" w:rsidRPr="00433908">
        <w:rPr>
          <w:rFonts w:asciiTheme="majorBidi" w:hAnsiTheme="majorBidi" w:cstheme="majorBidi"/>
        </w:rPr>
        <w:lastRenderedPageBreak/>
        <w:t>difference between the two forms of consideration</w:t>
      </w:r>
      <w:r w:rsidR="00884AB4">
        <w:rPr>
          <w:rFonts w:asciiTheme="majorBidi" w:hAnsiTheme="majorBidi" w:cstheme="majorBidi"/>
        </w:rPr>
        <w:t xml:space="preserve"> (remuneration that is external to the unilaterally coordinating firm and support in future votes)</w:t>
      </w:r>
      <w:r w:rsidR="00AE5BFD" w:rsidRPr="00433908">
        <w:rPr>
          <w:rFonts w:asciiTheme="majorBidi" w:hAnsiTheme="majorBidi" w:cstheme="majorBidi"/>
        </w:rPr>
        <w:t xml:space="preserve">, for purposes of the current analysis </w:t>
      </w:r>
      <w:r w:rsidR="009D7A10">
        <w:rPr>
          <w:rFonts w:asciiTheme="majorBidi" w:hAnsiTheme="majorBidi" w:cstheme="majorBidi"/>
        </w:rPr>
        <w:t>it is helpful to deal with the two forms separately</w:t>
      </w:r>
      <w:r w:rsidR="00AE5BFD" w:rsidRPr="00433908">
        <w:rPr>
          <w:rFonts w:asciiTheme="majorBidi" w:hAnsiTheme="majorBidi" w:cstheme="majorBidi"/>
        </w:rPr>
        <w:t xml:space="preserve">. </w:t>
      </w:r>
      <w:r w:rsidRPr="00433908">
        <w:rPr>
          <w:rFonts w:asciiTheme="majorBidi" w:hAnsiTheme="majorBidi" w:cstheme="majorBidi"/>
        </w:rPr>
        <w:t xml:space="preserve">The possibility of future consideration in the form of support in future votes is </w:t>
      </w:r>
      <w:r w:rsidR="00884AB4">
        <w:rPr>
          <w:rFonts w:asciiTheme="majorBidi" w:hAnsiTheme="majorBidi" w:cstheme="majorBidi"/>
        </w:rPr>
        <w:t xml:space="preserve">therefore </w:t>
      </w:r>
      <w:r w:rsidRPr="00433908">
        <w:rPr>
          <w:rFonts w:asciiTheme="majorBidi" w:hAnsiTheme="majorBidi" w:cstheme="majorBidi"/>
        </w:rPr>
        <w:t>discussed subsequently.</w:t>
      </w:r>
    </w:p>
    <w:p w14:paraId="6EC7B179" w14:textId="6B254B03" w:rsidR="00A92617" w:rsidRPr="00433908" w:rsidRDefault="00A92617" w:rsidP="00AC5392">
      <w:pPr>
        <w:jc w:val="both"/>
        <w:rPr>
          <w:rFonts w:asciiTheme="majorBidi" w:hAnsiTheme="majorBidi" w:cstheme="majorBidi"/>
        </w:rPr>
      </w:pPr>
    </w:p>
    <w:p w14:paraId="4E0383AC" w14:textId="10BB91B4" w:rsidR="00FE5B69" w:rsidRPr="00433908" w:rsidRDefault="00A92617" w:rsidP="00AC5392">
      <w:pPr>
        <w:jc w:val="both"/>
        <w:rPr>
          <w:rFonts w:asciiTheme="majorBidi" w:hAnsiTheme="majorBidi" w:cstheme="majorBidi"/>
        </w:rPr>
      </w:pPr>
      <w:r w:rsidRPr="00433908">
        <w:rPr>
          <w:rFonts w:asciiTheme="majorBidi" w:hAnsiTheme="majorBidi" w:cstheme="majorBidi"/>
        </w:rPr>
        <w:t>At the outset, r</w:t>
      </w:r>
      <w:r w:rsidR="00AE151B" w:rsidRPr="00433908">
        <w:rPr>
          <w:rFonts w:asciiTheme="majorBidi" w:hAnsiTheme="majorBidi" w:cstheme="majorBidi"/>
        </w:rPr>
        <w:t>ecall</w:t>
      </w:r>
      <w:r w:rsidR="00BF2FF3" w:rsidRPr="00433908">
        <w:rPr>
          <w:rFonts w:asciiTheme="majorBidi" w:hAnsiTheme="majorBidi" w:cstheme="majorBidi"/>
        </w:rPr>
        <w:t xml:space="preserve"> once again</w:t>
      </w:r>
      <w:r w:rsidR="00AE151B" w:rsidRPr="00433908">
        <w:rPr>
          <w:rFonts w:asciiTheme="majorBidi" w:hAnsiTheme="majorBidi" w:cstheme="majorBidi"/>
        </w:rPr>
        <w:t xml:space="preserve">, that absent coordination with competing firms, serving the </w:t>
      </w:r>
      <w:r w:rsidR="00DF26AC" w:rsidRPr="00433908">
        <w:rPr>
          <w:rFonts w:asciiTheme="majorBidi" w:hAnsiTheme="majorBidi" w:cstheme="majorBidi"/>
        </w:rPr>
        <w:t>institutional investor’s</w:t>
      </w:r>
      <w:r w:rsidR="00AE151B" w:rsidRPr="00433908">
        <w:rPr>
          <w:rFonts w:asciiTheme="majorBidi" w:hAnsiTheme="majorBidi" w:cstheme="majorBidi"/>
        </w:rPr>
        <w:t xml:space="preserve"> (or </w:t>
      </w:r>
      <w:r w:rsidR="00DF26AC" w:rsidRPr="00433908">
        <w:rPr>
          <w:rFonts w:asciiTheme="majorBidi" w:hAnsiTheme="majorBidi" w:cstheme="majorBidi"/>
        </w:rPr>
        <w:t>institutional investors’</w:t>
      </w:r>
      <w:r w:rsidR="00AE151B" w:rsidRPr="00433908">
        <w:rPr>
          <w:rFonts w:asciiTheme="majorBidi" w:hAnsiTheme="majorBidi" w:cstheme="majorBidi"/>
        </w:rPr>
        <w:t xml:space="preserve">) interests requires foregoing profit. </w:t>
      </w:r>
      <w:r w:rsidR="00A17758" w:rsidRPr="00433908">
        <w:rPr>
          <w:rFonts w:asciiTheme="majorBidi" w:hAnsiTheme="majorBidi" w:cstheme="majorBidi"/>
        </w:rPr>
        <w:t>This, in turn, implies that managers are breaching their fiduciary obligations to all other shareholders</w:t>
      </w:r>
      <w:r w:rsidR="00DF26AC" w:rsidRPr="00433908">
        <w:rPr>
          <w:rFonts w:asciiTheme="majorBidi" w:hAnsiTheme="majorBidi" w:cstheme="majorBidi"/>
        </w:rPr>
        <w:t xml:space="preserve"> (and other stakeholders, if such a fiduciary duty is owed</w:t>
      </w:r>
      <w:r w:rsidR="00DF26AC" w:rsidRPr="00433908">
        <w:rPr>
          <w:rStyle w:val="FootnoteReference"/>
          <w:rFonts w:asciiTheme="majorBidi" w:hAnsiTheme="majorBidi" w:cstheme="majorBidi"/>
        </w:rPr>
        <w:footnoteReference w:id="88"/>
      </w:r>
      <w:r w:rsidR="00DF26AC" w:rsidRPr="00433908">
        <w:rPr>
          <w:rFonts w:asciiTheme="majorBidi" w:hAnsiTheme="majorBidi" w:cstheme="majorBidi"/>
        </w:rPr>
        <w:t>)</w:t>
      </w:r>
      <w:r w:rsidR="00A17758" w:rsidRPr="00433908">
        <w:rPr>
          <w:rFonts w:asciiTheme="majorBidi" w:hAnsiTheme="majorBidi" w:cstheme="majorBidi"/>
        </w:rPr>
        <w:t xml:space="preserve">. They are simply </w:t>
      </w:r>
      <w:r w:rsidR="00C27508" w:rsidRPr="00433908">
        <w:rPr>
          <w:rFonts w:asciiTheme="majorBidi" w:hAnsiTheme="majorBidi" w:cstheme="majorBidi"/>
        </w:rPr>
        <w:t>t</w:t>
      </w:r>
      <w:r w:rsidR="00A17758" w:rsidRPr="00433908">
        <w:rPr>
          <w:rFonts w:asciiTheme="majorBidi" w:hAnsiTheme="majorBidi" w:cstheme="majorBidi"/>
        </w:rPr>
        <w:t>unneling</w:t>
      </w:r>
      <w:r w:rsidR="00C27508" w:rsidRPr="00433908">
        <w:rPr>
          <w:rStyle w:val="FootnoteReference"/>
          <w:rFonts w:asciiTheme="majorBidi" w:hAnsiTheme="majorBidi" w:cstheme="majorBidi"/>
        </w:rPr>
        <w:footnoteReference w:id="89"/>
      </w:r>
      <w:r w:rsidR="00A17758" w:rsidRPr="00433908">
        <w:rPr>
          <w:rFonts w:asciiTheme="majorBidi" w:hAnsiTheme="majorBidi" w:cstheme="majorBidi"/>
        </w:rPr>
        <w:t xml:space="preserve"> profits from the firm to the </w:t>
      </w:r>
      <w:r w:rsidR="00DF26AC" w:rsidRPr="00433908">
        <w:rPr>
          <w:rFonts w:asciiTheme="majorBidi" w:hAnsiTheme="majorBidi" w:cstheme="majorBidi"/>
        </w:rPr>
        <w:t xml:space="preserve">institutional </w:t>
      </w:r>
      <w:r w:rsidR="00A17758" w:rsidRPr="00433908">
        <w:rPr>
          <w:rFonts w:asciiTheme="majorBidi" w:hAnsiTheme="majorBidi" w:cstheme="majorBidi"/>
        </w:rPr>
        <w:t>shareholder,</w:t>
      </w:r>
      <w:bookmarkStart w:id="22" w:name="_Ref496809447"/>
      <w:r w:rsidR="00BD4DFA" w:rsidRPr="00433908">
        <w:rPr>
          <w:rStyle w:val="FootnoteReference"/>
          <w:rFonts w:asciiTheme="majorBidi" w:hAnsiTheme="majorBidi" w:cstheme="majorBidi"/>
        </w:rPr>
        <w:footnoteReference w:id="90"/>
      </w:r>
      <w:bookmarkEnd w:id="22"/>
      <w:r w:rsidR="00A17758" w:rsidRPr="00433908">
        <w:rPr>
          <w:rFonts w:asciiTheme="majorBidi" w:hAnsiTheme="majorBidi" w:cstheme="majorBidi"/>
        </w:rPr>
        <w:t xml:space="preserve"> </w:t>
      </w:r>
      <w:r w:rsidR="00AC255D" w:rsidRPr="00433908">
        <w:rPr>
          <w:rFonts w:asciiTheme="majorBidi" w:hAnsiTheme="majorBidi" w:cstheme="majorBidi"/>
        </w:rPr>
        <w:t xml:space="preserve">and </w:t>
      </w:r>
      <w:r w:rsidR="00B72638" w:rsidRPr="00433908">
        <w:rPr>
          <w:rFonts w:asciiTheme="majorBidi" w:hAnsiTheme="majorBidi" w:cstheme="majorBidi"/>
        </w:rPr>
        <w:t xml:space="preserve">consequently </w:t>
      </w:r>
      <w:r w:rsidR="00A17758" w:rsidRPr="00433908">
        <w:rPr>
          <w:rFonts w:asciiTheme="majorBidi" w:hAnsiTheme="majorBidi" w:cstheme="majorBidi"/>
        </w:rPr>
        <w:t>bearing the risk of civil lawsuits and</w:t>
      </w:r>
      <w:r w:rsidR="00EB0A51" w:rsidRPr="00433908">
        <w:rPr>
          <w:rFonts w:asciiTheme="majorBidi" w:hAnsiTheme="majorBidi" w:cstheme="majorBidi"/>
        </w:rPr>
        <w:t>, at times,</w:t>
      </w:r>
      <w:r w:rsidR="00A17758" w:rsidRPr="00433908">
        <w:rPr>
          <w:rFonts w:asciiTheme="majorBidi" w:hAnsiTheme="majorBidi" w:cstheme="majorBidi"/>
        </w:rPr>
        <w:t xml:space="preserve"> criminal proceedings</w:t>
      </w:r>
      <w:r w:rsidR="00EB0A51" w:rsidRPr="00433908">
        <w:rPr>
          <w:rFonts w:asciiTheme="majorBidi" w:hAnsiTheme="majorBidi" w:cstheme="majorBidi"/>
        </w:rPr>
        <w:t>,</w:t>
      </w:r>
      <w:r w:rsidR="00A17758" w:rsidRPr="00433908">
        <w:rPr>
          <w:rFonts w:asciiTheme="majorBidi" w:hAnsiTheme="majorBidi" w:cstheme="majorBidi"/>
        </w:rPr>
        <w:t xml:space="preserve"> with no immed</w:t>
      </w:r>
      <w:r w:rsidR="00473BA8" w:rsidRPr="00433908">
        <w:rPr>
          <w:rFonts w:asciiTheme="majorBidi" w:hAnsiTheme="majorBidi" w:cstheme="majorBidi"/>
        </w:rPr>
        <w:t>iate gain.</w:t>
      </w:r>
      <w:bookmarkStart w:id="23" w:name="_Ref492805243"/>
      <w:r w:rsidR="00EB0A51" w:rsidRPr="00433908">
        <w:rPr>
          <w:rStyle w:val="FootnoteReference"/>
          <w:rFonts w:asciiTheme="majorBidi" w:hAnsiTheme="majorBidi" w:cstheme="majorBidi"/>
        </w:rPr>
        <w:footnoteReference w:id="91"/>
      </w:r>
      <w:bookmarkEnd w:id="23"/>
      <w:r w:rsidR="00473BA8" w:rsidRPr="00433908">
        <w:rPr>
          <w:rFonts w:asciiTheme="majorBidi" w:hAnsiTheme="majorBidi" w:cstheme="majorBidi"/>
        </w:rPr>
        <w:t xml:space="preserve"> Moreover, if manager</w:t>
      </w:r>
      <w:r w:rsidR="00A17758" w:rsidRPr="00433908">
        <w:rPr>
          <w:rFonts w:asciiTheme="majorBidi" w:hAnsiTheme="majorBidi" w:cstheme="majorBidi"/>
        </w:rPr>
        <w:t>s</w:t>
      </w:r>
      <w:r w:rsidR="00473BA8" w:rsidRPr="00433908">
        <w:rPr>
          <w:rFonts w:asciiTheme="majorBidi" w:hAnsiTheme="majorBidi" w:cstheme="majorBidi"/>
        </w:rPr>
        <w:t>’</w:t>
      </w:r>
      <w:r w:rsidR="00A17758" w:rsidRPr="00433908">
        <w:rPr>
          <w:rFonts w:asciiTheme="majorBidi" w:hAnsiTheme="majorBidi" w:cstheme="majorBidi"/>
        </w:rPr>
        <w:t xml:space="preserve"> compensation is in any way linked to the</w:t>
      </w:r>
      <w:r w:rsidR="00AC567E" w:rsidRPr="00433908">
        <w:rPr>
          <w:rFonts w:asciiTheme="majorBidi" w:hAnsiTheme="majorBidi" w:cstheme="majorBidi"/>
        </w:rPr>
        <w:t>ir own</w:t>
      </w:r>
      <w:r w:rsidR="00A17758" w:rsidRPr="00433908">
        <w:rPr>
          <w:rFonts w:asciiTheme="majorBidi" w:hAnsiTheme="majorBidi" w:cstheme="majorBidi"/>
        </w:rPr>
        <w:t xml:space="preserve"> firm’s performance, be it through stock</w:t>
      </w:r>
      <w:r w:rsidR="00FE5B69" w:rsidRPr="00433908">
        <w:rPr>
          <w:rFonts w:asciiTheme="majorBidi" w:hAnsiTheme="majorBidi" w:cstheme="majorBidi"/>
        </w:rPr>
        <w:t>,</w:t>
      </w:r>
      <w:r w:rsidR="00A17758" w:rsidRPr="00433908">
        <w:rPr>
          <w:rFonts w:asciiTheme="majorBidi" w:hAnsiTheme="majorBidi" w:cstheme="majorBidi"/>
        </w:rPr>
        <w:t xml:space="preserve"> options, bonuses, or other compensation methods, they are in fact </w:t>
      </w:r>
      <w:r w:rsidR="00A17758" w:rsidRPr="00433908">
        <w:rPr>
          <w:rFonts w:asciiTheme="majorBidi" w:hAnsiTheme="majorBidi" w:cstheme="majorBidi"/>
          <w:i/>
          <w:iCs/>
        </w:rPr>
        <w:t>paying</w:t>
      </w:r>
      <w:r w:rsidR="00A17758" w:rsidRPr="00433908">
        <w:rPr>
          <w:rFonts w:asciiTheme="majorBidi" w:hAnsiTheme="majorBidi" w:cstheme="majorBidi"/>
        </w:rPr>
        <w:t xml:space="preserve"> </w:t>
      </w:r>
      <w:r w:rsidR="00032FBD" w:rsidRPr="00433908">
        <w:rPr>
          <w:rFonts w:asciiTheme="majorBidi" w:hAnsiTheme="majorBidi" w:cstheme="majorBidi"/>
        </w:rPr>
        <w:t>(in</w:t>
      </w:r>
      <w:r w:rsidR="00CB0567" w:rsidRPr="00433908">
        <w:rPr>
          <w:rFonts w:asciiTheme="majorBidi" w:hAnsiTheme="majorBidi" w:cstheme="majorBidi"/>
        </w:rPr>
        <w:t xml:space="preserve"> the form </w:t>
      </w:r>
      <w:r w:rsidR="00FE5B69" w:rsidRPr="00433908">
        <w:rPr>
          <w:rFonts w:asciiTheme="majorBidi" w:hAnsiTheme="majorBidi" w:cstheme="majorBidi"/>
        </w:rPr>
        <w:t>of lost compensation) for this t</w:t>
      </w:r>
      <w:r w:rsidR="00CB0567" w:rsidRPr="00433908">
        <w:rPr>
          <w:rFonts w:asciiTheme="majorBidi" w:hAnsiTheme="majorBidi" w:cstheme="majorBidi"/>
        </w:rPr>
        <w:t>unneling</w:t>
      </w:r>
      <w:r w:rsidR="00032FBD" w:rsidRPr="00433908">
        <w:rPr>
          <w:rFonts w:asciiTheme="majorBidi" w:hAnsiTheme="majorBidi" w:cstheme="majorBidi"/>
        </w:rPr>
        <w:t xml:space="preserve"> </w:t>
      </w:r>
      <w:r w:rsidR="00CB0567" w:rsidRPr="00433908">
        <w:rPr>
          <w:rFonts w:asciiTheme="majorBidi" w:hAnsiTheme="majorBidi" w:cstheme="majorBidi"/>
        </w:rPr>
        <w:t>scheme.</w:t>
      </w:r>
      <w:bookmarkStart w:id="24" w:name="_Ref500413835"/>
      <w:r w:rsidR="000C7FF0" w:rsidRPr="00433908">
        <w:rPr>
          <w:rStyle w:val="FootnoteReference"/>
          <w:rFonts w:asciiTheme="majorBidi" w:hAnsiTheme="majorBidi" w:cstheme="majorBidi"/>
        </w:rPr>
        <w:footnoteReference w:id="92"/>
      </w:r>
      <w:bookmarkEnd w:id="24"/>
      <w:r w:rsidR="00CB0567" w:rsidRPr="00433908">
        <w:rPr>
          <w:rFonts w:asciiTheme="majorBidi" w:hAnsiTheme="majorBidi" w:cstheme="majorBidi"/>
        </w:rPr>
        <w:t xml:space="preserve"> Their </w:t>
      </w:r>
      <w:r w:rsidR="00865233" w:rsidRPr="00433908">
        <w:rPr>
          <w:rFonts w:asciiTheme="majorBidi" w:hAnsiTheme="majorBidi" w:cstheme="majorBidi"/>
        </w:rPr>
        <w:t xml:space="preserve">immediate </w:t>
      </w:r>
      <w:r w:rsidR="00CB0567" w:rsidRPr="00433908">
        <w:rPr>
          <w:rFonts w:asciiTheme="majorBidi" w:hAnsiTheme="majorBidi" w:cstheme="majorBidi"/>
        </w:rPr>
        <w:t xml:space="preserve">return on this payment is </w:t>
      </w:r>
      <w:r w:rsidR="00032FBD" w:rsidRPr="00433908">
        <w:rPr>
          <w:rFonts w:asciiTheme="majorBidi" w:hAnsiTheme="majorBidi" w:cstheme="majorBidi"/>
        </w:rPr>
        <w:t>civil and criminal liability.</w:t>
      </w:r>
      <w:r w:rsidR="00865233" w:rsidRPr="00433908">
        <w:rPr>
          <w:rFonts w:asciiTheme="majorBidi" w:hAnsiTheme="majorBidi" w:cstheme="majorBidi"/>
        </w:rPr>
        <w:t xml:space="preserve"> If there is no explicit quid pro quo agreement between management and the institutional investor</w:t>
      </w:r>
      <w:r w:rsidR="00FE5B69" w:rsidRPr="00433908">
        <w:rPr>
          <w:rFonts w:asciiTheme="majorBidi" w:hAnsiTheme="majorBidi" w:cstheme="majorBidi"/>
        </w:rPr>
        <w:t>s</w:t>
      </w:r>
      <w:r w:rsidR="00865233" w:rsidRPr="00433908">
        <w:rPr>
          <w:rFonts w:asciiTheme="majorBidi" w:hAnsiTheme="majorBidi" w:cstheme="majorBidi"/>
        </w:rPr>
        <w:t xml:space="preserve"> for </w:t>
      </w:r>
      <w:r w:rsidR="00BD4DFA" w:rsidRPr="00433908">
        <w:rPr>
          <w:rFonts w:asciiTheme="majorBidi" w:hAnsiTheme="majorBidi" w:cstheme="majorBidi"/>
        </w:rPr>
        <w:t>compensation (which would be illegal),</w:t>
      </w:r>
      <w:r w:rsidR="00BD4DFA" w:rsidRPr="00433908">
        <w:rPr>
          <w:rStyle w:val="FootnoteReference"/>
          <w:rFonts w:asciiTheme="majorBidi" w:hAnsiTheme="majorBidi" w:cstheme="majorBidi"/>
        </w:rPr>
        <w:footnoteReference w:id="93"/>
      </w:r>
      <w:r w:rsidR="00865233" w:rsidRPr="00433908">
        <w:rPr>
          <w:rFonts w:asciiTheme="majorBidi" w:hAnsiTheme="majorBidi" w:cstheme="majorBidi"/>
        </w:rPr>
        <w:t xml:space="preserve"> </w:t>
      </w:r>
      <w:r w:rsidR="0030726D" w:rsidRPr="00433908">
        <w:rPr>
          <w:rFonts w:asciiTheme="majorBidi" w:hAnsiTheme="majorBidi" w:cstheme="majorBidi"/>
        </w:rPr>
        <w:t xml:space="preserve">the </w:t>
      </w:r>
      <w:r w:rsidR="008E593D" w:rsidRPr="00433908">
        <w:rPr>
          <w:rFonts w:asciiTheme="majorBidi" w:hAnsiTheme="majorBidi" w:cstheme="majorBidi"/>
        </w:rPr>
        <w:t>manager’s remuneration</w:t>
      </w:r>
      <w:r w:rsidR="00C13E5C" w:rsidRPr="00433908">
        <w:rPr>
          <w:rFonts w:asciiTheme="majorBidi" w:hAnsiTheme="majorBidi" w:cstheme="majorBidi"/>
        </w:rPr>
        <w:t xml:space="preserve"> is the shareholders</w:t>
      </w:r>
      <w:r w:rsidR="00FE5B69" w:rsidRPr="00433908">
        <w:rPr>
          <w:rFonts w:asciiTheme="majorBidi" w:hAnsiTheme="majorBidi" w:cstheme="majorBidi"/>
        </w:rPr>
        <w:t>’</w:t>
      </w:r>
      <w:r w:rsidR="00C13E5C" w:rsidRPr="00433908">
        <w:rPr>
          <w:rFonts w:asciiTheme="majorBidi" w:hAnsiTheme="majorBidi" w:cstheme="majorBidi"/>
        </w:rPr>
        <w:t xml:space="preserve"> gratitude</w:t>
      </w:r>
      <w:r w:rsidR="008E593D" w:rsidRPr="00433908">
        <w:rPr>
          <w:rFonts w:asciiTheme="majorBidi" w:hAnsiTheme="majorBidi" w:cstheme="majorBidi"/>
        </w:rPr>
        <w:t xml:space="preserve"> and the prospect of future </w:t>
      </w:r>
      <w:r w:rsidR="00C13E5C" w:rsidRPr="00433908">
        <w:rPr>
          <w:rFonts w:asciiTheme="majorBidi" w:hAnsiTheme="majorBidi" w:cstheme="majorBidi"/>
        </w:rPr>
        <w:t>consideration</w:t>
      </w:r>
      <w:r w:rsidR="008E593D" w:rsidRPr="00433908">
        <w:rPr>
          <w:rFonts w:asciiTheme="majorBidi" w:hAnsiTheme="majorBidi" w:cstheme="majorBidi"/>
        </w:rPr>
        <w:t>.</w:t>
      </w:r>
      <w:r w:rsidR="00BD4DFA" w:rsidRPr="00433908">
        <w:rPr>
          <w:rStyle w:val="FootnoteReference"/>
          <w:rFonts w:asciiTheme="majorBidi" w:hAnsiTheme="majorBidi" w:cstheme="majorBidi"/>
        </w:rPr>
        <w:footnoteReference w:id="94"/>
      </w:r>
    </w:p>
    <w:p w14:paraId="100078FB" w14:textId="77777777" w:rsidR="009D7A10" w:rsidRDefault="009D7A10" w:rsidP="002D2C9B">
      <w:pPr>
        <w:jc w:val="both"/>
        <w:rPr>
          <w:rFonts w:asciiTheme="majorBidi" w:hAnsiTheme="majorBidi" w:cstheme="majorBidi"/>
        </w:rPr>
      </w:pPr>
    </w:p>
    <w:p w14:paraId="4AFF8EB9" w14:textId="0EDCB878" w:rsidR="00355DEA" w:rsidRPr="00433908" w:rsidRDefault="008E593D" w:rsidP="002D2C9B">
      <w:pPr>
        <w:jc w:val="both"/>
        <w:rPr>
          <w:rFonts w:asciiTheme="majorBidi" w:hAnsiTheme="majorBidi" w:cstheme="majorBidi"/>
        </w:rPr>
      </w:pPr>
      <w:r w:rsidRPr="00433908">
        <w:rPr>
          <w:rFonts w:asciiTheme="majorBidi" w:hAnsiTheme="majorBidi" w:cstheme="majorBidi"/>
        </w:rPr>
        <w:t>If the shareholder is a prominent and influential figure, such gratitude may be valuable.</w:t>
      </w:r>
      <w:r w:rsidR="00EB0A51" w:rsidRPr="00433908">
        <w:rPr>
          <w:rStyle w:val="FootnoteReference"/>
          <w:rFonts w:asciiTheme="majorBidi" w:hAnsiTheme="majorBidi" w:cstheme="majorBidi"/>
        </w:rPr>
        <w:footnoteReference w:id="95"/>
      </w:r>
      <w:r w:rsidRPr="00433908">
        <w:rPr>
          <w:rFonts w:asciiTheme="majorBidi" w:hAnsiTheme="majorBidi" w:cstheme="majorBidi"/>
        </w:rPr>
        <w:t xml:space="preserve"> </w:t>
      </w:r>
      <w:r w:rsidR="00865233" w:rsidRPr="00433908">
        <w:rPr>
          <w:rFonts w:asciiTheme="majorBidi" w:hAnsiTheme="majorBidi" w:cstheme="majorBidi"/>
        </w:rPr>
        <w:t xml:space="preserve">But if this is the case, </w:t>
      </w:r>
      <w:r w:rsidR="00BD4DFA" w:rsidRPr="00433908">
        <w:rPr>
          <w:rFonts w:asciiTheme="majorBidi" w:hAnsiTheme="majorBidi" w:cstheme="majorBidi"/>
        </w:rPr>
        <w:t xml:space="preserve">unilateral coordination </w:t>
      </w:r>
      <w:r w:rsidR="00366724" w:rsidRPr="00433908">
        <w:rPr>
          <w:rFonts w:asciiTheme="majorBidi" w:hAnsiTheme="majorBidi" w:cstheme="majorBidi"/>
        </w:rPr>
        <w:t xml:space="preserve">is </w:t>
      </w:r>
      <w:r w:rsidR="005A708E" w:rsidRPr="00433908">
        <w:rPr>
          <w:rFonts w:asciiTheme="majorBidi" w:hAnsiTheme="majorBidi" w:cstheme="majorBidi"/>
        </w:rPr>
        <w:t xml:space="preserve">both </w:t>
      </w:r>
      <w:r w:rsidR="00366724" w:rsidRPr="00433908">
        <w:rPr>
          <w:rFonts w:asciiTheme="majorBidi" w:hAnsiTheme="majorBidi" w:cstheme="majorBidi"/>
        </w:rPr>
        <w:t>implausible</w:t>
      </w:r>
      <w:r w:rsidR="005A708E" w:rsidRPr="00433908">
        <w:rPr>
          <w:rFonts w:asciiTheme="majorBidi" w:hAnsiTheme="majorBidi" w:cstheme="majorBidi"/>
        </w:rPr>
        <w:t>, a</w:t>
      </w:r>
      <w:r w:rsidR="00366724" w:rsidRPr="00433908">
        <w:rPr>
          <w:rFonts w:asciiTheme="majorBidi" w:hAnsiTheme="majorBidi" w:cstheme="majorBidi"/>
        </w:rPr>
        <w:t xml:space="preserve">nd – </w:t>
      </w:r>
      <w:r w:rsidR="00BD4DFA" w:rsidRPr="00433908">
        <w:rPr>
          <w:rFonts w:asciiTheme="majorBidi" w:hAnsiTheme="majorBidi" w:cstheme="majorBidi"/>
        </w:rPr>
        <w:t xml:space="preserve">far </w:t>
      </w:r>
      <w:r w:rsidR="00366724" w:rsidRPr="00433908">
        <w:rPr>
          <w:rFonts w:asciiTheme="majorBidi" w:hAnsiTheme="majorBidi" w:cstheme="majorBidi"/>
        </w:rPr>
        <w:t xml:space="preserve">more importantly – </w:t>
      </w:r>
      <w:r w:rsidR="00355DEA" w:rsidRPr="00433908">
        <w:rPr>
          <w:rFonts w:asciiTheme="majorBidi" w:hAnsiTheme="majorBidi" w:cstheme="majorBidi"/>
        </w:rPr>
        <w:t>has nothing to do with c</w:t>
      </w:r>
      <w:r w:rsidR="00B2468F" w:rsidRPr="00433908">
        <w:rPr>
          <w:rFonts w:asciiTheme="majorBidi" w:hAnsiTheme="majorBidi" w:cstheme="majorBidi"/>
        </w:rPr>
        <w:t>ross</w:t>
      </w:r>
      <w:r w:rsidR="00E55DE1" w:rsidRPr="00433908">
        <w:rPr>
          <w:rFonts w:asciiTheme="majorBidi" w:hAnsiTheme="majorBidi" w:cstheme="majorBidi"/>
        </w:rPr>
        <w:t xml:space="preserve"> ownership</w:t>
      </w:r>
      <w:r w:rsidR="00B2468F" w:rsidRPr="00433908">
        <w:rPr>
          <w:rFonts w:asciiTheme="majorBidi" w:hAnsiTheme="majorBidi" w:cstheme="majorBidi"/>
        </w:rPr>
        <w:t xml:space="preserve"> or with large financial interests</w:t>
      </w:r>
      <w:r w:rsidR="00355DEA" w:rsidRPr="00433908">
        <w:rPr>
          <w:rFonts w:asciiTheme="majorBidi" w:hAnsiTheme="majorBidi" w:cstheme="majorBidi"/>
        </w:rPr>
        <w:t>.</w:t>
      </w:r>
      <w:r w:rsidR="004C1787" w:rsidRPr="00433908">
        <w:rPr>
          <w:rFonts w:asciiTheme="majorBidi" w:hAnsiTheme="majorBidi" w:cstheme="majorBidi"/>
        </w:rPr>
        <w:t xml:space="preserve"> </w:t>
      </w:r>
    </w:p>
    <w:p w14:paraId="0F5A90ED" w14:textId="51FE68B6" w:rsidR="004C1787" w:rsidRPr="00433908" w:rsidRDefault="004C1787" w:rsidP="00111A39">
      <w:pPr>
        <w:pStyle w:val="a"/>
        <w:numPr>
          <w:ilvl w:val="0"/>
          <w:numId w:val="0"/>
        </w:numPr>
        <w:rPr>
          <w:b w:val="0"/>
          <w:bCs w:val="0"/>
        </w:rPr>
      </w:pPr>
    </w:p>
    <w:p w14:paraId="1E50166E" w14:textId="6717F7FC" w:rsidR="00F31669" w:rsidRPr="00433908" w:rsidRDefault="00D665C6" w:rsidP="002D2C9B">
      <w:pPr>
        <w:jc w:val="both"/>
        <w:rPr>
          <w:rFonts w:asciiTheme="majorBidi" w:hAnsiTheme="majorBidi" w:cstheme="majorBidi"/>
        </w:rPr>
      </w:pPr>
      <w:r w:rsidRPr="00433908">
        <w:rPr>
          <w:rFonts w:asciiTheme="majorBidi" w:hAnsiTheme="majorBidi" w:cstheme="majorBidi"/>
        </w:rPr>
        <w:t>Let us begin with the likelihood of th</w:t>
      </w:r>
      <w:r w:rsidR="00FE5B69" w:rsidRPr="00433908">
        <w:rPr>
          <w:rFonts w:asciiTheme="majorBidi" w:hAnsiTheme="majorBidi" w:cstheme="majorBidi"/>
        </w:rPr>
        <w:t xml:space="preserve">e </w:t>
      </w:r>
      <w:r w:rsidRPr="00433908">
        <w:rPr>
          <w:rFonts w:asciiTheme="majorBidi" w:hAnsiTheme="majorBidi" w:cstheme="majorBidi"/>
        </w:rPr>
        <w:t xml:space="preserve">scenario, which is – as suggested – secondary in importance. </w:t>
      </w:r>
      <w:r w:rsidR="00355DEA" w:rsidRPr="00433908">
        <w:rPr>
          <w:rFonts w:asciiTheme="majorBidi" w:hAnsiTheme="majorBidi" w:cstheme="majorBidi"/>
        </w:rPr>
        <w:t>T</w:t>
      </w:r>
      <w:r w:rsidR="008E593D" w:rsidRPr="00433908">
        <w:rPr>
          <w:rFonts w:asciiTheme="majorBidi" w:hAnsiTheme="majorBidi" w:cstheme="majorBidi"/>
        </w:rPr>
        <w:t xml:space="preserve">he likelihood of future remuneration is a function of two determinants: first, the benefitted shareholder must be </w:t>
      </w:r>
      <w:r w:rsidR="00707B14" w:rsidRPr="00433908">
        <w:rPr>
          <w:rFonts w:asciiTheme="majorBidi" w:hAnsiTheme="majorBidi" w:cstheme="majorBidi"/>
        </w:rPr>
        <w:t xml:space="preserve">expected </w:t>
      </w:r>
      <w:r w:rsidR="008E593D" w:rsidRPr="00433908">
        <w:rPr>
          <w:rFonts w:asciiTheme="majorBidi" w:hAnsiTheme="majorBidi" w:cstheme="majorBidi"/>
        </w:rPr>
        <w:t xml:space="preserve">to make some </w:t>
      </w:r>
      <w:r w:rsidR="00707B14" w:rsidRPr="00433908">
        <w:rPr>
          <w:rFonts w:asciiTheme="majorBidi" w:hAnsiTheme="majorBidi" w:cstheme="majorBidi"/>
        </w:rPr>
        <w:t xml:space="preserve">undetermined future </w:t>
      </w:r>
      <w:r w:rsidR="008E593D" w:rsidRPr="00433908">
        <w:rPr>
          <w:rFonts w:asciiTheme="majorBidi" w:hAnsiTheme="majorBidi" w:cstheme="majorBidi"/>
        </w:rPr>
        <w:t xml:space="preserve">payment despite </w:t>
      </w:r>
      <w:r w:rsidR="008E593D" w:rsidRPr="00433908">
        <w:rPr>
          <w:rFonts w:asciiTheme="majorBidi" w:hAnsiTheme="majorBidi" w:cstheme="majorBidi"/>
        </w:rPr>
        <w:lastRenderedPageBreak/>
        <w:t>the fact that it is under no obligation to do so</w:t>
      </w:r>
      <w:r w:rsidR="004F5BC4" w:rsidRPr="00433908">
        <w:rPr>
          <w:rFonts w:asciiTheme="majorBidi" w:hAnsiTheme="majorBidi" w:cstheme="majorBidi"/>
        </w:rPr>
        <w:t>.</w:t>
      </w:r>
      <w:r w:rsidR="005A708E" w:rsidRPr="00433908">
        <w:rPr>
          <w:rStyle w:val="FootnoteReference"/>
          <w:rFonts w:asciiTheme="majorBidi" w:hAnsiTheme="majorBidi" w:cstheme="majorBidi"/>
        </w:rPr>
        <w:footnoteReference w:id="96"/>
      </w:r>
      <w:r w:rsidR="008E593D" w:rsidRPr="00433908">
        <w:rPr>
          <w:rFonts w:asciiTheme="majorBidi" w:hAnsiTheme="majorBidi" w:cstheme="majorBidi"/>
        </w:rPr>
        <w:t xml:space="preserve"> But this is not enough. </w:t>
      </w:r>
      <w:r w:rsidR="00355DEA" w:rsidRPr="00433908">
        <w:rPr>
          <w:rFonts w:asciiTheme="majorBidi" w:hAnsiTheme="majorBidi" w:cstheme="majorBidi"/>
        </w:rPr>
        <w:t>Obviously, t</w:t>
      </w:r>
      <w:r w:rsidR="008E593D" w:rsidRPr="00433908">
        <w:rPr>
          <w:rFonts w:asciiTheme="majorBidi" w:hAnsiTheme="majorBidi" w:cstheme="majorBidi"/>
        </w:rPr>
        <w:t xml:space="preserve">he shareholder must also be </w:t>
      </w:r>
      <w:r w:rsidR="008E593D" w:rsidRPr="00433908">
        <w:rPr>
          <w:rFonts w:asciiTheme="majorBidi" w:hAnsiTheme="majorBidi" w:cstheme="majorBidi"/>
          <w:i/>
          <w:iCs/>
        </w:rPr>
        <w:t>aware</w:t>
      </w:r>
      <w:r w:rsidR="008E593D" w:rsidRPr="00433908">
        <w:rPr>
          <w:rFonts w:asciiTheme="majorBidi" w:hAnsiTheme="majorBidi" w:cstheme="majorBidi"/>
        </w:rPr>
        <w:t xml:space="preserve"> that the manager has acted in a manner that was designed for the benefit of the shareholder at the expense of all other stakeholders</w:t>
      </w:r>
      <w:r w:rsidR="007409A8" w:rsidRPr="00433908">
        <w:rPr>
          <w:rFonts w:asciiTheme="majorBidi" w:hAnsiTheme="majorBidi" w:cstheme="majorBidi"/>
        </w:rPr>
        <w:t xml:space="preserve">. At the same time, all other shareholders </w:t>
      </w:r>
      <w:r w:rsidR="008E10D8" w:rsidRPr="00433908">
        <w:rPr>
          <w:rFonts w:asciiTheme="majorBidi" w:hAnsiTheme="majorBidi" w:cstheme="majorBidi"/>
        </w:rPr>
        <w:t xml:space="preserve">(as well as all other stakeholders) </w:t>
      </w:r>
      <w:r w:rsidR="007409A8" w:rsidRPr="00433908">
        <w:rPr>
          <w:rFonts w:asciiTheme="majorBidi" w:hAnsiTheme="majorBidi" w:cstheme="majorBidi"/>
        </w:rPr>
        <w:t xml:space="preserve">must </w:t>
      </w:r>
      <w:r w:rsidR="007409A8" w:rsidRPr="00433908">
        <w:rPr>
          <w:rFonts w:asciiTheme="majorBidi" w:hAnsiTheme="majorBidi" w:cstheme="majorBidi"/>
          <w:i/>
          <w:iCs/>
        </w:rPr>
        <w:t>not</w:t>
      </w:r>
      <w:r w:rsidR="008E10D8" w:rsidRPr="00433908">
        <w:rPr>
          <w:rFonts w:asciiTheme="majorBidi" w:hAnsiTheme="majorBidi" w:cstheme="majorBidi"/>
        </w:rPr>
        <w:t xml:space="preserve"> realize what is transpiring</w:t>
      </w:r>
      <w:r w:rsidR="008E593D" w:rsidRPr="00433908">
        <w:rPr>
          <w:rFonts w:asciiTheme="majorBidi" w:hAnsiTheme="majorBidi" w:cstheme="majorBidi"/>
        </w:rPr>
        <w:t xml:space="preserve">. The more obscure or subtle the conduct, the less likely the </w:t>
      </w:r>
      <w:r w:rsidR="00AC567E" w:rsidRPr="00433908">
        <w:rPr>
          <w:rFonts w:asciiTheme="majorBidi" w:hAnsiTheme="majorBidi" w:cstheme="majorBidi"/>
        </w:rPr>
        <w:t>benefitted shareholder</w:t>
      </w:r>
      <w:r w:rsidR="008E593D" w:rsidRPr="00433908">
        <w:rPr>
          <w:rFonts w:asciiTheme="majorBidi" w:hAnsiTheme="majorBidi" w:cstheme="majorBidi"/>
        </w:rPr>
        <w:t xml:space="preserve"> is to realize that the manager has acted in a manner that </w:t>
      </w:r>
      <w:r w:rsidR="00080C2F" w:rsidRPr="00433908">
        <w:rPr>
          <w:rFonts w:asciiTheme="majorBidi" w:hAnsiTheme="majorBidi" w:cstheme="majorBidi"/>
        </w:rPr>
        <w:t>warrants</w:t>
      </w:r>
      <w:r w:rsidR="008E593D" w:rsidRPr="00433908">
        <w:rPr>
          <w:rFonts w:asciiTheme="majorBidi" w:hAnsiTheme="majorBidi" w:cstheme="majorBidi"/>
        </w:rPr>
        <w:t xml:space="preserve"> remuneration.</w:t>
      </w:r>
      <w:r w:rsidR="00366724" w:rsidRPr="00433908">
        <w:rPr>
          <w:rFonts w:asciiTheme="majorBidi" w:hAnsiTheme="majorBidi" w:cstheme="majorBidi"/>
        </w:rPr>
        <w:t xml:space="preserve"> The more </w:t>
      </w:r>
      <w:r w:rsidR="002108E6" w:rsidRPr="00433908">
        <w:rPr>
          <w:rFonts w:asciiTheme="majorBidi" w:hAnsiTheme="majorBidi" w:cstheme="majorBidi"/>
        </w:rPr>
        <w:t>egregious</w:t>
      </w:r>
      <w:r w:rsidR="008E10D8" w:rsidRPr="00433908">
        <w:rPr>
          <w:rFonts w:asciiTheme="majorBidi" w:hAnsiTheme="majorBidi" w:cstheme="majorBidi"/>
        </w:rPr>
        <w:t xml:space="preserve"> </w:t>
      </w:r>
      <w:r w:rsidR="00636A68" w:rsidRPr="00433908">
        <w:rPr>
          <w:rFonts w:asciiTheme="majorBidi" w:hAnsiTheme="majorBidi" w:cstheme="majorBidi"/>
        </w:rPr>
        <w:t>the conduct</w:t>
      </w:r>
      <w:r w:rsidR="00366724" w:rsidRPr="00433908">
        <w:rPr>
          <w:rFonts w:asciiTheme="majorBidi" w:hAnsiTheme="majorBidi" w:cstheme="majorBidi"/>
        </w:rPr>
        <w:t xml:space="preserve">, the more likely </w:t>
      </w:r>
      <w:r w:rsidR="008E10D8" w:rsidRPr="00433908">
        <w:rPr>
          <w:rFonts w:asciiTheme="majorBidi" w:hAnsiTheme="majorBidi" w:cstheme="majorBidi"/>
        </w:rPr>
        <w:t xml:space="preserve">other stakeholders </w:t>
      </w:r>
      <w:r w:rsidR="009D7A10">
        <w:rPr>
          <w:rFonts w:asciiTheme="majorBidi" w:hAnsiTheme="majorBidi" w:cstheme="majorBidi"/>
        </w:rPr>
        <w:t xml:space="preserve">(and authorities) </w:t>
      </w:r>
      <w:r w:rsidR="008E10D8" w:rsidRPr="00433908">
        <w:rPr>
          <w:rFonts w:asciiTheme="majorBidi" w:hAnsiTheme="majorBidi" w:cstheme="majorBidi"/>
        </w:rPr>
        <w:t>are to realize what the manager is doing.</w:t>
      </w:r>
      <w:bookmarkStart w:id="28" w:name="_Ref492563003"/>
      <w:r w:rsidR="008E593D" w:rsidRPr="00433908">
        <w:rPr>
          <w:rStyle w:val="FootnoteReference"/>
          <w:rFonts w:asciiTheme="majorBidi" w:hAnsiTheme="majorBidi" w:cstheme="majorBidi"/>
        </w:rPr>
        <w:footnoteReference w:id="97"/>
      </w:r>
      <w:bookmarkEnd w:id="28"/>
      <w:r w:rsidR="008E593D" w:rsidRPr="00433908">
        <w:rPr>
          <w:rFonts w:asciiTheme="majorBidi" w:hAnsiTheme="majorBidi" w:cstheme="majorBidi"/>
        </w:rPr>
        <w:t xml:space="preserve"> </w:t>
      </w:r>
      <w:r w:rsidR="00080C2F" w:rsidRPr="00433908">
        <w:rPr>
          <w:rFonts w:asciiTheme="majorBidi" w:hAnsiTheme="majorBidi" w:cstheme="majorBidi"/>
        </w:rPr>
        <w:t>Consider a manager who is in competition</w:t>
      </w:r>
      <w:r w:rsidR="00AC567E" w:rsidRPr="00433908">
        <w:rPr>
          <w:rFonts w:asciiTheme="majorBidi" w:hAnsiTheme="majorBidi" w:cstheme="majorBidi"/>
        </w:rPr>
        <w:t xml:space="preserve"> with another firm, in which a prominent figure (who is not a</w:t>
      </w:r>
      <w:r w:rsidR="00080C2F" w:rsidRPr="00433908">
        <w:rPr>
          <w:rFonts w:asciiTheme="majorBidi" w:hAnsiTheme="majorBidi" w:cstheme="majorBidi"/>
        </w:rPr>
        <w:t xml:space="preserve"> controlling shareholder</w:t>
      </w:r>
      <w:r w:rsidR="00AC567E" w:rsidRPr="00433908">
        <w:rPr>
          <w:rFonts w:asciiTheme="majorBidi" w:hAnsiTheme="majorBidi" w:cstheme="majorBidi"/>
        </w:rPr>
        <w:t>)</w:t>
      </w:r>
      <w:r w:rsidR="00080C2F" w:rsidRPr="00433908">
        <w:rPr>
          <w:rFonts w:asciiTheme="majorBidi" w:hAnsiTheme="majorBidi" w:cstheme="majorBidi"/>
        </w:rPr>
        <w:t xml:space="preserve"> has a larger financial stake. The manager realizes that it is in the </w:t>
      </w:r>
      <w:r w:rsidR="00AC567E" w:rsidRPr="00433908">
        <w:rPr>
          <w:rFonts w:asciiTheme="majorBidi" w:hAnsiTheme="majorBidi" w:cstheme="majorBidi"/>
        </w:rPr>
        <w:t>shareholder’s</w:t>
      </w:r>
      <w:r w:rsidR="00080C2F" w:rsidRPr="00433908">
        <w:rPr>
          <w:rFonts w:asciiTheme="majorBidi" w:hAnsiTheme="majorBidi" w:cstheme="majorBidi"/>
        </w:rPr>
        <w:t xml:space="preserve"> best interest to raise prices, so that profits flow to the competitor. The manager therefore unilaterally coordinates by raising prices to an unprofitable level, citing a market survey</w:t>
      </w:r>
      <w:r w:rsidR="002108E6" w:rsidRPr="00433908">
        <w:rPr>
          <w:rFonts w:asciiTheme="majorBidi" w:hAnsiTheme="majorBidi" w:cstheme="majorBidi"/>
        </w:rPr>
        <w:t>,</w:t>
      </w:r>
      <w:r w:rsidR="00080C2F" w:rsidRPr="00433908">
        <w:rPr>
          <w:rFonts w:asciiTheme="majorBidi" w:hAnsiTheme="majorBidi" w:cstheme="majorBidi"/>
        </w:rPr>
        <w:t xml:space="preserve"> </w:t>
      </w:r>
      <w:r w:rsidR="002108E6" w:rsidRPr="00433908">
        <w:rPr>
          <w:rFonts w:asciiTheme="majorBidi" w:hAnsiTheme="majorBidi" w:cstheme="majorBidi"/>
        </w:rPr>
        <w:t xml:space="preserve">estimations of demand, market trends, </w:t>
      </w:r>
      <w:r w:rsidR="005A708E" w:rsidRPr="00433908">
        <w:rPr>
          <w:rFonts w:asciiTheme="majorBidi" w:hAnsiTheme="majorBidi" w:cstheme="majorBidi"/>
        </w:rPr>
        <w:t>or</w:t>
      </w:r>
      <w:r w:rsidR="002108E6" w:rsidRPr="00433908">
        <w:rPr>
          <w:rFonts w:asciiTheme="majorBidi" w:hAnsiTheme="majorBidi" w:cstheme="majorBidi"/>
        </w:rPr>
        <w:t xml:space="preserve"> the like </w:t>
      </w:r>
      <w:r w:rsidR="00080C2F" w:rsidRPr="00433908">
        <w:rPr>
          <w:rFonts w:asciiTheme="majorBidi" w:hAnsiTheme="majorBidi" w:cstheme="majorBidi"/>
        </w:rPr>
        <w:t xml:space="preserve">as </w:t>
      </w:r>
      <w:r w:rsidR="00355DEA" w:rsidRPr="00433908">
        <w:rPr>
          <w:rFonts w:asciiTheme="majorBidi" w:hAnsiTheme="majorBidi" w:cstheme="majorBidi"/>
        </w:rPr>
        <w:t>the</w:t>
      </w:r>
      <w:r w:rsidR="00080C2F" w:rsidRPr="00433908">
        <w:rPr>
          <w:rFonts w:asciiTheme="majorBidi" w:hAnsiTheme="majorBidi" w:cstheme="majorBidi"/>
        </w:rPr>
        <w:t xml:space="preserve"> justification for the </w:t>
      </w:r>
      <w:r w:rsidR="00355DEA" w:rsidRPr="00433908">
        <w:rPr>
          <w:rFonts w:asciiTheme="majorBidi" w:hAnsiTheme="majorBidi" w:cstheme="majorBidi"/>
        </w:rPr>
        <w:t>price-</w:t>
      </w:r>
      <w:r w:rsidR="00080C2F" w:rsidRPr="00433908">
        <w:rPr>
          <w:rFonts w:asciiTheme="majorBidi" w:hAnsiTheme="majorBidi" w:cstheme="majorBidi"/>
        </w:rPr>
        <w:t>increase. The competitor responds by also raising prices (to a level</w:t>
      </w:r>
      <w:r w:rsidR="00AC567E" w:rsidRPr="00433908">
        <w:rPr>
          <w:rFonts w:asciiTheme="majorBidi" w:hAnsiTheme="majorBidi" w:cstheme="majorBidi"/>
        </w:rPr>
        <w:t xml:space="preserve"> lower than that of the first</w:t>
      </w:r>
      <w:r w:rsidR="00080C2F" w:rsidRPr="00433908">
        <w:rPr>
          <w:rFonts w:asciiTheme="majorBidi" w:hAnsiTheme="majorBidi" w:cstheme="majorBidi"/>
        </w:rPr>
        <w:t xml:space="preserve"> firm’s), and the competitor’s profit</w:t>
      </w:r>
      <w:r w:rsidR="00AC567E" w:rsidRPr="00433908">
        <w:rPr>
          <w:rFonts w:asciiTheme="majorBidi" w:hAnsiTheme="majorBidi" w:cstheme="majorBidi"/>
        </w:rPr>
        <w:t>s are increased. The prominent</w:t>
      </w:r>
      <w:r w:rsidR="00080C2F" w:rsidRPr="00433908">
        <w:rPr>
          <w:rFonts w:asciiTheme="majorBidi" w:hAnsiTheme="majorBidi" w:cstheme="majorBidi"/>
        </w:rPr>
        <w:t xml:space="preserve"> shareholder’s portfolio will have ulti</w:t>
      </w:r>
      <w:r w:rsidR="00CB1A31" w:rsidRPr="00433908">
        <w:rPr>
          <w:rFonts w:asciiTheme="majorBidi" w:hAnsiTheme="majorBidi" w:cstheme="majorBidi"/>
        </w:rPr>
        <w:t>mately yielded a greater return.</w:t>
      </w:r>
      <w:r w:rsidR="00080C2F" w:rsidRPr="00433908">
        <w:rPr>
          <w:rFonts w:asciiTheme="majorBidi" w:hAnsiTheme="majorBidi" w:cstheme="majorBidi"/>
        </w:rPr>
        <w:t xml:space="preserve"> </w:t>
      </w:r>
      <w:r w:rsidR="00CB1A31" w:rsidRPr="00433908">
        <w:rPr>
          <w:rFonts w:asciiTheme="majorBidi" w:hAnsiTheme="majorBidi" w:cstheme="majorBidi"/>
        </w:rPr>
        <w:t>B</w:t>
      </w:r>
      <w:r w:rsidR="002108E6" w:rsidRPr="00433908">
        <w:rPr>
          <w:rFonts w:asciiTheme="majorBidi" w:hAnsiTheme="majorBidi" w:cstheme="majorBidi"/>
        </w:rPr>
        <w:t xml:space="preserve">ut the immediate implication of the </w:t>
      </w:r>
      <w:r w:rsidR="00CB1A31" w:rsidRPr="00433908">
        <w:rPr>
          <w:rFonts w:asciiTheme="majorBidi" w:hAnsiTheme="majorBidi" w:cstheme="majorBidi"/>
        </w:rPr>
        <w:t xml:space="preserve">justification provided for the conduct </w:t>
      </w:r>
      <w:r w:rsidR="00AC567E" w:rsidRPr="00433908">
        <w:rPr>
          <w:rFonts w:asciiTheme="majorBidi" w:hAnsiTheme="majorBidi" w:cstheme="majorBidi"/>
        </w:rPr>
        <w:t xml:space="preserve">(say, a market survey) </w:t>
      </w:r>
      <w:r w:rsidR="002108E6" w:rsidRPr="00433908">
        <w:rPr>
          <w:rFonts w:asciiTheme="majorBidi" w:hAnsiTheme="majorBidi" w:cstheme="majorBidi"/>
        </w:rPr>
        <w:t>is that the motivation for the decision becomes obscure to the shareholder as well.</w:t>
      </w:r>
      <w:r w:rsidR="00CB1A31" w:rsidRPr="00433908">
        <w:rPr>
          <w:rFonts w:asciiTheme="majorBidi" w:hAnsiTheme="majorBidi" w:cstheme="majorBidi"/>
        </w:rPr>
        <w:t xml:space="preserve"> </w:t>
      </w:r>
      <w:r w:rsidR="00AC567E" w:rsidRPr="00433908">
        <w:rPr>
          <w:rFonts w:asciiTheme="majorBidi" w:hAnsiTheme="majorBidi" w:cstheme="majorBidi"/>
        </w:rPr>
        <w:t>The influential</w:t>
      </w:r>
      <w:r w:rsidR="00080C2F" w:rsidRPr="00433908">
        <w:rPr>
          <w:rFonts w:asciiTheme="majorBidi" w:hAnsiTheme="majorBidi" w:cstheme="majorBidi"/>
        </w:rPr>
        <w:t xml:space="preserve"> shareholder may conclude that the first manager has simply made a bad business decision, and decide to </w:t>
      </w:r>
      <w:r w:rsidR="002108E6" w:rsidRPr="00433908">
        <w:rPr>
          <w:rFonts w:asciiTheme="majorBidi" w:hAnsiTheme="majorBidi" w:cstheme="majorBidi"/>
        </w:rPr>
        <w:t>offer a lucrative position to</w:t>
      </w:r>
      <w:r w:rsidR="009D34F9" w:rsidRPr="00433908">
        <w:rPr>
          <w:rFonts w:asciiTheme="majorBidi" w:hAnsiTheme="majorBidi" w:cstheme="majorBidi"/>
        </w:rPr>
        <w:t xml:space="preserve"> the competing </w:t>
      </w:r>
      <w:r w:rsidR="00080C2F" w:rsidRPr="00433908">
        <w:rPr>
          <w:rFonts w:asciiTheme="majorBidi" w:hAnsiTheme="majorBidi" w:cstheme="majorBidi"/>
        </w:rPr>
        <w:t>manager</w:t>
      </w:r>
      <w:r w:rsidR="009D34F9" w:rsidRPr="00433908">
        <w:rPr>
          <w:rFonts w:asciiTheme="majorBidi" w:hAnsiTheme="majorBidi" w:cstheme="majorBidi"/>
        </w:rPr>
        <w:t>,</w:t>
      </w:r>
      <w:r w:rsidR="00080C2F" w:rsidRPr="00433908">
        <w:rPr>
          <w:rFonts w:asciiTheme="majorBidi" w:hAnsiTheme="majorBidi" w:cstheme="majorBidi"/>
        </w:rPr>
        <w:t xml:space="preserve"> whose company has </w:t>
      </w:r>
      <w:r w:rsidR="00CB1A31" w:rsidRPr="00433908">
        <w:rPr>
          <w:rFonts w:asciiTheme="majorBidi" w:hAnsiTheme="majorBidi" w:cstheme="majorBidi"/>
        </w:rPr>
        <w:t>outperformed the first. Of course, t</w:t>
      </w:r>
      <w:r w:rsidR="009E2C71" w:rsidRPr="00433908">
        <w:rPr>
          <w:rFonts w:asciiTheme="majorBidi" w:hAnsiTheme="majorBidi" w:cstheme="majorBidi"/>
        </w:rPr>
        <w:t xml:space="preserve">he </w:t>
      </w:r>
      <w:r w:rsidR="00AC567E" w:rsidRPr="00433908">
        <w:rPr>
          <w:rFonts w:asciiTheme="majorBidi" w:hAnsiTheme="majorBidi" w:cstheme="majorBidi"/>
        </w:rPr>
        <w:t>influential</w:t>
      </w:r>
      <w:r w:rsidR="009E2C71" w:rsidRPr="00433908">
        <w:rPr>
          <w:rFonts w:asciiTheme="majorBidi" w:hAnsiTheme="majorBidi" w:cstheme="majorBidi"/>
        </w:rPr>
        <w:t xml:space="preserve"> shareholder may also </w:t>
      </w:r>
      <w:r w:rsidR="00080C2F" w:rsidRPr="00433908">
        <w:rPr>
          <w:rFonts w:asciiTheme="majorBidi" w:hAnsiTheme="majorBidi" w:cstheme="majorBidi"/>
        </w:rPr>
        <w:t xml:space="preserve">realize that the real reason for </w:t>
      </w:r>
      <w:r w:rsidR="009D34F9" w:rsidRPr="00433908">
        <w:rPr>
          <w:rFonts w:asciiTheme="majorBidi" w:hAnsiTheme="majorBidi" w:cstheme="majorBidi"/>
        </w:rPr>
        <w:t xml:space="preserve">the increased profits is the elaborate scheme (unilaterally) devised by the first manager, and </w:t>
      </w:r>
      <w:r w:rsidR="009E2C71" w:rsidRPr="00433908">
        <w:rPr>
          <w:rFonts w:asciiTheme="majorBidi" w:hAnsiTheme="majorBidi" w:cstheme="majorBidi"/>
        </w:rPr>
        <w:t xml:space="preserve">conclude that this manager deserves </w:t>
      </w:r>
      <w:r w:rsidR="009D34F9" w:rsidRPr="00433908">
        <w:rPr>
          <w:rFonts w:asciiTheme="majorBidi" w:hAnsiTheme="majorBidi" w:cstheme="majorBidi"/>
        </w:rPr>
        <w:t xml:space="preserve">reward for </w:t>
      </w:r>
      <w:r w:rsidR="009E2C71" w:rsidRPr="00433908">
        <w:rPr>
          <w:rFonts w:asciiTheme="majorBidi" w:hAnsiTheme="majorBidi" w:cstheme="majorBidi"/>
        </w:rPr>
        <w:t>her</w:t>
      </w:r>
      <w:r w:rsidR="009D34F9" w:rsidRPr="00433908">
        <w:rPr>
          <w:rFonts w:asciiTheme="majorBidi" w:hAnsiTheme="majorBidi" w:cstheme="majorBidi"/>
        </w:rPr>
        <w:t xml:space="preserve"> loyalty. </w:t>
      </w:r>
      <w:r w:rsidR="009D34F9" w:rsidRPr="00433908">
        <w:rPr>
          <w:rFonts w:asciiTheme="majorBidi" w:hAnsiTheme="majorBidi" w:cstheme="majorBidi"/>
          <w:i/>
          <w:iCs/>
        </w:rPr>
        <w:t>A-priori</w:t>
      </w:r>
      <w:r w:rsidR="009D34F9" w:rsidRPr="00433908">
        <w:rPr>
          <w:rFonts w:asciiTheme="majorBidi" w:hAnsiTheme="majorBidi" w:cstheme="majorBidi"/>
        </w:rPr>
        <w:t xml:space="preserve">, </w:t>
      </w:r>
      <w:r w:rsidR="00707B14" w:rsidRPr="00433908">
        <w:rPr>
          <w:rFonts w:asciiTheme="majorBidi" w:hAnsiTheme="majorBidi" w:cstheme="majorBidi"/>
        </w:rPr>
        <w:t>t</w:t>
      </w:r>
      <w:r w:rsidR="009D34F9" w:rsidRPr="00433908">
        <w:rPr>
          <w:rFonts w:asciiTheme="majorBidi" w:hAnsiTheme="majorBidi" w:cstheme="majorBidi"/>
        </w:rPr>
        <w:t xml:space="preserve">he first conclusion seems a much more immediate conclusion than the second. </w:t>
      </w:r>
      <w:r w:rsidR="00707B14" w:rsidRPr="00433908">
        <w:rPr>
          <w:rFonts w:asciiTheme="majorBidi" w:hAnsiTheme="majorBidi" w:cstheme="majorBidi"/>
        </w:rPr>
        <w:t xml:space="preserve">The second conclusion becomes more forthcoming if the scheme is outrageous and </w:t>
      </w:r>
      <w:r w:rsidR="009E2C71" w:rsidRPr="00433908">
        <w:rPr>
          <w:rFonts w:asciiTheme="majorBidi" w:hAnsiTheme="majorBidi" w:cstheme="majorBidi"/>
        </w:rPr>
        <w:t xml:space="preserve">the price-increase </w:t>
      </w:r>
      <w:r w:rsidR="00707B14" w:rsidRPr="00433908">
        <w:rPr>
          <w:rFonts w:asciiTheme="majorBidi" w:hAnsiTheme="majorBidi" w:cstheme="majorBidi"/>
        </w:rPr>
        <w:t xml:space="preserve">clearly has no business justification. But if that is the case, detection of the breach </w:t>
      </w:r>
      <w:r w:rsidR="00173796" w:rsidRPr="00433908">
        <w:rPr>
          <w:rFonts w:asciiTheme="majorBidi" w:hAnsiTheme="majorBidi" w:cstheme="majorBidi"/>
        </w:rPr>
        <w:t>by other stakeholders,</w:t>
      </w:r>
      <w:r w:rsidR="00021519" w:rsidRPr="00433908">
        <w:rPr>
          <w:rStyle w:val="FootnoteReference"/>
          <w:rFonts w:asciiTheme="majorBidi" w:hAnsiTheme="majorBidi" w:cstheme="majorBidi"/>
        </w:rPr>
        <w:footnoteReference w:id="98"/>
      </w:r>
      <w:r w:rsidR="00173796" w:rsidRPr="00433908">
        <w:rPr>
          <w:rFonts w:asciiTheme="majorBidi" w:hAnsiTheme="majorBidi" w:cstheme="majorBidi"/>
        </w:rPr>
        <w:t xml:space="preserve"> authorities and the like also becomes much more likely</w:t>
      </w:r>
      <w:r w:rsidR="00707B14" w:rsidRPr="00433908">
        <w:rPr>
          <w:rFonts w:asciiTheme="majorBidi" w:hAnsiTheme="majorBidi" w:cstheme="majorBidi"/>
        </w:rPr>
        <w:t>.</w:t>
      </w:r>
    </w:p>
    <w:p w14:paraId="3DC3696D" w14:textId="77777777" w:rsidR="00707B14" w:rsidRPr="00433908" w:rsidRDefault="00707B14" w:rsidP="008E593D">
      <w:pPr>
        <w:jc w:val="both"/>
        <w:rPr>
          <w:rFonts w:asciiTheme="majorBidi" w:hAnsiTheme="majorBidi" w:cstheme="majorBidi"/>
        </w:rPr>
      </w:pPr>
    </w:p>
    <w:p w14:paraId="76B01205" w14:textId="6D50C71C" w:rsidR="00DE3D46" w:rsidRPr="00433908" w:rsidRDefault="00D665C6" w:rsidP="00644AB5">
      <w:pPr>
        <w:jc w:val="both"/>
        <w:rPr>
          <w:rFonts w:asciiTheme="majorBidi" w:hAnsiTheme="majorBidi" w:cstheme="majorBidi"/>
        </w:rPr>
      </w:pPr>
      <w:r w:rsidRPr="00433908">
        <w:rPr>
          <w:rFonts w:asciiTheme="majorBidi" w:hAnsiTheme="majorBidi" w:cstheme="majorBidi"/>
        </w:rPr>
        <w:t xml:space="preserve">Second, and far </w:t>
      </w:r>
      <w:r w:rsidR="00F31669" w:rsidRPr="00433908">
        <w:rPr>
          <w:rFonts w:asciiTheme="majorBidi" w:hAnsiTheme="majorBidi" w:cstheme="majorBidi"/>
        </w:rPr>
        <w:t xml:space="preserve">more </w:t>
      </w:r>
      <w:r w:rsidR="00707B14" w:rsidRPr="00433908">
        <w:rPr>
          <w:rFonts w:asciiTheme="majorBidi" w:hAnsiTheme="majorBidi" w:cstheme="majorBidi"/>
        </w:rPr>
        <w:t>important than the likelihood of the scenario</w:t>
      </w:r>
      <w:r w:rsidRPr="00433908">
        <w:rPr>
          <w:rFonts w:asciiTheme="majorBidi" w:hAnsiTheme="majorBidi" w:cstheme="majorBidi"/>
        </w:rPr>
        <w:t>,</w:t>
      </w:r>
      <w:r w:rsidR="00707B14" w:rsidRPr="00433908">
        <w:rPr>
          <w:rFonts w:asciiTheme="majorBidi" w:hAnsiTheme="majorBidi" w:cstheme="majorBidi"/>
        </w:rPr>
        <w:t xml:space="preserve"> is the</w:t>
      </w:r>
      <w:r w:rsidR="00F31669" w:rsidRPr="00433908">
        <w:rPr>
          <w:rFonts w:asciiTheme="majorBidi" w:hAnsiTheme="majorBidi" w:cstheme="majorBidi"/>
        </w:rPr>
        <w:t xml:space="preserve"> </w:t>
      </w:r>
      <w:r w:rsidR="00173796" w:rsidRPr="00433908">
        <w:rPr>
          <w:rFonts w:asciiTheme="majorBidi" w:hAnsiTheme="majorBidi" w:cstheme="majorBidi"/>
        </w:rPr>
        <w:t xml:space="preserve">fact that </w:t>
      </w:r>
      <w:r w:rsidR="00F31669" w:rsidRPr="00433908">
        <w:rPr>
          <w:rFonts w:asciiTheme="majorBidi" w:hAnsiTheme="majorBidi" w:cstheme="majorBidi"/>
        </w:rPr>
        <w:t>this scenario</w:t>
      </w:r>
      <w:r w:rsidR="008B0A9C" w:rsidRPr="00433908">
        <w:rPr>
          <w:rFonts w:asciiTheme="majorBidi" w:hAnsiTheme="majorBidi" w:cstheme="majorBidi"/>
        </w:rPr>
        <w:t xml:space="preserve"> has very little to do with </w:t>
      </w:r>
      <w:r w:rsidR="00B2468F" w:rsidRPr="00433908">
        <w:rPr>
          <w:rFonts w:asciiTheme="majorBidi" w:hAnsiTheme="majorBidi" w:cstheme="majorBidi"/>
        </w:rPr>
        <w:t>cross</w:t>
      </w:r>
      <w:r w:rsidR="002162B0" w:rsidRPr="00433908">
        <w:rPr>
          <w:rFonts w:asciiTheme="majorBidi" w:hAnsiTheme="majorBidi" w:cstheme="majorBidi"/>
        </w:rPr>
        <w:t xml:space="preserve"> ownership</w:t>
      </w:r>
      <w:r w:rsidR="00B2468F" w:rsidRPr="00433908">
        <w:rPr>
          <w:rFonts w:asciiTheme="majorBidi" w:hAnsiTheme="majorBidi" w:cstheme="majorBidi"/>
        </w:rPr>
        <w:t xml:space="preserve"> or</w:t>
      </w:r>
      <w:r w:rsidR="00C540D9" w:rsidRPr="00433908">
        <w:rPr>
          <w:rFonts w:asciiTheme="majorBidi" w:hAnsiTheme="majorBidi" w:cstheme="majorBidi"/>
        </w:rPr>
        <w:t xml:space="preserve"> large financial interests</w:t>
      </w:r>
      <w:r w:rsidR="008B0A9C" w:rsidRPr="00433908">
        <w:rPr>
          <w:rFonts w:asciiTheme="majorBidi" w:hAnsiTheme="majorBidi" w:cstheme="majorBidi"/>
        </w:rPr>
        <w:t xml:space="preserve">. Let it be assumed, that </w:t>
      </w:r>
      <w:r w:rsidR="00173796" w:rsidRPr="00433908">
        <w:rPr>
          <w:rFonts w:asciiTheme="majorBidi" w:hAnsiTheme="majorBidi" w:cstheme="majorBidi"/>
        </w:rPr>
        <w:t xml:space="preserve">the scenario is likely. The manager </w:t>
      </w:r>
      <w:r w:rsidR="00C64537" w:rsidRPr="00433908">
        <w:rPr>
          <w:rFonts w:asciiTheme="majorBidi" w:hAnsiTheme="majorBidi" w:cstheme="majorBidi"/>
        </w:rPr>
        <w:t>is able to conceal harmful conduct from all stakeholders but one shareholder</w:t>
      </w:r>
      <w:r w:rsidR="00021519" w:rsidRPr="00433908">
        <w:rPr>
          <w:rFonts w:asciiTheme="majorBidi" w:hAnsiTheme="majorBidi" w:cstheme="majorBidi"/>
        </w:rPr>
        <w:t xml:space="preserve"> (or a few shareholders)</w:t>
      </w:r>
      <w:r w:rsidR="00C64537" w:rsidRPr="00433908">
        <w:rPr>
          <w:rFonts w:asciiTheme="majorBidi" w:hAnsiTheme="majorBidi" w:cstheme="majorBidi"/>
        </w:rPr>
        <w:t>, who realizes precisely what transpired and why, and then upholds its (implied</w:t>
      </w:r>
      <w:r w:rsidR="004E2F62" w:rsidRPr="00433908">
        <w:rPr>
          <w:rFonts w:asciiTheme="majorBidi" w:hAnsiTheme="majorBidi" w:cstheme="majorBidi"/>
        </w:rPr>
        <w:t>,</w:t>
      </w:r>
      <w:r w:rsidR="0083279C" w:rsidRPr="00433908">
        <w:rPr>
          <w:rFonts w:asciiTheme="majorBidi" w:hAnsiTheme="majorBidi" w:cstheme="majorBidi"/>
        </w:rPr>
        <w:t xml:space="preserve"> unspecified</w:t>
      </w:r>
      <w:r w:rsidR="004E2F62" w:rsidRPr="00433908">
        <w:rPr>
          <w:rFonts w:asciiTheme="majorBidi" w:hAnsiTheme="majorBidi" w:cstheme="majorBidi"/>
        </w:rPr>
        <w:t>, and non-binding</w:t>
      </w:r>
      <w:r w:rsidR="00C64537" w:rsidRPr="00433908">
        <w:rPr>
          <w:rFonts w:asciiTheme="majorBidi" w:hAnsiTheme="majorBidi" w:cstheme="majorBidi"/>
        </w:rPr>
        <w:t xml:space="preserve">) </w:t>
      </w:r>
      <w:r w:rsidR="0083279C" w:rsidRPr="00433908">
        <w:rPr>
          <w:rFonts w:asciiTheme="majorBidi" w:hAnsiTheme="majorBidi" w:cstheme="majorBidi"/>
        </w:rPr>
        <w:t xml:space="preserve">commitment </w:t>
      </w:r>
      <w:r w:rsidR="00C64537" w:rsidRPr="00433908">
        <w:rPr>
          <w:rFonts w:asciiTheme="majorBidi" w:hAnsiTheme="majorBidi" w:cstheme="majorBidi"/>
        </w:rPr>
        <w:t>to reward the ma</w:t>
      </w:r>
      <w:r w:rsidR="002A6A80" w:rsidRPr="00433908">
        <w:rPr>
          <w:rFonts w:asciiTheme="majorBidi" w:hAnsiTheme="majorBidi" w:cstheme="majorBidi"/>
        </w:rPr>
        <w:t>nager in the future. T</w:t>
      </w:r>
      <w:r w:rsidR="00C64537" w:rsidRPr="00433908">
        <w:rPr>
          <w:rFonts w:asciiTheme="majorBidi" w:hAnsiTheme="majorBidi" w:cstheme="majorBidi"/>
        </w:rPr>
        <w:t xml:space="preserve">he shareholder in question need not be the controlling shareholder, or </w:t>
      </w:r>
      <w:r w:rsidR="00C64537" w:rsidRPr="00433908">
        <w:rPr>
          <w:rFonts w:asciiTheme="majorBidi" w:hAnsiTheme="majorBidi" w:cstheme="majorBidi"/>
        </w:rPr>
        <w:lastRenderedPageBreak/>
        <w:t>even a large shareholder</w:t>
      </w:r>
      <w:r w:rsidR="0083279C" w:rsidRPr="00433908">
        <w:rPr>
          <w:rFonts w:asciiTheme="majorBidi" w:hAnsiTheme="majorBidi" w:cstheme="majorBidi"/>
        </w:rPr>
        <w:t xml:space="preserve">, </w:t>
      </w:r>
      <w:r w:rsidR="00AC255D" w:rsidRPr="00433908">
        <w:rPr>
          <w:rFonts w:asciiTheme="majorBidi" w:hAnsiTheme="majorBidi" w:cstheme="majorBidi"/>
        </w:rPr>
        <w:t>of</w:t>
      </w:r>
      <w:r w:rsidR="0083279C" w:rsidRPr="00433908">
        <w:rPr>
          <w:rFonts w:asciiTheme="majorBidi" w:hAnsiTheme="majorBidi" w:cstheme="majorBidi"/>
        </w:rPr>
        <w:t xml:space="preserve"> the unilaterally coordinating firm</w:t>
      </w:r>
      <w:r w:rsidR="00C64537" w:rsidRPr="00433908">
        <w:rPr>
          <w:rFonts w:asciiTheme="majorBidi" w:hAnsiTheme="majorBidi" w:cstheme="majorBidi"/>
        </w:rPr>
        <w:t xml:space="preserve">. </w:t>
      </w:r>
      <w:r w:rsidR="00644AB5">
        <w:rPr>
          <w:rFonts w:asciiTheme="majorBidi" w:hAnsiTheme="majorBidi" w:cstheme="majorBidi"/>
        </w:rPr>
        <w:t>Quite the contrary:</w:t>
      </w:r>
      <w:r w:rsidR="002A6A80" w:rsidRPr="00433908">
        <w:rPr>
          <w:rFonts w:asciiTheme="majorBidi" w:hAnsiTheme="majorBidi" w:cstheme="majorBidi"/>
        </w:rPr>
        <w:t xml:space="preserve"> as mentioned, all else equal, the </w:t>
      </w:r>
      <w:r w:rsidR="002A6A80" w:rsidRPr="00433908">
        <w:rPr>
          <w:rFonts w:asciiTheme="majorBidi" w:hAnsiTheme="majorBidi" w:cstheme="majorBidi"/>
          <w:i/>
          <w:iCs/>
        </w:rPr>
        <w:t>smaller</w:t>
      </w:r>
      <w:r w:rsidR="002A6A80" w:rsidRPr="00433908">
        <w:rPr>
          <w:rFonts w:asciiTheme="majorBidi" w:hAnsiTheme="majorBidi" w:cstheme="majorBidi"/>
        </w:rPr>
        <w:t xml:space="preserve"> the financial stakes the shareholder has in the unilaterally coordinating firm, the </w:t>
      </w:r>
      <w:r w:rsidR="002A6A80" w:rsidRPr="00433908">
        <w:rPr>
          <w:rFonts w:asciiTheme="majorBidi" w:hAnsiTheme="majorBidi" w:cstheme="majorBidi"/>
          <w:i/>
          <w:iCs/>
        </w:rPr>
        <w:t>more</w:t>
      </w:r>
      <w:r w:rsidR="002A6A80" w:rsidRPr="00433908">
        <w:rPr>
          <w:rFonts w:asciiTheme="majorBidi" w:hAnsiTheme="majorBidi" w:cstheme="majorBidi"/>
        </w:rPr>
        <w:t xml:space="preserve"> likely unilateral coordination is. The prerequisite</w:t>
      </w:r>
      <w:r w:rsidR="00C64537" w:rsidRPr="00433908">
        <w:rPr>
          <w:rFonts w:asciiTheme="majorBidi" w:hAnsiTheme="majorBidi" w:cstheme="majorBidi"/>
        </w:rPr>
        <w:t xml:space="preserve"> for this </w:t>
      </w:r>
      <w:r w:rsidR="00FD470D" w:rsidRPr="00433908">
        <w:rPr>
          <w:rFonts w:asciiTheme="majorBidi" w:hAnsiTheme="majorBidi" w:cstheme="majorBidi"/>
        </w:rPr>
        <w:t xml:space="preserve">scenario </w:t>
      </w:r>
      <w:r w:rsidR="002A6A80" w:rsidRPr="00433908">
        <w:rPr>
          <w:rFonts w:asciiTheme="majorBidi" w:hAnsiTheme="majorBidi" w:cstheme="majorBidi"/>
        </w:rPr>
        <w:t>is</w:t>
      </w:r>
      <w:r w:rsidR="00FD470D" w:rsidRPr="00433908">
        <w:rPr>
          <w:rFonts w:asciiTheme="majorBidi" w:hAnsiTheme="majorBidi" w:cstheme="majorBidi"/>
        </w:rPr>
        <w:t xml:space="preserve"> only that the </w:t>
      </w:r>
      <w:r w:rsidR="000C560C">
        <w:rPr>
          <w:rFonts w:asciiTheme="majorBidi" w:hAnsiTheme="majorBidi" w:cstheme="majorBidi"/>
        </w:rPr>
        <w:t xml:space="preserve">benefitted </w:t>
      </w:r>
      <w:r w:rsidR="00FD470D" w:rsidRPr="00433908">
        <w:rPr>
          <w:rFonts w:asciiTheme="majorBidi" w:hAnsiTheme="majorBidi" w:cstheme="majorBidi"/>
        </w:rPr>
        <w:t xml:space="preserve">shareholder </w:t>
      </w:r>
      <w:r w:rsidR="00C540D9" w:rsidRPr="00433908">
        <w:rPr>
          <w:rFonts w:asciiTheme="majorBidi" w:hAnsiTheme="majorBidi" w:cstheme="majorBidi"/>
        </w:rPr>
        <w:t>be a prominent figure</w:t>
      </w:r>
      <w:r w:rsidR="002A6A80" w:rsidRPr="00433908">
        <w:rPr>
          <w:rFonts w:asciiTheme="majorBidi" w:hAnsiTheme="majorBidi" w:cstheme="majorBidi"/>
        </w:rPr>
        <w:t>.</w:t>
      </w:r>
      <w:r w:rsidR="005A708E" w:rsidRPr="00433908">
        <w:rPr>
          <w:rFonts w:asciiTheme="majorBidi" w:hAnsiTheme="majorBidi" w:cstheme="majorBidi"/>
        </w:rPr>
        <w:t xml:space="preserve"> In fact, the scenario is even more likely if the institutional investor holds </w:t>
      </w:r>
      <w:r w:rsidR="005A708E" w:rsidRPr="00433908">
        <w:rPr>
          <w:rFonts w:asciiTheme="majorBidi" w:hAnsiTheme="majorBidi" w:cstheme="majorBidi"/>
          <w:i/>
          <w:iCs/>
        </w:rPr>
        <w:t xml:space="preserve">none </w:t>
      </w:r>
      <w:r w:rsidR="005A708E" w:rsidRPr="00433908">
        <w:rPr>
          <w:rFonts w:asciiTheme="majorBidi" w:hAnsiTheme="majorBidi" w:cstheme="majorBidi"/>
        </w:rPr>
        <w:t xml:space="preserve">of the unilaterally coordinating firm’s stock. </w:t>
      </w:r>
    </w:p>
    <w:p w14:paraId="23941F30" w14:textId="77777777" w:rsidR="00AC255D" w:rsidRPr="00433908" w:rsidRDefault="00AC255D" w:rsidP="00AC255D">
      <w:pPr>
        <w:jc w:val="both"/>
        <w:rPr>
          <w:rFonts w:asciiTheme="majorBidi" w:hAnsiTheme="majorBidi" w:cstheme="majorBidi"/>
        </w:rPr>
      </w:pPr>
    </w:p>
    <w:p w14:paraId="7D7DCD26" w14:textId="558DF4A2" w:rsidR="00967771" w:rsidRPr="00433908" w:rsidRDefault="00DE3D46" w:rsidP="00D118AD">
      <w:pPr>
        <w:jc w:val="both"/>
        <w:rPr>
          <w:rFonts w:asciiTheme="majorBidi" w:hAnsiTheme="majorBidi" w:cstheme="majorBidi"/>
        </w:rPr>
      </w:pPr>
      <w:r w:rsidRPr="00433908">
        <w:rPr>
          <w:rFonts w:asciiTheme="majorBidi" w:hAnsiTheme="majorBidi" w:cstheme="majorBidi"/>
        </w:rPr>
        <w:t xml:space="preserve">Consider the following setting: BlackRock, a leading institutional investor, holds 0.5% of firm </w:t>
      </w:r>
      <w:r w:rsidR="00D665C6" w:rsidRPr="00433908">
        <w:rPr>
          <w:rFonts w:asciiTheme="majorBidi" w:hAnsiTheme="majorBidi" w:cstheme="majorBidi"/>
        </w:rPr>
        <w:t>A</w:t>
      </w:r>
      <w:r w:rsidRPr="00433908">
        <w:rPr>
          <w:rFonts w:asciiTheme="majorBidi" w:hAnsiTheme="majorBidi" w:cstheme="majorBidi"/>
        </w:rPr>
        <w:t xml:space="preserve">’s outstanding stock and </w:t>
      </w:r>
      <w:r w:rsidR="00C13E5C" w:rsidRPr="00433908">
        <w:rPr>
          <w:rFonts w:asciiTheme="majorBidi" w:hAnsiTheme="majorBidi" w:cstheme="majorBidi"/>
        </w:rPr>
        <w:t>3</w:t>
      </w:r>
      <w:r w:rsidRPr="00433908">
        <w:rPr>
          <w:rFonts w:asciiTheme="majorBidi" w:hAnsiTheme="majorBidi" w:cstheme="majorBidi"/>
        </w:rPr>
        <w:t xml:space="preserve">% of firm </w:t>
      </w:r>
      <w:r w:rsidR="00D665C6" w:rsidRPr="00433908">
        <w:rPr>
          <w:rFonts w:asciiTheme="majorBidi" w:hAnsiTheme="majorBidi" w:cstheme="majorBidi"/>
        </w:rPr>
        <w:t>B</w:t>
      </w:r>
      <w:r w:rsidRPr="00433908">
        <w:rPr>
          <w:rFonts w:asciiTheme="majorBidi" w:hAnsiTheme="majorBidi" w:cstheme="majorBidi"/>
        </w:rPr>
        <w:t xml:space="preserve">’s outstanding stock. Firm </w:t>
      </w:r>
      <w:r w:rsidR="00D665C6" w:rsidRPr="00433908">
        <w:rPr>
          <w:rFonts w:asciiTheme="majorBidi" w:hAnsiTheme="majorBidi" w:cstheme="majorBidi"/>
        </w:rPr>
        <w:t>A</w:t>
      </w:r>
      <w:r w:rsidRPr="00433908">
        <w:rPr>
          <w:rFonts w:asciiTheme="majorBidi" w:hAnsiTheme="majorBidi" w:cstheme="majorBidi"/>
        </w:rPr>
        <w:t xml:space="preserve">’s CEO decides to raise </w:t>
      </w:r>
      <w:r w:rsidR="00C13E5C" w:rsidRPr="00433908">
        <w:rPr>
          <w:rFonts w:asciiTheme="majorBidi" w:hAnsiTheme="majorBidi" w:cstheme="majorBidi"/>
        </w:rPr>
        <w:t xml:space="preserve">firm </w:t>
      </w:r>
      <w:r w:rsidR="00D665C6" w:rsidRPr="00433908">
        <w:rPr>
          <w:rFonts w:asciiTheme="majorBidi" w:hAnsiTheme="majorBidi" w:cstheme="majorBidi"/>
        </w:rPr>
        <w:t>A</w:t>
      </w:r>
      <w:r w:rsidR="00C13E5C" w:rsidRPr="00433908">
        <w:rPr>
          <w:rFonts w:asciiTheme="majorBidi" w:hAnsiTheme="majorBidi" w:cstheme="majorBidi"/>
        </w:rPr>
        <w:t xml:space="preserve">’s </w:t>
      </w:r>
      <w:r w:rsidRPr="00433908">
        <w:rPr>
          <w:rFonts w:asciiTheme="majorBidi" w:hAnsiTheme="majorBidi" w:cstheme="majorBidi"/>
        </w:rPr>
        <w:t xml:space="preserve">prices to an unprofitable level, hoping that other investors will not understand that the price-increase is in fact a breach of the CEO’s fiduciary </w:t>
      </w:r>
      <w:r w:rsidR="002A6A80" w:rsidRPr="00433908">
        <w:rPr>
          <w:rFonts w:asciiTheme="majorBidi" w:hAnsiTheme="majorBidi" w:cstheme="majorBidi"/>
        </w:rPr>
        <w:t>duties, but that BlackRock will. The CEO further anticipates that although under no obligation to do so, BlackRock</w:t>
      </w:r>
      <w:r w:rsidRPr="00433908">
        <w:rPr>
          <w:rFonts w:asciiTheme="majorBidi" w:hAnsiTheme="majorBidi" w:cstheme="majorBidi"/>
        </w:rPr>
        <w:t xml:space="preserve"> </w:t>
      </w:r>
      <w:r w:rsidR="002A6A80" w:rsidRPr="00433908">
        <w:rPr>
          <w:rFonts w:asciiTheme="majorBidi" w:hAnsiTheme="majorBidi" w:cstheme="majorBidi"/>
        </w:rPr>
        <w:t xml:space="preserve">will </w:t>
      </w:r>
      <w:r w:rsidRPr="00433908">
        <w:rPr>
          <w:rFonts w:asciiTheme="majorBidi" w:hAnsiTheme="majorBidi" w:cstheme="majorBidi"/>
        </w:rPr>
        <w:t xml:space="preserve">offer him some future </w:t>
      </w:r>
      <w:r w:rsidR="00D665C6" w:rsidRPr="00433908">
        <w:rPr>
          <w:rFonts w:asciiTheme="majorBidi" w:hAnsiTheme="majorBidi" w:cstheme="majorBidi"/>
        </w:rPr>
        <w:t>lucrative employment contract</w:t>
      </w:r>
      <w:r w:rsidRPr="00433908">
        <w:rPr>
          <w:rFonts w:asciiTheme="majorBidi" w:hAnsiTheme="majorBidi" w:cstheme="majorBidi"/>
        </w:rPr>
        <w:t xml:space="preserve">. </w:t>
      </w:r>
      <w:r w:rsidR="00C13E5C" w:rsidRPr="00433908">
        <w:rPr>
          <w:rFonts w:asciiTheme="majorBidi" w:hAnsiTheme="majorBidi" w:cstheme="majorBidi"/>
        </w:rPr>
        <w:t xml:space="preserve">This scenario is precisely the scenario envisaged by advocates of the anti-competitive theory of harm brought about by </w:t>
      </w:r>
      <w:r w:rsidR="00B26F9E" w:rsidRPr="00433908">
        <w:rPr>
          <w:rFonts w:asciiTheme="majorBidi" w:hAnsiTheme="majorBidi" w:cstheme="majorBidi"/>
        </w:rPr>
        <w:t>cross</w:t>
      </w:r>
      <w:r w:rsidR="00422A95" w:rsidRPr="00433908">
        <w:rPr>
          <w:rFonts w:asciiTheme="majorBidi" w:hAnsiTheme="majorBidi" w:cstheme="majorBidi"/>
        </w:rPr>
        <w:t xml:space="preserve"> ownership</w:t>
      </w:r>
      <w:r w:rsidR="00C13E5C" w:rsidRPr="00433908">
        <w:rPr>
          <w:rFonts w:asciiTheme="majorBidi" w:hAnsiTheme="majorBidi" w:cstheme="majorBidi"/>
        </w:rPr>
        <w:t xml:space="preserve">. </w:t>
      </w:r>
      <w:r w:rsidR="00654D91" w:rsidRPr="00433908">
        <w:rPr>
          <w:rFonts w:asciiTheme="majorBidi" w:hAnsiTheme="majorBidi" w:cstheme="majorBidi"/>
        </w:rPr>
        <w:t xml:space="preserve">First, </w:t>
      </w:r>
      <w:r w:rsidR="00551689" w:rsidRPr="00433908">
        <w:rPr>
          <w:rFonts w:asciiTheme="majorBidi" w:hAnsiTheme="majorBidi" w:cstheme="majorBidi"/>
        </w:rPr>
        <w:t xml:space="preserve">the ploy is more profitable for BlackRock the </w:t>
      </w:r>
      <w:r w:rsidR="00551689" w:rsidRPr="00433908">
        <w:rPr>
          <w:rFonts w:asciiTheme="majorBidi" w:hAnsiTheme="majorBidi" w:cstheme="majorBidi"/>
          <w:i/>
          <w:iCs/>
        </w:rPr>
        <w:t>smaller</w:t>
      </w:r>
      <w:r w:rsidR="00551689" w:rsidRPr="00433908">
        <w:rPr>
          <w:rFonts w:asciiTheme="majorBidi" w:hAnsiTheme="majorBidi" w:cstheme="majorBidi"/>
        </w:rPr>
        <w:t xml:space="preserve"> its holdings in firm A. </w:t>
      </w:r>
      <w:r w:rsidR="005A708E" w:rsidRPr="00433908">
        <w:rPr>
          <w:rFonts w:asciiTheme="majorBidi" w:hAnsiTheme="majorBidi" w:cstheme="majorBidi"/>
        </w:rPr>
        <w:t>T</w:t>
      </w:r>
      <w:r w:rsidR="00551689" w:rsidRPr="00433908">
        <w:rPr>
          <w:rFonts w:asciiTheme="majorBidi" w:hAnsiTheme="majorBidi" w:cstheme="majorBidi"/>
        </w:rPr>
        <w:t xml:space="preserve">he profitability </w:t>
      </w:r>
      <w:r w:rsidR="009406EB" w:rsidRPr="00433908">
        <w:rPr>
          <w:rFonts w:asciiTheme="majorBidi" w:hAnsiTheme="majorBidi" w:cstheme="majorBidi"/>
        </w:rPr>
        <w:t xml:space="preserve">of the scheme </w:t>
      </w:r>
      <w:r w:rsidR="00551689" w:rsidRPr="00433908">
        <w:rPr>
          <w:rFonts w:asciiTheme="majorBidi" w:hAnsiTheme="majorBidi" w:cstheme="majorBidi"/>
        </w:rPr>
        <w:t>i</w:t>
      </w:r>
      <w:r w:rsidR="009406EB" w:rsidRPr="00433908">
        <w:rPr>
          <w:rFonts w:asciiTheme="majorBidi" w:hAnsiTheme="majorBidi" w:cstheme="majorBidi"/>
        </w:rPr>
        <w:t>s</w:t>
      </w:r>
      <w:r w:rsidR="00A57341">
        <w:rPr>
          <w:rFonts w:asciiTheme="majorBidi" w:hAnsiTheme="majorBidi" w:cstheme="majorBidi"/>
        </w:rPr>
        <w:t>, as will be recalled,</w:t>
      </w:r>
      <w:r w:rsidR="00551689" w:rsidRPr="00433908">
        <w:rPr>
          <w:rFonts w:asciiTheme="majorBidi" w:hAnsiTheme="majorBidi" w:cstheme="majorBidi"/>
        </w:rPr>
        <w:t xml:space="preserve"> a function of the </w:t>
      </w:r>
      <w:r w:rsidR="00551689" w:rsidRPr="00433908">
        <w:rPr>
          <w:rFonts w:asciiTheme="majorBidi" w:hAnsiTheme="majorBidi" w:cstheme="majorBidi"/>
          <w:i/>
          <w:iCs/>
        </w:rPr>
        <w:t>difference</w:t>
      </w:r>
      <w:r w:rsidR="00551689" w:rsidRPr="00433908">
        <w:rPr>
          <w:rFonts w:asciiTheme="majorBidi" w:hAnsiTheme="majorBidi" w:cstheme="majorBidi"/>
        </w:rPr>
        <w:t xml:space="preserve"> in </w:t>
      </w:r>
      <w:r w:rsidR="005A708E" w:rsidRPr="00433908">
        <w:rPr>
          <w:rFonts w:asciiTheme="majorBidi" w:hAnsiTheme="majorBidi" w:cstheme="majorBidi"/>
        </w:rPr>
        <w:t xml:space="preserve">BlackRock’s </w:t>
      </w:r>
      <w:r w:rsidR="00551689" w:rsidRPr="00433908">
        <w:rPr>
          <w:rFonts w:asciiTheme="majorBidi" w:hAnsiTheme="majorBidi" w:cstheme="majorBidi"/>
        </w:rPr>
        <w:t xml:space="preserve">holdings </w:t>
      </w:r>
      <w:r w:rsidR="005A708E" w:rsidRPr="00433908">
        <w:rPr>
          <w:rFonts w:asciiTheme="majorBidi" w:hAnsiTheme="majorBidi" w:cstheme="majorBidi"/>
        </w:rPr>
        <w:t>in</w:t>
      </w:r>
      <w:r w:rsidR="00551689" w:rsidRPr="00433908">
        <w:rPr>
          <w:rFonts w:asciiTheme="majorBidi" w:hAnsiTheme="majorBidi" w:cstheme="majorBidi"/>
        </w:rPr>
        <w:t xml:space="preserve"> the </w:t>
      </w:r>
      <w:r w:rsidR="005A708E" w:rsidRPr="00433908">
        <w:rPr>
          <w:rFonts w:asciiTheme="majorBidi" w:hAnsiTheme="majorBidi" w:cstheme="majorBidi"/>
        </w:rPr>
        <w:t xml:space="preserve">unilaterally </w:t>
      </w:r>
      <w:r w:rsidR="00551689" w:rsidRPr="00433908">
        <w:rPr>
          <w:rFonts w:asciiTheme="majorBidi" w:hAnsiTheme="majorBidi" w:cstheme="majorBidi"/>
        </w:rPr>
        <w:t>co</w:t>
      </w:r>
      <w:r w:rsidR="005A708E" w:rsidRPr="00433908">
        <w:rPr>
          <w:rFonts w:asciiTheme="majorBidi" w:hAnsiTheme="majorBidi" w:cstheme="majorBidi"/>
        </w:rPr>
        <w:t>ordinating</w:t>
      </w:r>
      <w:r w:rsidR="00551689" w:rsidRPr="00433908">
        <w:rPr>
          <w:rFonts w:asciiTheme="majorBidi" w:hAnsiTheme="majorBidi" w:cstheme="majorBidi"/>
        </w:rPr>
        <w:t xml:space="preserve"> firm and the firm to which profits flow. </w:t>
      </w:r>
      <w:r w:rsidR="00AC255D" w:rsidRPr="00433908">
        <w:rPr>
          <w:rFonts w:asciiTheme="majorBidi" w:hAnsiTheme="majorBidi" w:cstheme="majorBidi"/>
        </w:rPr>
        <w:t xml:space="preserve">For any level of holding in the competing firm, if </w:t>
      </w:r>
      <w:r w:rsidR="00551689" w:rsidRPr="00433908">
        <w:rPr>
          <w:rFonts w:asciiTheme="majorBidi" w:hAnsiTheme="majorBidi" w:cstheme="majorBidi"/>
        </w:rPr>
        <w:t xml:space="preserve">BlackRock’s holdings drop to zero in the unilaterally </w:t>
      </w:r>
      <w:r w:rsidR="00D279CB" w:rsidRPr="00433908">
        <w:rPr>
          <w:rFonts w:asciiTheme="majorBidi" w:hAnsiTheme="majorBidi" w:cstheme="majorBidi"/>
        </w:rPr>
        <w:t>coordinati</w:t>
      </w:r>
      <w:r w:rsidR="00551689" w:rsidRPr="00433908">
        <w:rPr>
          <w:rFonts w:asciiTheme="majorBidi" w:hAnsiTheme="majorBidi" w:cstheme="majorBidi"/>
        </w:rPr>
        <w:t>ng firm, its profits are maximized.</w:t>
      </w:r>
      <w:r w:rsidR="00551689" w:rsidRPr="00433908">
        <w:rPr>
          <w:rStyle w:val="FootnoteReference"/>
          <w:rFonts w:asciiTheme="majorBidi" w:hAnsiTheme="majorBidi" w:cstheme="majorBidi"/>
        </w:rPr>
        <w:footnoteReference w:id="99"/>
      </w:r>
      <w:r w:rsidR="00551689" w:rsidRPr="00433908">
        <w:rPr>
          <w:rFonts w:asciiTheme="majorBidi" w:hAnsiTheme="majorBidi" w:cstheme="majorBidi"/>
        </w:rPr>
        <w:t xml:space="preserve"> Second, if </w:t>
      </w:r>
      <w:r w:rsidR="003C2D94" w:rsidRPr="00433908">
        <w:rPr>
          <w:rFonts w:asciiTheme="majorBidi" w:hAnsiTheme="majorBidi" w:cstheme="majorBidi"/>
        </w:rPr>
        <w:t>BlackRock</w:t>
      </w:r>
      <w:r w:rsidR="00551689" w:rsidRPr="00433908">
        <w:rPr>
          <w:rFonts w:asciiTheme="majorBidi" w:hAnsiTheme="majorBidi" w:cstheme="majorBidi"/>
        </w:rPr>
        <w:t xml:space="preserve"> is not a shareholder </w:t>
      </w:r>
      <w:r w:rsidR="00440B14" w:rsidRPr="00433908">
        <w:rPr>
          <w:rFonts w:asciiTheme="majorBidi" w:hAnsiTheme="majorBidi" w:cstheme="majorBidi"/>
        </w:rPr>
        <w:t>of</w:t>
      </w:r>
      <w:r w:rsidR="00551689" w:rsidRPr="00433908">
        <w:rPr>
          <w:rFonts w:asciiTheme="majorBidi" w:hAnsiTheme="majorBidi" w:cstheme="majorBidi"/>
        </w:rPr>
        <w:t xml:space="preserve"> the unilaterally coordinating</w:t>
      </w:r>
      <w:r w:rsidR="00440B14" w:rsidRPr="00433908">
        <w:rPr>
          <w:rFonts w:asciiTheme="majorBidi" w:hAnsiTheme="majorBidi" w:cstheme="majorBidi"/>
        </w:rPr>
        <w:t xml:space="preserve"> firm</w:t>
      </w:r>
      <w:r w:rsidR="00551689" w:rsidRPr="00433908">
        <w:rPr>
          <w:rFonts w:asciiTheme="majorBidi" w:hAnsiTheme="majorBidi" w:cstheme="majorBidi"/>
        </w:rPr>
        <w:t xml:space="preserve">, the scheme becomes much more difficult to </w:t>
      </w:r>
      <w:r w:rsidR="00440B14" w:rsidRPr="00433908">
        <w:rPr>
          <w:rFonts w:asciiTheme="majorBidi" w:hAnsiTheme="majorBidi" w:cstheme="majorBidi"/>
        </w:rPr>
        <w:t>detect</w:t>
      </w:r>
      <w:r w:rsidR="00551689" w:rsidRPr="00433908">
        <w:rPr>
          <w:rFonts w:asciiTheme="majorBidi" w:hAnsiTheme="majorBidi" w:cstheme="majorBidi"/>
        </w:rPr>
        <w:t>. If BlackRock is a shareholder of firm A, other stakeholders or authorities are more likely to</w:t>
      </w:r>
      <w:r w:rsidR="00D279CB" w:rsidRPr="00433908">
        <w:rPr>
          <w:rFonts w:asciiTheme="majorBidi" w:hAnsiTheme="majorBidi" w:cstheme="majorBidi"/>
        </w:rPr>
        <w:t xml:space="preserve"> be </w:t>
      </w:r>
      <w:r w:rsidR="000079C2" w:rsidRPr="00433908">
        <w:rPr>
          <w:rFonts w:asciiTheme="majorBidi" w:hAnsiTheme="majorBidi" w:cstheme="majorBidi"/>
        </w:rPr>
        <w:t>alarmed by</w:t>
      </w:r>
      <w:r w:rsidR="00D279CB" w:rsidRPr="00433908">
        <w:rPr>
          <w:rFonts w:asciiTheme="majorBidi" w:hAnsiTheme="majorBidi" w:cstheme="majorBidi"/>
        </w:rPr>
        <w:t xml:space="preserve"> a business decision that turns out to be harmful to the firm</w:t>
      </w:r>
      <w:r w:rsidR="000079C2" w:rsidRPr="00433908">
        <w:rPr>
          <w:rFonts w:asciiTheme="majorBidi" w:hAnsiTheme="majorBidi" w:cstheme="majorBidi"/>
        </w:rPr>
        <w:t>,</w:t>
      </w:r>
      <w:r w:rsidR="00AC255D" w:rsidRPr="00433908">
        <w:rPr>
          <w:rFonts w:asciiTheme="majorBidi" w:hAnsiTheme="majorBidi" w:cstheme="majorBidi"/>
        </w:rPr>
        <w:t xml:space="preserve"> when another firm held by Blackrock reports increased earnings at the same time</w:t>
      </w:r>
      <w:r w:rsidR="00D279CB" w:rsidRPr="00433908">
        <w:rPr>
          <w:rFonts w:asciiTheme="majorBidi" w:hAnsiTheme="majorBidi" w:cstheme="majorBidi"/>
        </w:rPr>
        <w:t xml:space="preserve">. </w:t>
      </w:r>
      <w:r w:rsidR="00AC255D" w:rsidRPr="00433908">
        <w:rPr>
          <w:rFonts w:asciiTheme="majorBidi" w:hAnsiTheme="majorBidi" w:cstheme="majorBidi"/>
        </w:rPr>
        <w:t xml:space="preserve">Even if the precise scheme is unclear, red flags are likely to be raised. </w:t>
      </w:r>
      <w:r w:rsidR="000079C2" w:rsidRPr="00433908">
        <w:rPr>
          <w:rFonts w:asciiTheme="majorBidi" w:hAnsiTheme="majorBidi" w:cstheme="majorBidi"/>
        </w:rPr>
        <w:t>T</w:t>
      </w:r>
      <w:r w:rsidR="008C32CE" w:rsidRPr="00433908">
        <w:rPr>
          <w:rFonts w:asciiTheme="majorBidi" w:hAnsiTheme="majorBidi" w:cstheme="majorBidi"/>
        </w:rPr>
        <w:t xml:space="preserve">he scheme is much less conspicuous if BlackRock is not a shareholder </w:t>
      </w:r>
      <w:r w:rsidR="009406EB" w:rsidRPr="00433908">
        <w:rPr>
          <w:rFonts w:asciiTheme="majorBidi" w:hAnsiTheme="majorBidi" w:cstheme="majorBidi"/>
        </w:rPr>
        <w:t xml:space="preserve">of the unilaterally coordinating firm </w:t>
      </w:r>
      <w:r w:rsidR="008C32CE" w:rsidRPr="00433908">
        <w:rPr>
          <w:rFonts w:asciiTheme="majorBidi" w:hAnsiTheme="majorBidi" w:cstheme="majorBidi"/>
        </w:rPr>
        <w:t>at all.</w:t>
      </w:r>
      <w:r w:rsidR="003F3958" w:rsidRPr="00433908">
        <w:rPr>
          <w:rStyle w:val="FootnoteReference"/>
          <w:rFonts w:asciiTheme="majorBidi" w:hAnsiTheme="majorBidi" w:cstheme="majorBidi"/>
        </w:rPr>
        <w:footnoteReference w:id="100"/>
      </w:r>
      <w:r w:rsidR="008C32CE" w:rsidRPr="00433908">
        <w:rPr>
          <w:rFonts w:asciiTheme="majorBidi" w:hAnsiTheme="majorBidi" w:cstheme="majorBidi"/>
        </w:rPr>
        <w:t xml:space="preserve"> </w:t>
      </w:r>
      <w:r w:rsidR="00967771" w:rsidRPr="00433908">
        <w:rPr>
          <w:rFonts w:asciiTheme="majorBidi" w:hAnsiTheme="majorBidi" w:cstheme="majorBidi"/>
        </w:rPr>
        <w:t xml:space="preserve">This is not to suggest that detection is always likely if BlackRock is a shareholder </w:t>
      </w:r>
      <w:r w:rsidR="009406EB" w:rsidRPr="00433908">
        <w:rPr>
          <w:rFonts w:asciiTheme="majorBidi" w:hAnsiTheme="majorBidi" w:cstheme="majorBidi"/>
        </w:rPr>
        <w:t>of</w:t>
      </w:r>
      <w:r w:rsidR="00967771" w:rsidRPr="00433908">
        <w:rPr>
          <w:rFonts w:asciiTheme="majorBidi" w:hAnsiTheme="majorBidi" w:cstheme="majorBidi"/>
        </w:rPr>
        <w:t xml:space="preserve"> firm A. But in this respect too, the unilaterally coordinating manager is better off if BlackRock is not a shareholder at all. </w:t>
      </w:r>
      <w:r w:rsidR="004E2F62" w:rsidRPr="00433908">
        <w:rPr>
          <w:rFonts w:asciiTheme="majorBidi" w:hAnsiTheme="majorBidi" w:cstheme="majorBidi"/>
        </w:rPr>
        <w:t>Finally, in jurisdictions in which sharehol</w:t>
      </w:r>
      <w:r w:rsidR="00DD264C" w:rsidRPr="00433908">
        <w:rPr>
          <w:rFonts w:asciiTheme="majorBidi" w:hAnsiTheme="majorBidi" w:cstheme="majorBidi"/>
        </w:rPr>
        <w:t>d</w:t>
      </w:r>
      <w:r w:rsidR="004E2F62" w:rsidRPr="00433908">
        <w:rPr>
          <w:rFonts w:asciiTheme="majorBidi" w:hAnsiTheme="majorBidi" w:cstheme="majorBidi"/>
        </w:rPr>
        <w:t xml:space="preserve">ers owe fiduciary duties to </w:t>
      </w:r>
      <w:r w:rsidR="00D118AD">
        <w:rPr>
          <w:rFonts w:asciiTheme="majorBidi" w:hAnsiTheme="majorBidi" w:cstheme="majorBidi"/>
        </w:rPr>
        <w:t>each other</w:t>
      </w:r>
      <w:r w:rsidR="004E2F62" w:rsidRPr="00433908">
        <w:rPr>
          <w:rFonts w:asciiTheme="majorBidi" w:hAnsiTheme="majorBidi" w:cstheme="majorBidi"/>
        </w:rPr>
        <w:t>,</w:t>
      </w:r>
      <w:r w:rsidR="00967771" w:rsidRPr="00433908">
        <w:rPr>
          <w:rStyle w:val="FootnoteReference"/>
          <w:rFonts w:asciiTheme="majorBidi" w:hAnsiTheme="majorBidi" w:cstheme="majorBidi"/>
        </w:rPr>
        <w:footnoteReference w:id="101"/>
      </w:r>
      <w:r w:rsidR="004E2F62" w:rsidRPr="00433908">
        <w:rPr>
          <w:rFonts w:asciiTheme="majorBidi" w:hAnsiTheme="majorBidi" w:cstheme="majorBidi"/>
        </w:rPr>
        <w:t xml:space="preserve"> </w:t>
      </w:r>
      <w:r w:rsidR="00967771" w:rsidRPr="00433908">
        <w:rPr>
          <w:rFonts w:asciiTheme="majorBidi" w:hAnsiTheme="majorBidi" w:cstheme="majorBidi"/>
        </w:rPr>
        <w:t>BlackRock itself, not only management, may be breaching its fiduciary duties if a firm it controls unilaterally coordinates.</w:t>
      </w:r>
    </w:p>
    <w:p w14:paraId="0A77F507" w14:textId="77777777" w:rsidR="009406EB" w:rsidRPr="00433908" w:rsidRDefault="009406EB" w:rsidP="00440B14">
      <w:pPr>
        <w:jc w:val="both"/>
        <w:rPr>
          <w:rFonts w:asciiTheme="majorBidi" w:hAnsiTheme="majorBidi" w:cstheme="majorBidi"/>
        </w:rPr>
      </w:pPr>
    </w:p>
    <w:p w14:paraId="2D66E630" w14:textId="4DA3AEDA" w:rsidR="00D665C6" w:rsidRPr="00433908" w:rsidRDefault="00440B14" w:rsidP="00D118AD">
      <w:pPr>
        <w:jc w:val="both"/>
        <w:rPr>
          <w:rFonts w:asciiTheme="majorBidi" w:hAnsiTheme="majorBidi" w:cstheme="majorBidi"/>
        </w:rPr>
      </w:pPr>
      <w:r w:rsidRPr="00433908">
        <w:rPr>
          <w:rFonts w:asciiTheme="majorBidi" w:hAnsiTheme="majorBidi" w:cstheme="majorBidi"/>
        </w:rPr>
        <w:t>I</w:t>
      </w:r>
      <w:r w:rsidR="00967771" w:rsidRPr="00433908">
        <w:rPr>
          <w:rFonts w:asciiTheme="majorBidi" w:hAnsiTheme="majorBidi" w:cstheme="majorBidi"/>
        </w:rPr>
        <w:t xml:space="preserve">f BlackRock holds no shares </w:t>
      </w:r>
      <w:r w:rsidRPr="00433908">
        <w:rPr>
          <w:rFonts w:asciiTheme="majorBidi" w:hAnsiTheme="majorBidi" w:cstheme="majorBidi"/>
        </w:rPr>
        <w:t xml:space="preserve">of </w:t>
      </w:r>
      <w:r w:rsidR="00967771" w:rsidRPr="00433908">
        <w:rPr>
          <w:rFonts w:asciiTheme="majorBidi" w:hAnsiTheme="majorBidi" w:cstheme="majorBidi"/>
        </w:rPr>
        <w:t xml:space="preserve">the unilaterally coordinating firm, the scheme is far more profitable, detection is much less likely, and both management’s risk and BlackRock’s risk (when a fiduciary duty is owed by shareholders) are significantly mitigated. At the same time, </w:t>
      </w:r>
      <w:r w:rsidR="00D279CB" w:rsidRPr="00433908">
        <w:rPr>
          <w:rFonts w:asciiTheme="majorBidi" w:hAnsiTheme="majorBidi" w:cstheme="majorBidi"/>
        </w:rPr>
        <w:t>BlackRock may still realize that the strategy was designed for its benefit, and re</w:t>
      </w:r>
      <w:r w:rsidR="00967771" w:rsidRPr="00433908">
        <w:rPr>
          <w:rFonts w:asciiTheme="majorBidi" w:hAnsiTheme="majorBidi" w:cstheme="majorBidi"/>
        </w:rPr>
        <w:t>ward the manager in the future.</w:t>
      </w:r>
    </w:p>
    <w:p w14:paraId="36FFC717" w14:textId="77777777" w:rsidR="009406EB" w:rsidRPr="00433908" w:rsidRDefault="009406EB" w:rsidP="00440B14">
      <w:pPr>
        <w:jc w:val="both"/>
        <w:rPr>
          <w:rFonts w:asciiTheme="majorBidi" w:hAnsiTheme="majorBidi" w:cstheme="majorBidi"/>
        </w:rPr>
      </w:pPr>
    </w:p>
    <w:p w14:paraId="6A9D2146" w14:textId="41C6DBDA" w:rsidR="00C13E5C" w:rsidRPr="00433908" w:rsidRDefault="009E2C71" w:rsidP="00422A95">
      <w:pPr>
        <w:jc w:val="both"/>
        <w:rPr>
          <w:rFonts w:asciiTheme="majorBidi" w:hAnsiTheme="majorBidi" w:cstheme="majorBidi"/>
        </w:rPr>
      </w:pPr>
      <w:r w:rsidRPr="00433908">
        <w:rPr>
          <w:rFonts w:asciiTheme="majorBidi" w:hAnsiTheme="majorBidi" w:cstheme="majorBidi"/>
        </w:rPr>
        <w:lastRenderedPageBreak/>
        <w:t>Ultimately, the theory boils down to an argument that a</w:t>
      </w:r>
      <w:r w:rsidR="00BD0840" w:rsidRPr="00433908">
        <w:rPr>
          <w:rFonts w:asciiTheme="majorBidi" w:hAnsiTheme="majorBidi" w:cstheme="majorBidi"/>
        </w:rPr>
        <w:t xml:space="preserve"> firm’s</w:t>
      </w:r>
      <w:r w:rsidRPr="00433908">
        <w:rPr>
          <w:rFonts w:asciiTheme="majorBidi" w:hAnsiTheme="majorBidi" w:cstheme="majorBidi"/>
        </w:rPr>
        <w:t xml:space="preserve"> manage</w:t>
      </w:r>
      <w:r w:rsidR="00415669" w:rsidRPr="00433908">
        <w:rPr>
          <w:rFonts w:asciiTheme="majorBidi" w:hAnsiTheme="majorBidi" w:cstheme="majorBidi"/>
        </w:rPr>
        <w:t>ment</w:t>
      </w:r>
      <w:r w:rsidRPr="00433908">
        <w:rPr>
          <w:rFonts w:asciiTheme="majorBidi" w:hAnsiTheme="majorBidi" w:cstheme="majorBidi"/>
        </w:rPr>
        <w:t xml:space="preserve"> may </w:t>
      </w:r>
      <w:r w:rsidR="00F4143F" w:rsidRPr="00433908">
        <w:rPr>
          <w:rFonts w:asciiTheme="majorBidi" w:hAnsiTheme="majorBidi" w:cstheme="majorBidi"/>
        </w:rPr>
        <w:t>devise a strategy</w:t>
      </w:r>
      <w:r w:rsidR="00987A6C" w:rsidRPr="00433908">
        <w:rPr>
          <w:rFonts w:asciiTheme="majorBidi" w:hAnsiTheme="majorBidi" w:cstheme="majorBidi"/>
        </w:rPr>
        <w:t xml:space="preserve"> </w:t>
      </w:r>
      <w:r w:rsidR="00F4143F" w:rsidRPr="00433908">
        <w:rPr>
          <w:rFonts w:asciiTheme="majorBidi" w:hAnsiTheme="majorBidi" w:cstheme="majorBidi"/>
        </w:rPr>
        <w:t xml:space="preserve">that, while in </w:t>
      </w:r>
      <w:r w:rsidRPr="00433908">
        <w:rPr>
          <w:rFonts w:asciiTheme="majorBidi" w:hAnsiTheme="majorBidi" w:cstheme="majorBidi"/>
        </w:rPr>
        <w:t>breach</w:t>
      </w:r>
      <w:r w:rsidR="00BD0840" w:rsidRPr="00433908">
        <w:rPr>
          <w:rFonts w:asciiTheme="majorBidi" w:hAnsiTheme="majorBidi" w:cstheme="majorBidi"/>
        </w:rPr>
        <w:t xml:space="preserve"> of the managers</w:t>
      </w:r>
      <w:r w:rsidR="00415669" w:rsidRPr="00433908">
        <w:rPr>
          <w:rFonts w:asciiTheme="majorBidi" w:hAnsiTheme="majorBidi" w:cstheme="majorBidi"/>
        </w:rPr>
        <w:t>’</w:t>
      </w:r>
      <w:r w:rsidR="00D42388" w:rsidRPr="00433908">
        <w:rPr>
          <w:rFonts w:asciiTheme="majorBidi" w:hAnsiTheme="majorBidi" w:cstheme="majorBidi"/>
        </w:rPr>
        <w:t xml:space="preserve"> f</w:t>
      </w:r>
      <w:r w:rsidR="00BD0840" w:rsidRPr="00433908">
        <w:rPr>
          <w:rFonts w:asciiTheme="majorBidi" w:hAnsiTheme="majorBidi" w:cstheme="majorBidi"/>
        </w:rPr>
        <w:t xml:space="preserve">iduciary duties, </w:t>
      </w:r>
      <w:r w:rsidR="00422A95" w:rsidRPr="00433908">
        <w:rPr>
          <w:rFonts w:asciiTheme="majorBidi" w:hAnsiTheme="majorBidi" w:cstheme="majorBidi"/>
        </w:rPr>
        <w:t>t</w:t>
      </w:r>
      <w:r w:rsidR="00072F15" w:rsidRPr="00433908">
        <w:rPr>
          <w:rFonts w:asciiTheme="majorBidi" w:hAnsiTheme="majorBidi" w:cstheme="majorBidi"/>
        </w:rPr>
        <w:t>unnels funds to</w:t>
      </w:r>
      <w:r w:rsidR="00F4143F" w:rsidRPr="00433908">
        <w:rPr>
          <w:rFonts w:asciiTheme="majorBidi" w:hAnsiTheme="majorBidi" w:cstheme="majorBidi"/>
        </w:rPr>
        <w:t xml:space="preserve"> an influential figure, </w:t>
      </w:r>
      <w:r w:rsidR="00D279CB" w:rsidRPr="00433908">
        <w:rPr>
          <w:rFonts w:asciiTheme="majorBidi" w:hAnsiTheme="majorBidi" w:cstheme="majorBidi"/>
        </w:rPr>
        <w:t xml:space="preserve">for </w:t>
      </w:r>
      <w:r w:rsidR="00415669" w:rsidRPr="00433908">
        <w:rPr>
          <w:rFonts w:asciiTheme="majorBidi" w:hAnsiTheme="majorBidi" w:cstheme="majorBidi"/>
        </w:rPr>
        <w:t xml:space="preserve">no immediate benefit, but with </w:t>
      </w:r>
      <w:r w:rsidR="00D279CB" w:rsidRPr="00433908">
        <w:rPr>
          <w:rFonts w:asciiTheme="majorBidi" w:hAnsiTheme="majorBidi" w:cstheme="majorBidi"/>
        </w:rPr>
        <w:t xml:space="preserve">hope of future reward. An influential entity’s gratitude </w:t>
      </w:r>
      <w:r w:rsidR="00F4143F" w:rsidRPr="00433908">
        <w:rPr>
          <w:rFonts w:asciiTheme="majorBidi" w:hAnsiTheme="majorBidi" w:cstheme="majorBidi"/>
        </w:rPr>
        <w:t xml:space="preserve">may definitely be </w:t>
      </w:r>
      <w:r w:rsidR="00D279CB" w:rsidRPr="00433908">
        <w:rPr>
          <w:rFonts w:asciiTheme="majorBidi" w:hAnsiTheme="majorBidi" w:cstheme="majorBidi"/>
        </w:rPr>
        <w:t>valuable</w:t>
      </w:r>
      <w:r w:rsidR="008C32CE" w:rsidRPr="00433908">
        <w:rPr>
          <w:rFonts w:asciiTheme="majorBidi" w:hAnsiTheme="majorBidi" w:cstheme="majorBidi"/>
        </w:rPr>
        <w:t>.</w:t>
      </w:r>
      <w:r w:rsidR="00D279CB" w:rsidRPr="00433908">
        <w:rPr>
          <w:rFonts w:asciiTheme="majorBidi" w:hAnsiTheme="majorBidi" w:cstheme="majorBidi"/>
        </w:rPr>
        <w:t xml:space="preserve"> </w:t>
      </w:r>
      <w:r w:rsidR="008C32CE" w:rsidRPr="00433908">
        <w:rPr>
          <w:rFonts w:asciiTheme="majorBidi" w:hAnsiTheme="majorBidi" w:cstheme="majorBidi"/>
        </w:rPr>
        <w:t>A</w:t>
      </w:r>
      <w:r w:rsidR="00D279CB" w:rsidRPr="00433908">
        <w:rPr>
          <w:rFonts w:asciiTheme="majorBidi" w:hAnsiTheme="majorBidi" w:cstheme="majorBidi"/>
        </w:rPr>
        <w:t xml:space="preserve">nd </w:t>
      </w:r>
      <w:r w:rsidR="00946524" w:rsidRPr="00433908">
        <w:rPr>
          <w:rFonts w:asciiTheme="majorBidi" w:hAnsiTheme="majorBidi" w:cstheme="majorBidi"/>
        </w:rPr>
        <w:t>although prohibited,</w:t>
      </w:r>
      <w:r w:rsidR="00946524" w:rsidRPr="00433908">
        <w:rPr>
          <w:rStyle w:val="FootnoteReference"/>
          <w:rFonts w:asciiTheme="majorBidi" w:hAnsiTheme="majorBidi" w:cstheme="majorBidi"/>
        </w:rPr>
        <w:footnoteReference w:id="102"/>
      </w:r>
      <w:r w:rsidR="00946524" w:rsidRPr="00433908">
        <w:rPr>
          <w:rFonts w:asciiTheme="majorBidi" w:hAnsiTheme="majorBidi" w:cstheme="majorBidi"/>
        </w:rPr>
        <w:t xml:space="preserve"> </w:t>
      </w:r>
      <w:r w:rsidR="00D279CB" w:rsidRPr="00433908">
        <w:rPr>
          <w:rFonts w:asciiTheme="majorBidi" w:hAnsiTheme="majorBidi" w:cstheme="majorBidi"/>
        </w:rPr>
        <w:t>managers may indeed breach their obligations to other shareholders i</w:t>
      </w:r>
      <w:r w:rsidR="00946524" w:rsidRPr="00433908">
        <w:rPr>
          <w:rFonts w:asciiTheme="majorBidi" w:hAnsiTheme="majorBidi" w:cstheme="majorBidi"/>
        </w:rPr>
        <w:t>f they have the opportunity to self-serve</w:t>
      </w:r>
      <w:r w:rsidR="00D279CB" w:rsidRPr="00433908">
        <w:rPr>
          <w:rFonts w:asciiTheme="majorBidi" w:hAnsiTheme="majorBidi" w:cstheme="majorBidi"/>
        </w:rPr>
        <w:t>.</w:t>
      </w:r>
      <w:r w:rsidR="00946524" w:rsidRPr="00433908">
        <w:rPr>
          <w:rFonts w:asciiTheme="majorBidi" w:hAnsiTheme="majorBidi" w:cstheme="majorBidi"/>
        </w:rPr>
        <w:t xml:space="preserve"> B</w:t>
      </w:r>
      <w:r w:rsidR="00F4143F" w:rsidRPr="00433908">
        <w:rPr>
          <w:rFonts w:asciiTheme="majorBidi" w:hAnsiTheme="majorBidi" w:cstheme="majorBidi"/>
        </w:rPr>
        <w:t xml:space="preserve">ut </w:t>
      </w:r>
      <w:r w:rsidR="00E90819" w:rsidRPr="00433908">
        <w:rPr>
          <w:rFonts w:asciiTheme="majorBidi" w:hAnsiTheme="majorBidi" w:cstheme="majorBidi"/>
        </w:rPr>
        <w:t xml:space="preserve">even if this is </w:t>
      </w:r>
      <w:r w:rsidR="00415669" w:rsidRPr="00433908">
        <w:rPr>
          <w:rFonts w:asciiTheme="majorBidi" w:hAnsiTheme="majorBidi" w:cstheme="majorBidi"/>
        </w:rPr>
        <w:t xml:space="preserve">somehow </w:t>
      </w:r>
      <w:r w:rsidR="00E90819" w:rsidRPr="00433908">
        <w:rPr>
          <w:rFonts w:asciiTheme="majorBidi" w:hAnsiTheme="majorBidi" w:cstheme="majorBidi"/>
        </w:rPr>
        <w:t xml:space="preserve">likely absent </w:t>
      </w:r>
      <w:r w:rsidR="00422A95" w:rsidRPr="00433908">
        <w:rPr>
          <w:rFonts w:asciiTheme="majorBidi" w:hAnsiTheme="majorBidi" w:cstheme="majorBidi"/>
        </w:rPr>
        <w:t>an</w:t>
      </w:r>
      <w:r w:rsidR="00E90819" w:rsidRPr="00433908">
        <w:rPr>
          <w:rFonts w:asciiTheme="majorBidi" w:hAnsiTheme="majorBidi" w:cstheme="majorBidi"/>
        </w:rPr>
        <w:t xml:space="preserve"> agreement, or at least explicit understanding, it </w:t>
      </w:r>
      <w:r w:rsidR="00F4143F" w:rsidRPr="00433908">
        <w:rPr>
          <w:rFonts w:asciiTheme="majorBidi" w:hAnsiTheme="majorBidi" w:cstheme="majorBidi"/>
        </w:rPr>
        <w:t xml:space="preserve">has very little to do with </w:t>
      </w:r>
      <w:r w:rsidR="00440B14" w:rsidRPr="00433908">
        <w:rPr>
          <w:rFonts w:asciiTheme="majorBidi" w:hAnsiTheme="majorBidi" w:cstheme="majorBidi"/>
        </w:rPr>
        <w:t>cross</w:t>
      </w:r>
      <w:r w:rsidR="008567FE" w:rsidRPr="00433908">
        <w:rPr>
          <w:rFonts w:asciiTheme="majorBidi" w:hAnsiTheme="majorBidi" w:cstheme="majorBidi"/>
        </w:rPr>
        <w:t xml:space="preserve"> ownership</w:t>
      </w:r>
      <w:r w:rsidR="00440B14" w:rsidRPr="00433908">
        <w:rPr>
          <w:rFonts w:asciiTheme="majorBidi" w:hAnsiTheme="majorBidi" w:cstheme="majorBidi"/>
        </w:rPr>
        <w:t xml:space="preserve"> in </w:t>
      </w:r>
      <w:r w:rsidR="008567FE" w:rsidRPr="00433908">
        <w:rPr>
          <w:rFonts w:asciiTheme="majorBidi" w:hAnsiTheme="majorBidi" w:cstheme="majorBidi"/>
        </w:rPr>
        <w:t xml:space="preserve">the </w:t>
      </w:r>
      <w:r w:rsidR="00440B14" w:rsidRPr="00433908">
        <w:rPr>
          <w:rFonts w:asciiTheme="majorBidi" w:hAnsiTheme="majorBidi" w:cstheme="majorBidi"/>
        </w:rPr>
        <w:t>industry</w:t>
      </w:r>
      <w:r w:rsidR="00A26866" w:rsidRPr="00433908">
        <w:rPr>
          <w:rFonts w:asciiTheme="majorBidi" w:hAnsiTheme="majorBidi" w:cstheme="majorBidi"/>
        </w:rPr>
        <w:t>.</w:t>
      </w:r>
    </w:p>
    <w:p w14:paraId="019BC031" w14:textId="77777777" w:rsidR="001B6442" w:rsidRPr="00433908" w:rsidRDefault="001B6442" w:rsidP="001B6442">
      <w:pPr>
        <w:jc w:val="both"/>
        <w:rPr>
          <w:rFonts w:asciiTheme="majorBidi" w:hAnsiTheme="majorBidi" w:cstheme="majorBidi"/>
        </w:rPr>
      </w:pPr>
    </w:p>
    <w:p w14:paraId="4F28CF19" w14:textId="20E477C2" w:rsidR="001B6442" w:rsidRDefault="00875EC5" w:rsidP="00875EC5">
      <w:pPr>
        <w:jc w:val="both"/>
        <w:rPr>
          <w:rFonts w:asciiTheme="majorBidi" w:hAnsiTheme="majorBidi" w:cstheme="majorBidi"/>
        </w:rPr>
      </w:pPr>
      <w:r w:rsidRPr="00433908">
        <w:rPr>
          <w:rFonts w:asciiTheme="majorBidi" w:hAnsiTheme="majorBidi" w:cstheme="majorBidi"/>
        </w:rPr>
        <w:t xml:space="preserve">A final point in this respect is one made by Rock and </w:t>
      </w:r>
      <w:proofErr w:type="spellStart"/>
      <w:r w:rsidRPr="00433908">
        <w:rPr>
          <w:rFonts w:asciiTheme="majorBidi" w:hAnsiTheme="majorBidi" w:cstheme="majorBidi"/>
        </w:rPr>
        <w:t>Rubinfeld</w:t>
      </w:r>
      <w:proofErr w:type="spellEnd"/>
      <w:r w:rsidRPr="00433908">
        <w:rPr>
          <w:rFonts w:asciiTheme="majorBidi" w:hAnsiTheme="majorBidi" w:cstheme="majorBidi"/>
        </w:rPr>
        <w:t>. Even i</w:t>
      </w:r>
      <w:r w:rsidR="001B6442" w:rsidRPr="00433908">
        <w:rPr>
          <w:rFonts w:asciiTheme="majorBidi" w:hAnsiTheme="majorBidi" w:cstheme="majorBidi"/>
        </w:rPr>
        <w:t xml:space="preserve">f unilateral coordination were </w:t>
      </w:r>
      <w:r w:rsidRPr="00433908">
        <w:rPr>
          <w:rFonts w:asciiTheme="majorBidi" w:hAnsiTheme="majorBidi" w:cstheme="majorBidi"/>
        </w:rPr>
        <w:t>likely</w:t>
      </w:r>
      <w:r w:rsidR="001B6442" w:rsidRPr="00433908">
        <w:rPr>
          <w:rFonts w:asciiTheme="majorBidi" w:hAnsiTheme="majorBidi" w:cstheme="majorBidi"/>
        </w:rPr>
        <w:t xml:space="preserve">, the market would presumably self-correct. Recall, once again, that the scenario envisaged is one in which the institutional investors who the unilaterally coordinating firm or firms set out to please do not control these firms. This, in turn, suggests that the unilaterally coordinating firms present a lucrative investment opportunity. As Rock and </w:t>
      </w:r>
      <w:proofErr w:type="spellStart"/>
      <w:r w:rsidR="001B6442" w:rsidRPr="00433908">
        <w:rPr>
          <w:rFonts w:asciiTheme="majorBidi" w:hAnsiTheme="majorBidi" w:cstheme="majorBidi"/>
        </w:rPr>
        <w:t>Rubinfeld</w:t>
      </w:r>
      <w:proofErr w:type="spellEnd"/>
      <w:r w:rsidR="001B6442" w:rsidRPr="00433908">
        <w:rPr>
          <w:rFonts w:asciiTheme="majorBidi" w:hAnsiTheme="majorBidi" w:cstheme="majorBidi"/>
        </w:rPr>
        <w:t xml:space="preserve"> state: “Without control, any sacrifice of firm profits out of deference to a shareholder’s other holdings will provide a profitable investment opportunity for a shareholder that thinks it can shift the strategy back towards maximizing single firm value”.</w:t>
      </w:r>
      <w:bookmarkStart w:id="29" w:name="_Ref504939758"/>
      <w:r w:rsidR="001B6442" w:rsidRPr="00433908">
        <w:rPr>
          <w:rStyle w:val="FootnoteReference"/>
          <w:rFonts w:asciiTheme="majorBidi" w:hAnsiTheme="majorBidi" w:cstheme="majorBidi"/>
        </w:rPr>
        <w:footnoteReference w:id="103"/>
      </w:r>
      <w:bookmarkEnd w:id="29"/>
    </w:p>
    <w:p w14:paraId="1B77BE8F" w14:textId="77777777" w:rsidR="00D118AD" w:rsidRPr="00433908" w:rsidRDefault="00D118AD" w:rsidP="00875EC5">
      <w:pPr>
        <w:jc w:val="both"/>
        <w:rPr>
          <w:rFonts w:asciiTheme="majorBidi" w:hAnsiTheme="majorBidi" w:cstheme="majorBidi"/>
        </w:rPr>
      </w:pPr>
    </w:p>
    <w:p w14:paraId="6B9DCDDE" w14:textId="517BD418" w:rsidR="001B6442" w:rsidRPr="00433908" w:rsidRDefault="001B6442" w:rsidP="009D7A10">
      <w:pPr>
        <w:jc w:val="both"/>
        <w:rPr>
          <w:rFonts w:asciiTheme="majorBidi" w:hAnsiTheme="majorBidi" w:cstheme="majorBidi"/>
        </w:rPr>
      </w:pPr>
      <w:r w:rsidRPr="00433908">
        <w:rPr>
          <w:rFonts w:asciiTheme="majorBidi" w:hAnsiTheme="majorBidi" w:cstheme="majorBidi"/>
        </w:rPr>
        <w:t xml:space="preserve">Importantly, a potential shareholder that identified this investment opportunity need not even engage in a takeover </w:t>
      </w:r>
      <w:r w:rsidR="00875EC5" w:rsidRPr="00433908">
        <w:rPr>
          <w:rFonts w:asciiTheme="majorBidi" w:hAnsiTheme="majorBidi" w:cstheme="majorBidi"/>
        </w:rPr>
        <w:t xml:space="preserve">battle </w:t>
      </w:r>
      <w:r w:rsidRPr="00433908">
        <w:rPr>
          <w:rFonts w:asciiTheme="majorBidi" w:hAnsiTheme="majorBidi" w:cstheme="majorBidi"/>
        </w:rPr>
        <w:t>or attempt to control the firm. As unilateral coordination is wasteful (from the unilateral</w:t>
      </w:r>
      <w:r w:rsidR="009D7A10">
        <w:rPr>
          <w:rFonts w:asciiTheme="majorBidi" w:hAnsiTheme="majorBidi" w:cstheme="majorBidi"/>
        </w:rPr>
        <w:t>ly</w:t>
      </w:r>
      <w:r w:rsidRPr="00433908">
        <w:rPr>
          <w:rFonts w:asciiTheme="majorBidi" w:hAnsiTheme="majorBidi" w:cstheme="majorBidi"/>
        </w:rPr>
        <w:t xml:space="preserve"> coordinating firm’s perspective), all other shareholders would benefit from discontinuing such unilateral coordination. </w:t>
      </w:r>
      <w:r w:rsidR="002D2C9B">
        <w:rPr>
          <w:rFonts w:asciiTheme="majorBidi" w:hAnsiTheme="majorBidi" w:cstheme="majorBidi"/>
        </w:rPr>
        <w:t>And as the benefitted shareholder is not a controller, i</w:t>
      </w:r>
      <w:r w:rsidRPr="00433908">
        <w:rPr>
          <w:rFonts w:asciiTheme="majorBidi" w:hAnsiTheme="majorBidi" w:cstheme="majorBidi"/>
        </w:rPr>
        <w:t xml:space="preserve">t would be enough </w:t>
      </w:r>
      <w:r w:rsidR="009D7A10">
        <w:rPr>
          <w:rFonts w:asciiTheme="majorBidi" w:hAnsiTheme="majorBidi" w:cstheme="majorBidi"/>
        </w:rPr>
        <w:t xml:space="preserve">for the investor identifying unilateral coordination (or simply bad management) </w:t>
      </w:r>
      <w:r w:rsidRPr="00433908">
        <w:rPr>
          <w:rFonts w:asciiTheme="majorBidi" w:hAnsiTheme="majorBidi" w:cstheme="majorBidi"/>
        </w:rPr>
        <w:t xml:space="preserve">to buy </w:t>
      </w:r>
      <w:r w:rsidR="009D7A10">
        <w:rPr>
          <w:rFonts w:asciiTheme="majorBidi" w:hAnsiTheme="majorBidi" w:cstheme="majorBidi"/>
        </w:rPr>
        <w:t xml:space="preserve">any amount of </w:t>
      </w:r>
      <w:r w:rsidR="00FE53C5">
        <w:rPr>
          <w:rFonts w:asciiTheme="majorBidi" w:hAnsiTheme="majorBidi" w:cstheme="majorBidi"/>
        </w:rPr>
        <w:t>stock, and then</w:t>
      </w:r>
      <w:r w:rsidRPr="00433908">
        <w:rPr>
          <w:rFonts w:asciiTheme="majorBidi" w:hAnsiTheme="majorBidi" w:cstheme="majorBidi"/>
        </w:rPr>
        <w:t xml:space="preserve"> explain the situation to other </w:t>
      </w:r>
      <w:r w:rsidR="00B731AB" w:rsidRPr="00433908">
        <w:rPr>
          <w:rFonts w:asciiTheme="majorBidi" w:hAnsiTheme="majorBidi" w:cstheme="majorBidi"/>
        </w:rPr>
        <w:t>shareholders, who have no cross-</w:t>
      </w:r>
      <w:r w:rsidRPr="00433908">
        <w:rPr>
          <w:rFonts w:asciiTheme="majorBidi" w:hAnsiTheme="majorBidi" w:cstheme="majorBidi"/>
        </w:rPr>
        <w:t xml:space="preserve">holdings in the industry, or whose holdings are larger in the unilaterally coordinating firm. If unilateral coordination </w:t>
      </w:r>
      <w:r w:rsidR="00875EC5" w:rsidRPr="00433908">
        <w:rPr>
          <w:rFonts w:asciiTheme="majorBidi" w:hAnsiTheme="majorBidi" w:cstheme="majorBidi"/>
        </w:rPr>
        <w:t>occurred</w:t>
      </w:r>
      <w:r w:rsidRPr="00433908">
        <w:rPr>
          <w:rFonts w:asciiTheme="majorBidi" w:hAnsiTheme="majorBidi" w:cstheme="majorBidi"/>
        </w:rPr>
        <w:t xml:space="preserve">, this would clearly attract activist investors. </w:t>
      </w:r>
      <w:r w:rsidR="002D2C9B">
        <w:rPr>
          <w:rFonts w:asciiTheme="majorBidi" w:hAnsiTheme="majorBidi" w:cstheme="majorBidi"/>
        </w:rPr>
        <w:t xml:space="preserve">Importantly, these investors’ task would be easier than usual. They could simply purchase stock and draw other shareholders’ attention to the fact that profits had been tunneled. </w:t>
      </w:r>
      <w:r w:rsidRPr="00433908">
        <w:rPr>
          <w:rFonts w:asciiTheme="majorBidi" w:hAnsiTheme="majorBidi" w:cstheme="majorBidi"/>
        </w:rPr>
        <w:t xml:space="preserve">The market </w:t>
      </w:r>
      <w:r w:rsidR="009D7A10">
        <w:rPr>
          <w:rFonts w:asciiTheme="majorBidi" w:hAnsiTheme="majorBidi" w:cstheme="majorBidi"/>
        </w:rPr>
        <w:t>c</w:t>
      </w:r>
      <w:r w:rsidRPr="00433908">
        <w:rPr>
          <w:rFonts w:asciiTheme="majorBidi" w:hAnsiTheme="majorBidi" w:cstheme="majorBidi"/>
        </w:rPr>
        <w:t>ould be expected to swiftly self-correct.</w:t>
      </w:r>
    </w:p>
    <w:p w14:paraId="72023E35" w14:textId="77777777" w:rsidR="00A26866" w:rsidRPr="00433908" w:rsidRDefault="00A26866" w:rsidP="00A26866">
      <w:pPr>
        <w:jc w:val="both"/>
        <w:rPr>
          <w:rFonts w:asciiTheme="majorBidi" w:hAnsiTheme="majorBidi" w:cstheme="majorBidi"/>
          <w:rtl/>
        </w:rPr>
      </w:pPr>
    </w:p>
    <w:p w14:paraId="32F60BBB" w14:textId="4E877F13" w:rsidR="00F72B9C" w:rsidRPr="00433908" w:rsidRDefault="00B44FDB" w:rsidP="00E0538F">
      <w:pPr>
        <w:pStyle w:val="Heading2"/>
        <w:numPr>
          <w:ilvl w:val="0"/>
          <w:numId w:val="0"/>
        </w:numPr>
      </w:pPr>
      <w:r w:rsidRPr="00433908">
        <w:t xml:space="preserve">The Case of </w:t>
      </w:r>
      <w:r w:rsidR="00A26866" w:rsidRPr="00433908">
        <w:t>Several Institutional Investors</w:t>
      </w:r>
    </w:p>
    <w:p w14:paraId="7CDC5ADA" w14:textId="77777777" w:rsidR="00A26866" w:rsidRPr="00433908" w:rsidRDefault="00A26866" w:rsidP="00E0538F">
      <w:pPr>
        <w:pStyle w:val="a"/>
        <w:numPr>
          <w:ilvl w:val="0"/>
          <w:numId w:val="0"/>
        </w:numPr>
        <w:ind w:left="1080"/>
      </w:pPr>
    </w:p>
    <w:p w14:paraId="195F170F" w14:textId="58FE75FC" w:rsidR="00AE29C9" w:rsidRPr="00433908" w:rsidRDefault="00FE5B69" w:rsidP="00C54C8C">
      <w:pPr>
        <w:jc w:val="both"/>
        <w:rPr>
          <w:rFonts w:asciiTheme="majorBidi" w:hAnsiTheme="majorBidi" w:cstheme="majorBidi"/>
        </w:rPr>
      </w:pPr>
      <w:r w:rsidRPr="00433908">
        <w:rPr>
          <w:rFonts w:asciiTheme="majorBidi" w:hAnsiTheme="majorBidi" w:cstheme="majorBidi"/>
        </w:rPr>
        <w:t>This form of t</w:t>
      </w:r>
      <w:r w:rsidR="008D09B2" w:rsidRPr="00433908">
        <w:rPr>
          <w:rFonts w:asciiTheme="majorBidi" w:hAnsiTheme="majorBidi" w:cstheme="majorBidi"/>
        </w:rPr>
        <w:t xml:space="preserve">unneling is even less likely when there are </w:t>
      </w:r>
      <w:r w:rsidR="008D09B2" w:rsidRPr="00433908">
        <w:rPr>
          <w:rFonts w:asciiTheme="majorBidi" w:hAnsiTheme="majorBidi" w:cstheme="majorBidi"/>
          <w:i/>
          <w:iCs/>
        </w:rPr>
        <w:t>several</w:t>
      </w:r>
      <w:r w:rsidR="008D09B2" w:rsidRPr="00433908">
        <w:rPr>
          <w:rFonts w:asciiTheme="majorBidi" w:hAnsiTheme="majorBidi" w:cstheme="majorBidi"/>
        </w:rPr>
        <w:t xml:space="preserve"> cross</w:t>
      </w:r>
      <w:r w:rsidR="00C54C8C" w:rsidRPr="00433908">
        <w:rPr>
          <w:rFonts w:asciiTheme="majorBidi" w:hAnsiTheme="majorBidi" w:cstheme="majorBidi"/>
        </w:rPr>
        <w:t xml:space="preserve"> </w:t>
      </w:r>
      <w:r w:rsidR="008D09B2" w:rsidRPr="00433908">
        <w:rPr>
          <w:rFonts w:asciiTheme="majorBidi" w:hAnsiTheme="majorBidi" w:cstheme="majorBidi"/>
        </w:rPr>
        <w:t xml:space="preserve">owners, as is the case with institutional investors who jointly hold significant stakes in competing firms. The reason is that if </w:t>
      </w:r>
      <w:r w:rsidR="006813D1" w:rsidRPr="00433908">
        <w:rPr>
          <w:rFonts w:asciiTheme="majorBidi" w:hAnsiTheme="majorBidi" w:cstheme="majorBidi"/>
        </w:rPr>
        <w:t xml:space="preserve">each institutional investor’s stake in each of the competing firms is different, </w:t>
      </w:r>
      <w:r w:rsidR="00435300" w:rsidRPr="00433908">
        <w:rPr>
          <w:rFonts w:asciiTheme="majorBidi" w:hAnsiTheme="majorBidi" w:cstheme="majorBidi"/>
        </w:rPr>
        <w:t xml:space="preserve">each investor may prefer a different </w:t>
      </w:r>
      <w:r w:rsidR="00E90819" w:rsidRPr="00433908">
        <w:rPr>
          <w:rFonts w:asciiTheme="majorBidi" w:hAnsiTheme="majorBidi" w:cstheme="majorBidi"/>
        </w:rPr>
        <w:t>f</w:t>
      </w:r>
      <w:r w:rsidR="00346A0D" w:rsidRPr="00433908">
        <w:rPr>
          <w:rFonts w:asciiTheme="majorBidi" w:hAnsiTheme="majorBidi" w:cstheme="majorBidi"/>
        </w:rPr>
        <w:t>i</w:t>
      </w:r>
      <w:r w:rsidR="00440B14" w:rsidRPr="00433908">
        <w:rPr>
          <w:rFonts w:asciiTheme="majorBidi" w:hAnsiTheme="majorBidi" w:cstheme="majorBidi"/>
        </w:rPr>
        <w:t>rm to be the unilaterally coordinating</w:t>
      </w:r>
      <w:r w:rsidR="00E90819" w:rsidRPr="00433908">
        <w:rPr>
          <w:rFonts w:asciiTheme="majorBidi" w:hAnsiTheme="majorBidi" w:cstheme="majorBidi"/>
        </w:rPr>
        <w:t xml:space="preserve"> firm</w:t>
      </w:r>
      <w:r w:rsidR="00435300" w:rsidRPr="00433908">
        <w:rPr>
          <w:rFonts w:asciiTheme="majorBidi" w:hAnsiTheme="majorBidi" w:cstheme="majorBidi"/>
        </w:rPr>
        <w:t xml:space="preserve">. </w:t>
      </w:r>
      <w:r w:rsidR="002045E4" w:rsidRPr="00433908">
        <w:rPr>
          <w:rFonts w:asciiTheme="majorBidi" w:hAnsiTheme="majorBidi" w:cstheme="majorBidi"/>
        </w:rPr>
        <w:t xml:space="preserve">Investors prefer profits to flow to the firm in which their </w:t>
      </w:r>
      <w:r w:rsidR="00A26866" w:rsidRPr="00433908">
        <w:rPr>
          <w:rFonts w:asciiTheme="majorBidi" w:hAnsiTheme="majorBidi" w:cstheme="majorBidi"/>
        </w:rPr>
        <w:t xml:space="preserve">own </w:t>
      </w:r>
      <w:r w:rsidR="002045E4" w:rsidRPr="00433908">
        <w:rPr>
          <w:rFonts w:asciiTheme="majorBidi" w:hAnsiTheme="majorBidi" w:cstheme="majorBidi"/>
        </w:rPr>
        <w:t>holding</w:t>
      </w:r>
      <w:r w:rsidR="00A26866" w:rsidRPr="00433908">
        <w:rPr>
          <w:rFonts w:asciiTheme="majorBidi" w:hAnsiTheme="majorBidi" w:cstheme="majorBidi"/>
        </w:rPr>
        <w:t>s</w:t>
      </w:r>
      <w:r w:rsidR="002045E4" w:rsidRPr="00433908">
        <w:rPr>
          <w:rFonts w:asciiTheme="majorBidi" w:hAnsiTheme="majorBidi" w:cstheme="majorBidi"/>
        </w:rPr>
        <w:t xml:space="preserve"> </w:t>
      </w:r>
      <w:r w:rsidR="00A26866" w:rsidRPr="00433908">
        <w:rPr>
          <w:rFonts w:asciiTheme="majorBidi" w:hAnsiTheme="majorBidi" w:cstheme="majorBidi"/>
        </w:rPr>
        <w:t>are</w:t>
      </w:r>
      <w:r w:rsidR="002045E4" w:rsidRPr="00433908">
        <w:rPr>
          <w:rFonts w:asciiTheme="majorBidi" w:hAnsiTheme="majorBidi" w:cstheme="majorBidi"/>
        </w:rPr>
        <w:t xml:space="preserve"> the </w:t>
      </w:r>
      <w:r w:rsidR="00A755C2" w:rsidRPr="00433908">
        <w:rPr>
          <w:rFonts w:asciiTheme="majorBidi" w:hAnsiTheme="majorBidi" w:cstheme="majorBidi"/>
        </w:rPr>
        <w:t>largest</w:t>
      </w:r>
      <w:r w:rsidR="002045E4" w:rsidRPr="00433908">
        <w:rPr>
          <w:rFonts w:asciiTheme="majorBidi" w:hAnsiTheme="majorBidi" w:cstheme="majorBidi"/>
        </w:rPr>
        <w:t xml:space="preserve">. </w:t>
      </w:r>
      <w:r w:rsidR="00A26866" w:rsidRPr="00433908">
        <w:rPr>
          <w:rFonts w:asciiTheme="majorBidi" w:hAnsiTheme="majorBidi" w:cstheme="majorBidi"/>
        </w:rPr>
        <w:t>E</w:t>
      </w:r>
      <w:r w:rsidR="00435300" w:rsidRPr="00433908">
        <w:rPr>
          <w:rFonts w:asciiTheme="majorBidi" w:hAnsiTheme="majorBidi" w:cstheme="majorBidi"/>
        </w:rPr>
        <w:t>ach institutional invest</w:t>
      </w:r>
      <w:r w:rsidR="00FC5638" w:rsidRPr="00433908">
        <w:rPr>
          <w:rFonts w:asciiTheme="majorBidi" w:hAnsiTheme="majorBidi" w:cstheme="majorBidi"/>
        </w:rPr>
        <w:t>or</w:t>
      </w:r>
      <w:r w:rsidR="00A755C2" w:rsidRPr="00433908">
        <w:rPr>
          <w:rFonts w:asciiTheme="majorBidi" w:hAnsiTheme="majorBidi" w:cstheme="majorBidi"/>
        </w:rPr>
        <w:t xml:space="preserve">’s preference will </w:t>
      </w:r>
      <w:r w:rsidR="00E90819" w:rsidRPr="00433908">
        <w:rPr>
          <w:rFonts w:asciiTheme="majorBidi" w:hAnsiTheme="majorBidi" w:cstheme="majorBidi"/>
        </w:rPr>
        <w:t xml:space="preserve">thus </w:t>
      </w:r>
      <w:r w:rsidR="00A755C2" w:rsidRPr="00433908">
        <w:rPr>
          <w:rFonts w:asciiTheme="majorBidi" w:hAnsiTheme="majorBidi" w:cstheme="majorBidi"/>
        </w:rPr>
        <w:t>depend on its</w:t>
      </w:r>
      <w:r w:rsidR="00A26866" w:rsidRPr="00433908">
        <w:rPr>
          <w:rFonts w:asciiTheme="majorBidi" w:hAnsiTheme="majorBidi" w:cstheme="majorBidi"/>
        </w:rPr>
        <w:t xml:space="preserve"> individual</w:t>
      </w:r>
      <w:r w:rsidR="00FC5638" w:rsidRPr="00433908">
        <w:rPr>
          <w:rFonts w:asciiTheme="majorBidi" w:hAnsiTheme="majorBidi" w:cstheme="majorBidi"/>
        </w:rPr>
        <w:t xml:space="preserve"> </w:t>
      </w:r>
      <w:r w:rsidR="00FC5638" w:rsidRPr="00433908">
        <w:rPr>
          <w:rFonts w:asciiTheme="majorBidi" w:hAnsiTheme="majorBidi" w:cstheme="majorBidi"/>
          <w:i/>
          <w:iCs/>
        </w:rPr>
        <w:t>difference</w:t>
      </w:r>
      <w:r w:rsidR="00FC5638" w:rsidRPr="00433908">
        <w:rPr>
          <w:rFonts w:asciiTheme="majorBidi" w:hAnsiTheme="majorBidi" w:cstheme="majorBidi"/>
        </w:rPr>
        <w:t xml:space="preserve"> in holdings, and may therefore be very different from other institutional investors’ preferences. </w:t>
      </w:r>
      <w:r w:rsidR="0013700B" w:rsidRPr="00433908">
        <w:rPr>
          <w:rFonts w:asciiTheme="majorBidi" w:hAnsiTheme="majorBidi" w:cstheme="majorBidi"/>
        </w:rPr>
        <w:t xml:space="preserve">To understand how limiting this is to the theory of competitive harm, it is helpful to note that in </w:t>
      </w:r>
      <w:r w:rsidR="0013700B" w:rsidRPr="00433908">
        <w:rPr>
          <w:rFonts w:asciiTheme="majorBidi" w:hAnsiTheme="majorBidi" w:cstheme="majorBidi"/>
          <w:i/>
          <w:iCs/>
        </w:rPr>
        <w:t>all</w:t>
      </w:r>
      <w:r w:rsidR="0013700B" w:rsidRPr="00433908">
        <w:rPr>
          <w:rFonts w:asciiTheme="majorBidi" w:hAnsiTheme="majorBidi" w:cstheme="majorBidi"/>
        </w:rPr>
        <w:t xml:space="preserve"> of the industries which are surveyed in the recent literature, </w:t>
      </w:r>
      <w:r w:rsidR="00AE29C9" w:rsidRPr="00433908">
        <w:rPr>
          <w:rFonts w:asciiTheme="majorBidi" w:hAnsiTheme="majorBidi" w:cstheme="majorBidi"/>
        </w:rPr>
        <w:t xml:space="preserve">a conflict of interests among institutional shareholders would seem to further challenge </w:t>
      </w:r>
      <w:r w:rsidR="0013700B" w:rsidRPr="00433908">
        <w:rPr>
          <w:rFonts w:asciiTheme="majorBidi" w:hAnsiTheme="majorBidi" w:cstheme="majorBidi"/>
        </w:rPr>
        <w:t>any hope of unilateral coordination</w:t>
      </w:r>
      <w:r w:rsidR="00AE29C9" w:rsidRPr="00433908">
        <w:rPr>
          <w:rFonts w:asciiTheme="majorBidi" w:hAnsiTheme="majorBidi" w:cstheme="majorBidi"/>
        </w:rPr>
        <w:t>.</w:t>
      </w:r>
    </w:p>
    <w:p w14:paraId="55D05692" w14:textId="77777777" w:rsidR="0013700B" w:rsidRPr="00433908" w:rsidRDefault="0013700B" w:rsidP="0013700B">
      <w:pPr>
        <w:jc w:val="both"/>
        <w:rPr>
          <w:rFonts w:asciiTheme="majorBidi" w:hAnsiTheme="majorBidi" w:cstheme="majorBidi"/>
        </w:rPr>
      </w:pPr>
    </w:p>
    <w:p w14:paraId="2AC5330E" w14:textId="67B823FE" w:rsidR="008D09B2" w:rsidRPr="00433908" w:rsidRDefault="0013700B" w:rsidP="00440B14">
      <w:pPr>
        <w:jc w:val="both"/>
        <w:rPr>
          <w:rFonts w:asciiTheme="majorBidi" w:hAnsiTheme="majorBidi" w:cstheme="majorBidi"/>
        </w:rPr>
      </w:pPr>
      <w:r w:rsidRPr="00433908">
        <w:rPr>
          <w:rFonts w:asciiTheme="majorBidi" w:hAnsiTheme="majorBidi" w:cstheme="majorBidi"/>
        </w:rPr>
        <w:t xml:space="preserve">We may begin with </w:t>
      </w:r>
      <w:r w:rsidR="00FC5638" w:rsidRPr="00433908">
        <w:rPr>
          <w:rFonts w:asciiTheme="majorBidi" w:hAnsiTheme="majorBidi" w:cstheme="majorBidi"/>
        </w:rPr>
        <w:t xml:space="preserve">the </w:t>
      </w:r>
      <w:r w:rsidR="00E97963" w:rsidRPr="00433908">
        <w:rPr>
          <w:rFonts w:asciiTheme="majorBidi" w:hAnsiTheme="majorBidi" w:cstheme="majorBidi"/>
        </w:rPr>
        <w:t xml:space="preserve">pharmaceutical industry, </w:t>
      </w:r>
      <w:r w:rsidRPr="00433908">
        <w:rPr>
          <w:rFonts w:asciiTheme="majorBidi" w:hAnsiTheme="majorBidi" w:cstheme="majorBidi"/>
        </w:rPr>
        <w:t xml:space="preserve">which is </w:t>
      </w:r>
      <w:r w:rsidR="00AE29C9" w:rsidRPr="00433908">
        <w:rPr>
          <w:rFonts w:asciiTheme="majorBidi" w:hAnsiTheme="majorBidi" w:cstheme="majorBidi"/>
        </w:rPr>
        <w:t xml:space="preserve">presented </w:t>
      </w:r>
      <w:r w:rsidR="00E97963" w:rsidRPr="00433908">
        <w:rPr>
          <w:rFonts w:asciiTheme="majorBidi" w:hAnsiTheme="majorBidi" w:cstheme="majorBidi"/>
        </w:rPr>
        <w:t>in the key empirical Article</w:t>
      </w:r>
      <w:r w:rsidRPr="00433908">
        <w:rPr>
          <w:rFonts w:asciiTheme="majorBidi" w:hAnsiTheme="majorBidi" w:cstheme="majorBidi"/>
        </w:rPr>
        <w:t xml:space="preserve"> (later discussed) on the topic</w:t>
      </w:r>
      <w:r w:rsidR="00E97963" w:rsidRPr="00433908">
        <w:rPr>
          <w:rFonts w:asciiTheme="majorBidi" w:hAnsiTheme="majorBidi" w:cstheme="majorBidi"/>
        </w:rPr>
        <w:t xml:space="preserve"> as</w:t>
      </w:r>
      <w:r w:rsidR="002A2BEC" w:rsidRPr="00433908">
        <w:rPr>
          <w:rFonts w:asciiTheme="majorBidi" w:hAnsiTheme="majorBidi" w:cstheme="majorBidi"/>
        </w:rPr>
        <w:t xml:space="preserve"> </w:t>
      </w:r>
      <w:r w:rsidR="004F2287" w:rsidRPr="00433908">
        <w:rPr>
          <w:rFonts w:asciiTheme="majorBidi" w:hAnsiTheme="majorBidi" w:cstheme="majorBidi"/>
        </w:rPr>
        <w:t xml:space="preserve">an illustrative </w:t>
      </w:r>
      <w:r w:rsidRPr="00433908">
        <w:rPr>
          <w:rFonts w:asciiTheme="majorBidi" w:hAnsiTheme="majorBidi" w:cstheme="majorBidi"/>
        </w:rPr>
        <w:t>industry</w:t>
      </w:r>
      <w:r w:rsidR="004F2287" w:rsidRPr="00433908">
        <w:rPr>
          <w:rFonts w:asciiTheme="majorBidi" w:hAnsiTheme="majorBidi" w:cstheme="majorBidi"/>
        </w:rPr>
        <w:t xml:space="preserve"> </w:t>
      </w:r>
      <w:r w:rsidR="002A2BEC" w:rsidRPr="00433908">
        <w:rPr>
          <w:rFonts w:asciiTheme="majorBidi" w:hAnsiTheme="majorBidi" w:cstheme="majorBidi"/>
        </w:rPr>
        <w:t>conducive to anti-competitive outcome absent any explicit coordination or information sharing</w:t>
      </w:r>
      <w:r w:rsidR="00E97963" w:rsidRPr="00433908">
        <w:rPr>
          <w:rFonts w:asciiTheme="majorBidi" w:hAnsiTheme="majorBidi" w:cstheme="majorBidi"/>
        </w:rPr>
        <w:t xml:space="preserve">. According to </w:t>
      </w:r>
      <w:r w:rsidR="00097254" w:rsidRPr="00433908">
        <w:rPr>
          <w:rFonts w:asciiTheme="majorBidi" w:hAnsiTheme="majorBidi" w:cstheme="majorBidi"/>
        </w:rPr>
        <w:t>Azar</w:t>
      </w:r>
      <w:r w:rsidR="00DC2D84" w:rsidRPr="00433908">
        <w:rPr>
          <w:rFonts w:asciiTheme="majorBidi" w:hAnsiTheme="majorBidi" w:cstheme="majorBidi"/>
        </w:rPr>
        <w:t xml:space="preserve"> </w:t>
      </w:r>
      <w:r w:rsidR="00DC47C4" w:rsidRPr="00433908">
        <w:rPr>
          <w:rFonts w:asciiTheme="majorBidi" w:hAnsiTheme="majorBidi" w:cstheme="majorBidi"/>
        </w:rPr>
        <w:t>et al.</w:t>
      </w:r>
      <w:r w:rsidR="00DC2D84" w:rsidRPr="00433908">
        <w:rPr>
          <w:rFonts w:asciiTheme="majorBidi" w:hAnsiTheme="majorBidi" w:cstheme="majorBidi"/>
        </w:rPr>
        <w:t xml:space="preserve">, </w:t>
      </w:r>
      <w:r w:rsidR="00E97963" w:rsidRPr="00433908">
        <w:rPr>
          <w:rFonts w:asciiTheme="majorBidi" w:hAnsiTheme="majorBidi" w:cstheme="majorBidi"/>
        </w:rPr>
        <w:t xml:space="preserve">in the pharmacy industry, the five largest institutional investors who hold stock in CVS (a firm active in the product market) are Blackrock, Fidelity, Vanguard, State Street and Wellington. They hold a total of slightly less than 25% of CVS’ stock. The same institutional investors also hold </w:t>
      </w:r>
      <w:r w:rsidR="00E97963" w:rsidRPr="00433908">
        <w:rPr>
          <w:rFonts w:asciiTheme="majorBidi" w:hAnsiTheme="majorBidi" w:cstheme="majorBidi"/>
        </w:rPr>
        <w:lastRenderedPageBreak/>
        <w:t>approximately 19.55% of Walgreens’ stock.</w:t>
      </w:r>
      <w:r w:rsidR="00DC2D84" w:rsidRPr="00433908">
        <w:rPr>
          <w:rStyle w:val="FootnoteReference"/>
          <w:rFonts w:asciiTheme="majorBidi" w:hAnsiTheme="majorBidi" w:cstheme="majorBidi"/>
        </w:rPr>
        <w:footnoteReference w:id="104"/>
      </w:r>
      <w:r w:rsidR="00E97963" w:rsidRPr="00433908">
        <w:rPr>
          <w:rFonts w:asciiTheme="majorBidi" w:hAnsiTheme="majorBidi" w:cstheme="majorBidi"/>
        </w:rPr>
        <w:t xml:space="preserve"> Assuming </w:t>
      </w:r>
      <w:r w:rsidR="00A26866" w:rsidRPr="00433908">
        <w:rPr>
          <w:rFonts w:asciiTheme="majorBidi" w:hAnsiTheme="majorBidi" w:cstheme="majorBidi"/>
        </w:rPr>
        <w:t>the product market is relatively concentrated,</w:t>
      </w:r>
      <w:r w:rsidR="00E97963" w:rsidRPr="00433908">
        <w:rPr>
          <w:rFonts w:asciiTheme="majorBidi" w:hAnsiTheme="majorBidi" w:cstheme="majorBidi"/>
        </w:rPr>
        <w:t xml:space="preserve"> the hypothesis is that the firms’ management</w:t>
      </w:r>
      <w:r w:rsidR="00A26866" w:rsidRPr="00433908">
        <w:rPr>
          <w:rFonts w:asciiTheme="majorBidi" w:hAnsiTheme="majorBidi" w:cstheme="majorBidi"/>
        </w:rPr>
        <w:t>s</w:t>
      </w:r>
      <w:r w:rsidR="00E97963" w:rsidRPr="00433908">
        <w:rPr>
          <w:rFonts w:asciiTheme="majorBidi" w:hAnsiTheme="majorBidi" w:cstheme="majorBidi"/>
        </w:rPr>
        <w:t xml:space="preserve"> will act to further the interests of these shareholders at the expense of other stakeholders. However, once the joint holdings of the three largest institutional investors </w:t>
      </w:r>
      <w:r w:rsidR="00A26866" w:rsidRPr="00433908">
        <w:rPr>
          <w:rFonts w:asciiTheme="majorBidi" w:hAnsiTheme="majorBidi" w:cstheme="majorBidi"/>
        </w:rPr>
        <w:t xml:space="preserve">are broken down </w:t>
      </w:r>
      <w:r w:rsidR="00AE29C9" w:rsidRPr="00433908">
        <w:rPr>
          <w:rFonts w:asciiTheme="majorBidi" w:hAnsiTheme="majorBidi" w:cstheme="majorBidi"/>
        </w:rPr>
        <w:t>by</w:t>
      </w:r>
      <w:r w:rsidR="00A26866" w:rsidRPr="00433908">
        <w:rPr>
          <w:rFonts w:asciiTheme="majorBidi" w:hAnsiTheme="majorBidi" w:cstheme="majorBidi"/>
        </w:rPr>
        <w:t xml:space="preserve"> investor</w:t>
      </w:r>
      <w:r w:rsidR="00E97963" w:rsidRPr="00433908">
        <w:rPr>
          <w:rFonts w:asciiTheme="majorBidi" w:hAnsiTheme="majorBidi" w:cstheme="majorBidi"/>
        </w:rPr>
        <w:t xml:space="preserve">, it becomes clear that if management were to </w:t>
      </w:r>
      <w:r w:rsidR="00A755C2" w:rsidRPr="00433908">
        <w:rPr>
          <w:rFonts w:asciiTheme="majorBidi" w:hAnsiTheme="majorBidi" w:cstheme="majorBidi"/>
        </w:rPr>
        <w:t xml:space="preserve">attempt to </w:t>
      </w:r>
      <w:r w:rsidR="00E97963" w:rsidRPr="00433908">
        <w:rPr>
          <w:rFonts w:asciiTheme="majorBidi" w:hAnsiTheme="majorBidi" w:cstheme="majorBidi"/>
        </w:rPr>
        <w:t>serve these investors it would, absent explicit coordination, find itself baffled:</w:t>
      </w:r>
    </w:p>
    <w:p w14:paraId="20856A11" w14:textId="77777777" w:rsidR="00ED1834" w:rsidRPr="00433908" w:rsidRDefault="00ED1834" w:rsidP="00ED1834">
      <w:pPr>
        <w:jc w:val="center"/>
        <w:rPr>
          <w:rFonts w:asciiTheme="majorBidi" w:hAnsiTheme="majorBidi" w:cstheme="majorBidi"/>
          <w:i/>
          <w:iCs/>
        </w:rPr>
      </w:pPr>
    </w:p>
    <w:p w14:paraId="3C4A6875" w14:textId="023AB02D" w:rsidR="00ED1834" w:rsidRPr="00433908" w:rsidRDefault="00ED1834" w:rsidP="00B26F9E">
      <w:pPr>
        <w:jc w:val="center"/>
        <w:outlineLvl w:val="0"/>
        <w:rPr>
          <w:rFonts w:asciiTheme="majorBidi" w:hAnsiTheme="majorBidi" w:cstheme="majorBidi"/>
        </w:rPr>
      </w:pPr>
      <w:r w:rsidRPr="00433908">
        <w:rPr>
          <w:rFonts w:asciiTheme="majorBidi" w:hAnsiTheme="majorBidi" w:cstheme="majorBidi"/>
          <w:i/>
          <w:iCs/>
        </w:rPr>
        <w:t>Table 2</w:t>
      </w:r>
    </w:p>
    <w:p w14:paraId="58B4D1F9" w14:textId="77777777" w:rsidR="004F2287" w:rsidRPr="00433908" w:rsidRDefault="004F2287" w:rsidP="002A2BEC">
      <w:pPr>
        <w:jc w:val="both"/>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3"/>
      </w:tblGrid>
      <w:tr w:rsidR="004F2287" w:rsidRPr="00433908" w14:paraId="5A2AE3E4" w14:textId="77777777" w:rsidTr="00A26866">
        <w:tc>
          <w:tcPr>
            <w:tcW w:w="3003" w:type="dxa"/>
          </w:tcPr>
          <w:p w14:paraId="4F79BFB0" w14:textId="6FABC737" w:rsidR="004F2287" w:rsidRPr="00433908" w:rsidRDefault="004F2287" w:rsidP="00A821EF">
            <w:pPr>
              <w:jc w:val="center"/>
              <w:rPr>
                <w:rFonts w:asciiTheme="majorBidi" w:hAnsiTheme="majorBidi" w:cstheme="majorBidi"/>
                <w:b/>
                <w:bCs/>
                <w:i/>
                <w:iCs/>
              </w:rPr>
            </w:pPr>
            <w:r w:rsidRPr="00433908">
              <w:rPr>
                <w:rFonts w:asciiTheme="majorBidi" w:hAnsiTheme="majorBidi" w:cstheme="majorBidi"/>
                <w:b/>
                <w:bCs/>
                <w:i/>
                <w:iCs/>
              </w:rPr>
              <w:t>Investor</w:t>
            </w:r>
          </w:p>
        </w:tc>
        <w:tc>
          <w:tcPr>
            <w:tcW w:w="3003" w:type="dxa"/>
          </w:tcPr>
          <w:p w14:paraId="082F2897" w14:textId="43915005" w:rsidR="004F2287" w:rsidRPr="00433908" w:rsidRDefault="004F2287" w:rsidP="00A821EF">
            <w:pPr>
              <w:jc w:val="center"/>
              <w:rPr>
                <w:rFonts w:asciiTheme="majorBidi" w:hAnsiTheme="majorBidi" w:cstheme="majorBidi"/>
                <w:b/>
                <w:bCs/>
                <w:i/>
                <w:iCs/>
              </w:rPr>
            </w:pPr>
            <w:r w:rsidRPr="00433908">
              <w:rPr>
                <w:rFonts w:asciiTheme="majorBidi" w:hAnsiTheme="majorBidi" w:cstheme="majorBidi"/>
                <w:b/>
                <w:bCs/>
                <w:i/>
                <w:iCs/>
              </w:rPr>
              <w:t>Holdings in CVS</w:t>
            </w:r>
          </w:p>
        </w:tc>
        <w:tc>
          <w:tcPr>
            <w:tcW w:w="3003" w:type="dxa"/>
          </w:tcPr>
          <w:p w14:paraId="1434DA16" w14:textId="38B79E91" w:rsidR="004F2287" w:rsidRPr="00433908" w:rsidRDefault="004F2287" w:rsidP="00A821EF">
            <w:pPr>
              <w:jc w:val="center"/>
              <w:rPr>
                <w:rFonts w:asciiTheme="majorBidi" w:hAnsiTheme="majorBidi" w:cstheme="majorBidi"/>
                <w:b/>
                <w:bCs/>
                <w:i/>
                <w:iCs/>
              </w:rPr>
            </w:pPr>
            <w:r w:rsidRPr="00433908">
              <w:rPr>
                <w:rFonts w:asciiTheme="majorBidi" w:hAnsiTheme="majorBidi" w:cstheme="majorBidi"/>
                <w:b/>
                <w:bCs/>
                <w:i/>
                <w:iCs/>
              </w:rPr>
              <w:t>Holdings in Walgreens</w:t>
            </w:r>
          </w:p>
        </w:tc>
      </w:tr>
      <w:tr w:rsidR="00A26866" w:rsidRPr="00433908" w14:paraId="406F1B29" w14:textId="77777777" w:rsidTr="00A26866">
        <w:tc>
          <w:tcPr>
            <w:tcW w:w="3003" w:type="dxa"/>
          </w:tcPr>
          <w:p w14:paraId="771F8F66" w14:textId="77777777" w:rsidR="00A26866" w:rsidRPr="00433908" w:rsidRDefault="00A26866" w:rsidP="00A821EF">
            <w:pPr>
              <w:jc w:val="center"/>
              <w:rPr>
                <w:rFonts w:asciiTheme="majorBidi" w:hAnsiTheme="majorBidi" w:cstheme="majorBidi"/>
                <w:b/>
                <w:bCs/>
                <w:i/>
                <w:iCs/>
              </w:rPr>
            </w:pPr>
          </w:p>
        </w:tc>
        <w:tc>
          <w:tcPr>
            <w:tcW w:w="3003" w:type="dxa"/>
          </w:tcPr>
          <w:p w14:paraId="10CD2735" w14:textId="77777777" w:rsidR="00A26866" w:rsidRPr="00433908" w:rsidRDefault="00A26866" w:rsidP="00A821EF">
            <w:pPr>
              <w:jc w:val="center"/>
              <w:rPr>
                <w:rFonts w:asciiTheme="majorBidi" w:hAnsiTheme="majorBidi" w:cstheme="majorBidi"/>
                <w:b/>
                <w:bCs/>
                <w:i/>
                <w:iCs/>
              </w:rPr>
            </w:pPr>
          </w:p>
        </w:tc>
        <w:tc>
          <w:tcPr>
            <w:tcW w:w="3003" w:type="dxa"/>
          </w:tcPr>
          <w:p w14:paraId="2965C624" w14:textId="77777777" w:rsidR="00A26866" w:rsidRPr="00433908" w:rsidRDefault="00A26866" w:rsidP="00A821EF">
            <w:pPr>
              <w:jc w:val="center"/>
              <w:rPr>
                <w:rFonts w:asciiTheme="majorBidi" w:hAnsiTheme="majorBidi" w:cstheme="majorBidi"/>
                <w:b/>
                <w:bCs/>
                <w:i/>
                <w:iCs/>
              </w:rPr>
            </w:pPr>
          </w:p>
        </w:tc>
      </w:tr>
      <w:tr w:rsidR="004F2287" w:rsidRPr="00433908" w14:paraId="5FBC17E9" w14:textId="77777777" w:rsidTr="00A26866">
        <w:tc>
          <w:tcPr>
            <w:tcW w:w="3003" w:type="dxa"/>
          </w:tcPr>
          <w:p w14:paraId="1471B05B" w14:textId="7B3BDC54" w:rsidR="004F2287" w:rsidRPr="00433908" w:rsidRDefault="004F2287" w:rsidP="00A821EF">
            <w:pPr>
              <w:jc w:val="center"/>
              <w:rPr>
                <w:rFonts w:asciiTheme="majorBidi" w:hAnsiTheme="majorBidi" w:cstheme="majorBidi"/>
              </w:rPr>
            </w:pPr>
            <w:r w:rsidRPr="00433908">
              <w:rPr>
                <w:rFonts w:asciiTheme="majorBidi" w:hAnsiTheme="majorBidi" w:cstheme="majorBidi"/>
              </w:rPr>
              <w:t>BlackRock</w:t>
            </w:r>
          </w:p>
        </w:tc>
        <w:tc>
          <w:tcPr>
            <w:tcW w:w="3003" w:type="dxa"/>
          </w:tcPr>
          <w:p w14:paraId="3A758B2E" w14:textId="4A320CB5" w:rsidR="004F2287" w:rsidRPr="00433908" w:rsidRDefault="004F2287" w:rsidP="00A821EF">
            <w:pPr>
              <w:jc w:val="center"/>
              <w:rPr>
                <w:rFonts w:asciiTheme="majorBidi" w:hAnsiTheme="majorBidi" w:cstheme="majorBidi"/>
              </w:rPr>
            </w:pPr>
            <w:r w:rsidRPr="007F504F">
              <w:rPr>
                <w:rFonts w:asciiTheme="majorBidi" w:hAnsiTheme="majorBidi" w:cstheme="majorBidi"/>
                <w:color w:val="00B0F0"/>
              </w:rPr>
              <w:t>5.9%</w:t>
            </w:r>
          </w:p>
        </w:tc>
        <w:tc>
          <w:tcPr>
            <w:tcW w:w="3003" w:type="dxa"/>
          </w:tcPr>
          <w:p w14:paraId="4A692606" w14:textId="0DD51B9F" w:rsidR="004F2287" w:rsidRPr="00433908" w:rsidRDefault="004F2287" w:rsidP="00A821EF">
            <w:pPr>
              <w:jc w:val="center"/>
              <w:rPr>
                <w:rFonts w:asciiTheme="majorBidi" w:hAnsiTheme="majorBidi" w:cstheme="majorBidi"/>
              </w:rPr>
            </w:pPr>
            <w:r w:rsidRPr="00433908">
              <w:rPr>
                <w:rFonts w:asciiTheme="majorBidi" w:hAnsiTheme="majorBidi" w:cstheme="majorBidi"/>
              </w:rPr>
              <w:t>4.44%</w:t>
            </w:r>
          </w:p>
        </w:tc>
      </w:tr>
      <w:tr w:rsidR="004F2287" w:rsidRPr="00433908" w14:paraId="50E9EA84" w14:textId="77777777" w:rsidTr="00A26866">
        <w:tc>
          <w:tcPr>
            <w:tcW w:w="3003" w:type="dxa"/>
          </w:tcPr>
          <w:p w14:paraId="2A72D2E1" w14:textId="42806D5D" w:rsidR="004F2287" w:rsidRPr="00433908" w:rsidRDefault="004F2287" w:rsidP="00A821EF">
            <w:pPr>
              <w:jc w:val="center"/>
              <w:rPr>
                <w:rFonts w:asciiTheme="majorBidi" w:hAnsiTheme="majorBidi" w:cstheme="majorBidi"/>
              </w:rPr>
            </w:pPr>
            <w:r w:rsidRPr="00433908">
              <w:rPr>
                <w:rFonts w:asciiTheme="majorBidi" w:hAnsiTheme="majorBidi" w:cstheme="majorBidi"/>
              </w:rPr>
              <w:t>Fidelity</w:t>
            </w:r>
          </w:p>
        </w:tc>
        <w:tc>
          <w:tcPr>
            <w:tcW w:w="3003" w:type="dxa"/>
          </w:tcPr>
          <w:p w14:paraId="4DEE37AF" w14:textId="7D1E5B49" w:rsidR="004F2287" w:rsidRPr="00433908" w:rsidRDefault="004F2287" w:rsidP="00A821EF">
            <w:pPr>
              <w:jc w:val="center"/>
              <w:rPr>
                <w:rFonts w:asciiTheme="majorBidi" w:hAnsiTheme="majorBidi" w:cstheme="majorBidi"/>
              </w:rPr>
            </w:pPr>
            <w:r w:rsidRPr="007F504F">
              <w:rPr>
                <w:rFonts w:asciiTheme="majorBidi" w:hAnsiTheme="majorBidi" w:cstheme="majorBidi"/>
                <w:color w:val="00B0F0"/>
              </w:rPr>
              <w:t>5.1%</w:t>
            </w:r>
          </w:p>
        </w:tc>
        <w:tc>
          <w:tcPr>
            <w:tcW w:w="3003" w:type="dxa"/>
          </w:tcPr>
          <w:p w14:paraId="46DB1FF2" w14:textId="219936B9" w:rsidR="004F2287" w:rsidRPr="00433908" w:rsidRDefault="004F2287" w:rsidP="00A821EF">
            <w:pPr>
              <w:jc w:val="center"/>
              <w:rPr>
                <w:rFonts w:asciiTheme="majorBidi" w:hAnsiTheme="majorBidi" w:cstheme="majorBidi"/>
              </w:rPr>
            </w:pPr>
            <w:r w:rsidRPr="00433908">
              <w:rPr>
                <w:rFonts w:asciiTheme="majorBidi" w:hAnsiTheme="majorBidi" w:cstheme="majorBidi"/>
              </w:rPr>
              <w:t>3.07%</w:t>
            </w:r>
          </w:p>
        </w:tc>
      </w:tr>
      <w:tr w:rsidR="004F2287" w:rsidRPr="00433908" w14:paraId="08F734BE" w14:textId="77777777" w:rsidTr="00A26866">
        <w:tc>
          <w:tcPr>
            <w:tcW w:w="3003" w:type="dxa"/>
          </w:tcPr>
          <w:p w14:paraId="2B3D7484" w14:textId="53F07129" w:rsidR="004F2287" w:rsidRPr="00433908" w:rsidRDefault="004F2287" w:rsidP="00A821EF">
            <w:pPr>
              <w:jc w:val="center"/>
              <w:rPr>
                <w:rFonts w:asciiTheme="majorBidi" w:hAnsiTheme="majorBidi" w:cstheme="majorBidi"/>
              </w:rPr>
            </w:pPr>
            <w:r w:rsidRPr="00433908">
              <w:rPr>
                <w:rFonts w:asciiTheme="majorBidi" w:hAnsiTheme="majorBidi" w:cstheme="majorBidi"/>
              </w:rPr>
              <w:t>Vanguard</w:t>
            </w:r>
          </w:p>
        </w:tc>
        <w:tc>
          <w:tcPr>
            <w:tcW w:w="3003" w:type="dxa"/>
          </w:tcPr>
          <w:p w14:paraId="38D6A31E" w14:textId="10A0F011" w:rsidR="004F2287" w:rsidRPr="00433908" w:rsidRDefault="004F2287" w:rsidP="00A821EF">
            <w:pPr>
              <w:jc w:val="center"/>
              <w:rPr>
                <w:rFonts w:asciiTheme="majorBidi" w:hAnsiTheme="majorBidi" w:cstheme="majorBidi"/>
              </w:rPr>
            </w:pPr>
            <w:r w:rsidRPr="00433908">
              <w:rPr>
                <w:rFonts w:asciiTheme="majorBidi" w:hAnsiTheme="majorBidi" w:cstheme="majorBidi"/>
              </w:rPr>
              <w:t>4.78%</w:t>
            </w:r>
          </w:p>
        </w:tc>
        <w:tc>
          <w:tcPr>
            <w:tcW w:w="3003" w:type="dxa"/>
          </w:tcPr>
          <w:p w14:paraId="1D3C9596" w14:textId="09266910" w:rsidR="004F2287" w:rsidRPr="00433908" w:rsidRDefault="004F2287" w:rsidP="00A821EF">
            <w:pPr>
              <w:jc w:val="center"/>
              <w:rPr>
                <w:rFonts w:asciiTheme="majorBidi" w:hAnsiTheme="majorBidi" w:cstheme="majorBidi"/>
              </w:rPr>
            </w:pPr>
            <w:r w:rsidRPr="007F504F">
              <w:rPr>
                <w:rFonts w:asciiTheme="majorBidi" w:hAnsiTheme="majorBidi" w:cstheme="majorBidi"/>
                <w:color w:val="00B0F0"/>
              </w:rPr>
              <w:t>5.26%</w:t>
            </w:r>
          </w:p>
        </w:tc>
      </w:tr>
    </w:tbl>
    <w:p w14:paraId="0794643A" w14:textId="77777777" w:rsidR="00DC2D84" w:rsidRPr="00433908" w:rsidRDefault="00DC2D84" w:rsidP="00C90C24">
      <w:pPr>
        <w:jc w:val="both"/>
        <w:rPr>
          <w:rFonts w:asciiTheme="majorBidi" w:hAnsiTheme="majorBidi" w:cstheme="majorBidi"/>
        </w:rPr>
      </w:pPr>
    </w:p>
    <w:p w14:paraId="7018CC36" w14:textId="0A8E3D83" w:rsidR="00A26866" w:rsidRPr="00433908" w:rsidRDefault="007C421D" w:rsidP="00440B14">
      <w:pPr>
        <w:jc w:val="both"/>
        <w:rPr>
          <w:rFonts w:asciiTheme="majorBidi" w:hAnsiTheme="majorBidi" w:cstheme="majorBidi"/>
        </w:rPr>
      </w:pPr>
      <w:r w:rsidRPr="00433908">
        <w:rPr>
          <w:rFonts w:asciiTheme="majorBidi" w:hAnsiTheme="majorBidi" w:cstheme="majorBidi"/>
        </w:rPr>
        <w:t xml:space="preserve">Blackrock </w:t>
      </w:r>
      <w:r w:rsidR="00E97963" w:rsidRPr="00433908">
        <w:rPr>
          <w:rFonts w:asciiTheme="majorBidi" w:hAnsiTheme="majorBidi" w:cstheme="majorBidi"/>
        </w:rPr>
        <w:t xml:space="preserve">and </w:t>
      </w:r>
      <w:r w:rsidRPr="00433908">
        <w:rPr>
          <w:rFonts w:asciiTheme="majorBidi" w:hAnsiTheme="majorBidi" w:cstheme="majorBidi"/>
        </w:rPr>
        <w:t xml:space="preserve">Fidelity </w:t>
      </w:r>
      <w:r w:rsidR="00E97963" w:rsidRPr="00433908">
        <w:rPr>
          <w:rFonts w:asciiTheme="majorBidi" w:hAnsiTheme="majorBidi" w:cstheme="majorBidi"/>
        </w:rPr>
        <w:t xml:space="preserve">hold approximately 6% and 5% of CVS’ stock, respectively, and approximately 4.5% and 3% of </w:t>
      </w:r>
      <w:r w:rsidRPr="00433908">
        <w:rPr>
          <w:rFonts w:asciiTheme="majorBidi" w:hAnsiTheme="majorBidi" w:cstheme="majorBidi"/>
        </w:rPr>
        <w:t>Walgreens’ s</w:t>
      </w:r>
      <w:r w:rsidR="00E97963" w:rsidRPr="00433908">
        <w:rPr>
          <w:rFonts w:asciiTheme="majorBidi" w:hAnsiTheme="majorBidi" w:cstheme="majorBidi"/>
        </w:rPr>
        <w:t>tock</w:t>
      </w:r>
      <w:r w:rsidRPr="00433908">
        <w:rPr>
          <w:rFonts w:asciiTheme="majorBidi" w:hAnsiTheme="majorBidi" w:cstheme="majorBidi"/>
        </w:rPr>
        <w:t xml:space="preserve">, </w:t>
      </w:r>
      <w:r w:rsidR="00E97963" w:rsidRPr="00433908">
        <w:rPr>
          <w:rFonts w:asciiTheme="majorBidi" w:hAnsiTheme="majorBidi" w:cstheme="majorBidi"/>
        </w:rPr>
        <w:t>respectively. They both have a strong preference for profit</w:t>
      </w:r>
      <w:r w:rsidR="00AE29C9" w:rsidRPr="00433908">
        <w:rPr>
          <w:rFonts w:asciiTheme="majorBidi" w:hAnsiTheme="majorBidi" w:cstheme="majorBidi"/>
        </w:rPr>
        <w:t>s</w:t>
      </w:r>
      <w:r w:rsidR="00E97963" w:rsidRPr="00433908">
        <w:rPr>
          <w:rFonts w:asciiTheme="majorBidi" w:hAnsiTheme="majorBidi" w:cstheme="majorBidi"/>
        </w:rPr>
        <w:t xml:space="preserve"> t</w:t>
      </w:r>
      <w:r w:rsidR="00A26866" w:rsidRPr="00433908">
        <w:rPr>
          <w:rFonts w:asciiTheme="majorBidi" w:hAnsiTheme="majorBidi" w:cstheme="majorBidi"/>
        </w:rPr>
        <w:t>o</w:t>
      </w:r>
      <w:r w:rsidR="00E97963" w:rsidRPr="00433908">
        <w:rPr>
          <w:rFonts w:asciiTheme="majorBidi" w:hAnsiTheme="majorBidi" w:cstheme="majorBidi"/>
        </w:rPr>
        <w:t xml:space="preserve"> flow to CVS. </w:t>
      </w:r>
      <w:r w:rsidRPr="00433908">
        <w:rPr>
          <w:rFonts w:asciiTheme="majorBidi" w:hAnsiTheme="majorBidi" w:cstheme="majorBidi"/>
        </w:rPr>
        <w:t xml:space="preserve">But Vanguard holds 4.78% of CVS’ shares, and 5.26% of Walgreens’ shares. </w:t>
      </w:r>
      <w:r w:rsidR="00A26866" w:rsidRPr="00433908">
        <w:rPr>
          <w:rFonts w:asciiTheme="majorBidi" w:hAnsiTheme="majorBidi" w:cstheme="majorBidi"/>
        </w:rPr>
        <w:t xml:space="preserve">Vanguard thus </w:t>
      </w:r>
      <w:r w:rsidRPr="00433908">
        <w:rPr>
          <w:rFonts w:asciiTheme="majorBidi" w:hAnsiTheme="majorBidi" w:cstheme="majorBidi"/>
        </w:rPr>
        <w:t>prefer</w:t>
      </w:r>
      <w:r w:rsidR="00A26866" w:rsidRPr="00433908">
        <w:rPr>
          <w:rFonts w:asciiTheme="majorBidi" w:hAnsiTheme="majorBidi" w:cstheme="majorBidi"/>
        </w:rPr>
        <w:t>s</w:t>
      </w:r>
      <w:r w:rsidRPr="00433908">
        <w:rPr>
          <w:rFonts w:asciiTheme="majorBidi" w:hAnsiTheme="majorBidi" w:cstheme="majorBidi"/>
        </w:rPr>
        <w:t xml:space="preserve"> that profits flow to Walgreens. </w:t>
      </w:r>
      <w:r w:rsidR="00E97963" w:rsidRPr="00433908">
        <w:rPr>
          <w:rFonts w:asciiTheme="majorBidi" w:hAnsiTheme="majorBidi" w:cstheme="majorBidi"/>
        </w:rPr>
        <w:t>If CVS were to unilaterally coordinate (</w:t>
      </w:r>
      <w:r w:rsidR="00E97963" w:rsidRPr="00433908">
        <w:rPr>
          <w:rFonts w:asciiTheme="majorBidi" w:hAnsiTheme="majorBidi" w:cstheme="majorBidi"/>
          <w:i/>
          <w:iCs/>
        </w:rPr>
        <w:t>i.e.</w:t>
      </w:r>
      <w:r w:rsidR="00E97963" w:rsidRPr="00433908">
        <w:rPr>
          <w:rFonts w:asciiTheme="majorBidi" w:hAnsiTheme="majorBidi" w:cstheme="majorBidi"/>
        </w:rPr>
        <w:t xml:space="preserve"> unprofitably raise its </w:t>
      </w:r>
      <w:r w:rsidR="00A26866" w:rsidRPr="00433908">
        <w:rPr>
          <w:rFonts w:asciiTheme="majorBidi" w:hAnsiTheme="majorBidi" w:cstheme="majorBidi"/>
        </w:rPr>
        <w:t xml:space="preserve">own </w:t>
      </w:r>
      <w:r w:rsidR="00E97963" w:rsidRPr="00433908">
        <w:rPr>
          <w:rFonts w:asciiTheme="majorBidi" w:hAnsiTheme="majorBidi" w:cstheme="majorBidi"/>
        </w:rPr>
        <w:t xml:space="preserve">prices to the benefit of Walgreens), BlackRock and Fidelity would have lost. If </w:t>
      </w:r>
      <w:r w:rsidR="00440B14" w:rsidRPr="00433908">
        <w:rPr>
          <w:rFonts w:asciiTheme="majorBidi" w:hAnsiTheme="majorBidi" w:cstheme="majorBidi"/>
        </w:rPr>
        <w:t>Walgreens</w:t>
      </w:r>
      <w:r w:rsidR="00E97963" w:rsidRPr="00433908">
        <w:rPr>
          <w:rFonts w:asciiTheme="majorBidi" w:hAnsiTheme="majorBidi" w:cstheme="majorBidi"/>
        </w:rPr>
        <w:t xml:space="preserve"> were to do the </w:t>
      </w:r>
      <w:r w:rsidR="00A26866" w:rsidRPr="00433908">
        <w:rPr>
          <w:rFonts w:asciiTheme="majorBidi" w:hAnsiTheme="majorBidi" w:cstheme="majorBidi"/>
        </w:rPr>
        <w:t>same, Vanguard would have lost.</w:t>
      </w:r>
    </w:p>
    <w:p w14:paraId="651D485C" w14:textId="42D59A58" w:rsidR="00C90C24" w:rsidRPr="00433908" w:rsidRDefault="005B25D8" w:rsidP="00A35734">
      <w:pPr>
        <w:jc w:val="both"/>
        <w:rPr>
          <w:rFonts w:asciiTheme="majorBidi" w:hAnsiTheme="majorBidi" w:cstheme="majorBidi"/>
        </w:rPr>
      </w:pPr>
      <w:r w:rsidRPr="00433908">
        <w:rPr>
          <w:rFonts w:asciiTheme="majorBidi" w:hAnsiTheme="majorBidi" w:cstheme="majorBidi"/>
        </w:rPr>
        <w:t>U</w:t>
      </w:r>
      <w:r w:rsidR="00A26866" w:rsidRPr="00433908">
        <w:rPr>
          <w:rFonts w:asciiTheme="majorBidi" w:hAnsiTheme="majorBidi" w:cstheme="majorBidi"/>
        </w:rPr>
        <w:t>nder these circumstances, u</w:t>
      </w:r>
      <w:r w:rsidR="00C90C24" w:rsidRPr="00433908">
        <w:rPr>
          <w:rFonts w:asciiTheme="majorBidi" w:hAnsiTheme="majorBidi" w:cstheme="majorBidi"/>
        </w:rPr>
        <w:t xml:space="preserve">nilateral coordination </w:t>
      </w:r>
      <w:r w:rsidRPr="00433908">
        <w:rPr>
          <w:rFonts w:asciiTheme="majorBidi" w:hAnsiTheme="majorBidi" w:cstheme="majorBidi"/>
        </w:rPr>
        <w:t xml:space="preserve">is </w:t>
      </w:r>
      <w:r w:rsidR="00A755C2" w:rsidRPr="00433908">
        <w:rPr>
          <w:rFonts w:asciiTheme="majorBidi" w:hAnsiTheme="majorBidi" w:cstheme="majorBidi"/>
        </w:rPr>
        <w:t>even less likely</w:t>
      </w:r>
      <w:r w:rsidRPr="00433908">
        <w:rPr>
          <w:rFonts w:asciiTheme="majorBidi" w:hAnsiTheme="majorBidi" w:cstheme="majorBidi"/>
        </w:rPr>
        <w:t xml:space="preserve">. </w:t>
      </w:r>
      <w:r w:rsidR="00A755C2" w:rsidRPr="00433908">
        <w:rPr>
          <w:rFonts w:asciiTheme="majorBidi" w:hAnsiTheme="majorBidi" w:cstheme="majorBidi"/>
        </w:rPr>
        <w:t xml:space="preserve">It is difficult to decide </w:t>
      </w:r>
      <w:r w:rsidR="00A755C2" w:rsidRPr="00433908">
        <w:rPr>
          <w:rFonts w:asciiTheme="majorBidi" w:hAnsiTheme="majorBidi" w:cstheme="majorBidi"/>
          <w:i/>
          <w:iCs/>
        </w:rPr>
        <w:t>which</w:t>
      </w:r>
      <w:r w:rsidR="00A755C2" w:rsidRPr="00433908">
        <w:rPr>
          <w:rFonts w:asciiTheme="majorBidi" w:hAnsiTheme="majorBidi" w:cstheme="majorBidi"/>
        </w:rPr>
        <w:t xml:space="preserve"> influential </w:t>
      </w:r>
      <w:r w:rsidR="00D31494" w:rsidRPr="00433908">
        <w:rPr>
          <w:rFonts w:asciiTheme="majorBidi" w:hAnsiTheme="majorBidi" w:cstheme="majorBidi"/>
        </w:rPr>
        <w:t>institutional investor</w:t>
      </w:r>
      <w:r w:rsidR="00A755C2" w:rsidRPr="00433908">
        <w:rPr>
          <w:rFonts w:asciiTheme="majorBidi" w:hAnsiTheme="majorBidi" w:cstheme="majorBidi"/>
        </w:rPr>
        <w:t xml:space="preserve"> to serve</w:t>
      </w:r>
      <w:r w:rsidR="00B07FC0" w:rsidRPr="00433908">
        <w:rPr>
          <w:rFonts w:asciiTheme="majorBidi" w:hAnsiTheme="majorBidi" w:cstheme="majorBidi"/>
        </w:rPr>
        <w:t xml:space="preserve"> and which to harm</w:t>
      </w:r>
      <w:r w:rsidR="00A755C2" w:rsidRPr="00433908">
        <w:rPr>
          <w:rFonts w:asciiTheme="majorBidi" w:hAnsiTheme="majorBidi" w:cstheme="majorBidi"/>
        </w:rPr>
        <w:t xml:space="preserve">. Furthermore, </w:t>
      </w:r>
      <w:r w:rsidR="00B07FC0" w:rsidRPr="00433908">
        <w:rPr>
          <w:rFonts w:asciiTheme="majorBidi" w:hAnsiTheme="majorBidi" w:cstheme="majorBidi"/>
        </w:rPr>
        <w:t>even if management somehow makes this decision, a problem of detection emerges. U</w:t>
      </w:r>
      <w:r w:rsidR="00A755C2" w:rsidRPr="00433908">
        <w:rPr>
          <w:rFonts w:asciiTheme="majorBidi" w:hAnsiTheme="majorBidi" w:cstheme="majorBidi"/>
        </w:rPr>
        <w:t xml:space="preserve">nlike serving an influential shareholder when other shareholders are </w:t>
      </w:r>
      <w:r w:rsidR="00AE29C9" w:rsidRPr="00433908">
        <w:rPr>
          <w:rFonts w:asciiTheme="majorBidi" w:hAnsiTheme="majorBidi" w:cstheme="majorBidi"/>
        </w:rPr>
        <w:t>dispersed, lay, retail investors</w:t>
      </w:r>
      <w:r w:rsidR="00A755C2" w:rsidRPr="00433908">
        <w:rPr>
          <w:rFonts w:asciiTheme="majorBidi" w:hAnsiTheme="majorBidi" w:cstheme="majorBidi"/>
        </w:rPr>
        <w:t xml:space="preserve">, </w:t>
      </w:r>
      <w:r w:rsidR="00AE29C9" w:rsidRPr="00433908">
        <w:rPr>
          <w:rFonts w:asciiTheme="majorBidi" w:hAnsiTheme="majorBidi" w:cstheme="majorBidi"/>
        </w:rPr>
        <w:t>who may have neither the incentives nor the ability to monitor performance,</w:t>
      </w:r>
      <w:r w:rsidR="00D31494" w:rsidRPr="00433908">
        <w:rPr>
          <w:rStyle w:val="FootnoteReference"/>
          <w:rFonts w:asciiTheme="majorBidi" w:hAnsiTheme="majorBidi" w:cstheme="majorBidi"/>
        </w:rPr>
        <w:footnoteReference w:id="105"/>
      </w:r>
      <w:r w:rsidR="00AE29C9" w:rsidRPr="00433908">
        <w:rPr>
          <w:rFonts w:asciiTheme="majorBidi" w:hAnsiTheme="majorBidi" w:cstheme="majorBidi"/>
        </w:rPr>
        <w:t xml:space="preserve"> </w:t>
      </w:r>
      <w:r w:rsidR="00A755C2" w:rsidRPr="00433908">
        <w:rPr>
          <w:rFonts w:asciiTheme="majorBidi" w:hAnsiTheme="majorBidi" w:cstheme="majorBidi"/>
        </w:rPr>
        <w:t xml:space="preserve">in the current setting there will always be a shareholder with significant holdings that has been harmed, and is </w:t>
      </w:r>
      <w:r w:rsidR="00B07FC0" w:rsidRPr="00433908">
        <w:rPr>
          <w:rFonts w:asciiTheme="majorBidi" w:hAnsiTheme="majorBidi" w:cstheme="majorBidi"/>
        </w:rPr>
        <w:t>as likely to realize that it has been harmed as the benefitted shareholder is to realize that it has been benefitted. And s</w:t>
      </w:r>
      <w:r w:rsidR="00AE29C9" w:rsidRPr="00433908">
        <w:rPr>
          <w:rFonts w:asciiTheme="majorBidi" w:hAnsiTheme="majorBidi" w:cstheme="majorBidi"/>
        </w:rPr>
        <w:t>ince</w:t>
      </w:r>
      <w:r w:rsidR="00B07FC0" w:rsidRPr="00433908">
        <w:rPr>
          <w:rFonts w:asciiTheme="majorBidi" w:hAnsiTheme="majorBidi" w:cstheme="majorBidi"/>
        </w:rPr>
        <w:t xml:space="preserve"> the harmed shareholder has significant holdings in the </w:t>
      </w:r>
      <w:r w:rsidR="00A35734" w:rsidRPr="00433908">
        <w:rPr>
          <w:rFonts w:asciiTheme="majorBidi" w:hAnsiTheme="majorBidi" w:cstheme="majorBidi"/>
        </w:rPr>
        <w:t xml:space="preserve">unilaterally coordinating </w:t>
      </w:r>
      <w:r w:rsidR="00B07FC0" w:rsidRPr="00433908">
        <w:rPr>
          <w:rFonts w:asciiTheme="majorBidi" w:hAnsiTheme="majorBidi" w:cstheme="majorBidi"/>
        </w:rPr>
        <w:t>firm, action is</w:t>
      </w:r>
      <w:r w:rsidR="00A755C2" w:rsidRPr="00433908">
        <w:rPr>
          <w:rFonts w:asciiTheme="majorBidi" w:hAnsiTheme="majorBidi" w:cstheme="majorBidi"/>
        </w:rPr>
        <w:t xml:space="preserve"> much more likely to </w:t>
      </w:r>
      <w:r w:rsidR="00B07FC0" w:rsidRPr="00433908">
        <w:rPr>
          <w:rFonts w:asciiTheme="majorBidi" w:hAnsiTheme="majorBidi" w:cstheme="majorBidi"/>
        </w:rPr>
        <w:t xml:space="preserve">be </w:t>
      </w:r>
      <w:r w:rsidR="00A755C2" w:rsidRPr="00433908">
        <w:rPr>
          <w:rFonts w:asciiTheme="majorBidi" w:hAnsiTheme="majorBidi" w:cstheme="majorBidi"/>
        </w:rPr>
        <w:t>taken</w:t>
      </w:r>
      <w:r w:rsidR="00B07FC0" w:rsidRPr="00433908">
        <w:rPr>
          <w:rFonts w:asciiTheme="majorBidi" w:hAnsiTheme="majorBidi" w:cstheme="majorBidi"/>
        </w:rPr>
        <w:t>.</w:t>
      </w:r>
    </w:p>
    <w:p w14:paraId="71C42BDB" w14:textId="178F0660" w:rsidR="002A2BEC" w:rsidRPr="00433908" w:rsidRDefault="00C90C24" w:rsidP="000C6E51">
      <w:pPr>
        <w:jc w:val="both"/>
        <w:rPr>
          <w:rFonts w:asciiTheme="majorBidi" w:hAnsiTheme="majorBidi" w:cstheme="majorBidi"/>
        </w:rPr>
      </w:pPr>
      <w:r w:rsidRPr="00433908">
        <w:rPr>
          <w:rFonts w:asciiTheme="majorBidi" w:hAnsiTheme="majorBidi" w:cstheme="majorBidi"/>
        </w:rPr>
        <w:t>Once again, institutional investors may coordinate between them</w:t>
      </w:r>
      <w:r w:rsidR="00A35734" w:rsidRPr="00433908">
        <w:rPr>
          <w:rFonts w:asciiTheme="majorBidi" w:hAnsiTheme="majorBidi" w:cstheme="majorBidi"/>
        </w:rPr>
        <w:t>selves</w:t>
      </w:r>
      <w:r w:rsidRPr="00433908">
        <w:rPr>
          <w:rFonts w:asciiTheme="majorBidi" w:hAnsiTheme="majorBidi" w:cstheme="majorBidi"/>
        </w:rPr>
        <w:t xml:space="preserve"> and agree that profits should flow to CVS, where their joint holdings are greater than their joint holdings in Walgreens. </w:t>
      </w:r>
      <w:r w:rsidR="00B07FC0" w:rsidRPr="00433908">
        <w:rPr>
          <w:rFonts w:asciiTheme="majorBidi" w:hAnsiTheme="majorBidi" w:cstheme="majorBidi"/>
        </w:rPr>
        <w:t>BlackRock and fidelity, who will have gained from this, will have gained more than Vanguard, the losing shareholder</w:t>
      </w:r>
      <w:r w:rsidR="00AE29C9" w:rsidRPr="00433908">
        <w:rPr>
          <w:rFonts w:asciiTheme="majorBidi" w:hAnsiTheme="majorBidi" w:cstheme="majorBidi"/>
        </w:rPr>
        <w:t>, will have lost</w:t>
      </w:r>
      <w:r w:rsidR="00B07FC0" w:rsidRPr="00433908">
        <w:rPr>
          <w:rFonts w:asciiTheme="majorBidi" w:hAnsiTheme="majorBidi" w:cstheme="majorBidi"/>
        </w:rPr>
        <w:t>. As this is Pareto efficient (from the c</w:t>
      </w:r>
      <w:r w:rsidR="000C6E51" w:rsidRPr="00433908">
        <w:rPr>
          <w:rFonts w:asciiTheme="majorBidi" w:hAnsiTheme="majorBidi" w:cstheme="majorBidi"/>
        </w:rPr>
        <w:t>ross owners’</w:t>
      </w:r>
      <w:r w:rsidR="00B07FC0" w:rsidRPr="00433908">
        <w:rPr>
          <w:rFonts w:asciiTheme="majorBidi" w:hAnsiTheme="majorBidi" w:cstheme="majorBidi"/>
        </w:rPr>
        <w:t xml:space="preserve"> perspective), the losing party can be compensated. But this requires both explicit coordination at the investors’ level, </w:t>
      </w:r>
      <w:r w:rsidR="00AE29C9" w:rsidRPr="00433908">
        <w:rPr>
          <w:rFonts w:asciiTheme="majorBidi" w:hAnsiTheme="majorBidi" w:cstheme="majorBidi"/>
        </w:rPr>
        <w:t xml:space="preserve">which would be an offense under section 1 of the Sherman Act, </w:t>
      </w:r>
      <w:r w:rsidR="00B07FC0" w:rsidRPr="00433908">
        <w:rPr>
          <w:rFonts w:asciiTheme="majorBidi" w:hAnsiTheme="majorBidi" w:cstheme="majorBidi"/>
        </w:rPr>
        <w:t xml:space="preserve">and some method through </w:t>
      </w:r>
      <w:r w:rsidRPr="00433908">
        <w:rPr>
          <w:rFonts w:asciiTheme="majorBidi" w:hAnsiTheme="majorBidi" w:cstheme="majorBidi"/>
        </w:rPr>
        <w:t>which the joint decision is conveyed to management</w:t>
      </w:r>
      <w:r w:rsidR="00B90145" w:rsidRPr="00433908">
        <w:rPr>
          <w:rFonts w:asciiTheme="majorBidi" w:hAnsiTheme="majorBidi" w:cstheme="majorBidi"/>
        </w:rPr>
        <w:t xml:space="preserve"> (which would, in turn, be violating its own duties)</w:t>
      </w:r>
      <w:r w:rsidRPr="00433908">
        <w:rPr>
          <w:rFonts w:asciiTheme="majorBidi" w:hAnsiTheme="majorBidi" w:cstheme="majorBidi"/>
        </w:rPr>
        <w:t>. Management cannot be expected to unilaterally coordinate otherwise.</w:t>
      </w:r>
    </w:p>
    <w:p w14:paraId="2FEE06B1" w14:textId="77777777" w:rsidR="00AE29C9" w:rsidRPr="00433908" w:rsidRDefault="00AE29C9" w:rsidP="005C6B74">
      <w:pPr>
        <w:jc w:val="both"/>
        <w:rPr>
          <w:rFonts w:asciiTheme="majorBidi" w:hAnsiTheme="majorBidi" w:cstheme="majorBidi"/>
        </w:rPr>
      </w:pPr>
    </w:p>
    <w:p w14:paraId="2657D87B" w14:textId="4197E785" w:rsidR="008D09B2" w:rsidRPr="00433908" w:rsidRDefault="00C90C24" w:rsidP="00097254">
      <w:pPr>
        <w:jc w:val="both"/>
        <w:rPr>
          <w:rFonts w:asciiTheme="majorBidi" w:hAnsiTheme="majorBidi" w:cstheme="majorBidi"/>
        </w:rPr>
      </w:pPr>
      <w:r w:rsidRPr="00433908">
        <w:rPr>
          <w:rFonts w:asciiTheme="majorBidi" w:hAnsiTheme="majorBidi" w:cstheme="majorBidi"/>
        </w:rPr>
        <w:t xml:space="preserve">A similar problem emerges if one is considering the second example of a concentrated industry with concentrated ownership, the Banking industry. Here too, according to </w:t>
      </w:r>
      <w:r w:rsidR="00097254" w:rsidRPr="00433908">
        <w:rPr>
          <w:rFonts w:asciiTheme="majorBidi" w:hAnsiTheme="majorBidi" w:cstheme="majorBidi"/>
        </w:rPr>
        <w:t>Azar</w:t>
      </w:r>
      <w:r w:rsidRPr="00433908">
        <w:rPr>
          <w:rFonts w:asciiTheme="majorBidi" w:hAnsiTheme="majorBidi" w:cstheme="majorBidi"/>
        </w:rPr>
        <w:t xml:space="preserve"> </w:t>
      </w:r>
      <w:r w:rsidR="00DC47C4" w:rsidRPr="00433908">
        <w:rPr>
          <w:rFonts w:asciiTheme="majorBidi" w:hAnsiTheme="majorBidi" w:cstheme="majorBidi"/>
        </w:rPr>
        <w:t>et al.</w:t>
      </w:r>
      <w:r w:rsidRPr="00433908">
        <w:rPr>
          <w:rFonts w:asciiTheme="majorBidi" w:hAnsiTheme="majorBidi" w:cstheme="majorBidi"/>
        </w:rPr>
        <w:t xml:space="preserve">, the six largest investors hold </w:t>
      </w:r>
      <w:r w:rsidR="00C952DC" w:rsidRPr="00433908">
        <w:rPr>
          <w:rFonts w:asciiTheme="majorBidi" w:hAnsiTheme="majorBidi" w:cstheme="majorBidi"/>
        </w:rPr>
        <w:t xml:space="preserve">approximately 24% of JP Morgan Chase, 20% of Bank of America, and </w:t>
      </w:r>
      <w:r w:rsidR="00DC2D84" w:rsidRPr="00433908">
        <w:rPr>
          <w:rFonts w:asciiTheme="majorBidi" w:hAnsiTheme="majorBidi" w:cstheme="majorBidi"/>
        </w:rPr>
        <w:lastRenderedPageBreak/>
        <w:t>over 33% of Citigroup. But when these holdings are broken down, the picture</w:t>
      </w:r>
      <w:r w:rsidR="00A821EF" w:rsidRPr="00433908">
        <w:rPr>
          <w:rFonts w:asciiTheme="majorBidi" w:hAnsiTheme="majorBidi" w:cstheme="majorBidi"/>
        </w:rPr>
        <w:t xml:space="preserve"> becomes much more complicated:</w:t>
      </w:r>
      <w:r w:rsidR="000258D6" w:rsidRPr="00433908">
        <w:rPr>
          <w:rStyle w:val="FootnoteReference"/>
          <w:rFonts w:asciiTheme="majorBidi" w:hAnsiTheme="majorBidi" w:cstheme="majorBidi"/>
        </w:rPr>
        <w:footnoteReference w:id="106"/>
      </w:r>
    </w:p>
    <w:p w14:paraId="0D8D674E" w14:textId="77777777" w:rsidR="00ED1834" w:rsidRPr="00433908" w:rsidRDefault="00ED1834" w:rsidP="00ED1834">
      <w:pPr>
        <w:jc w:val="center"/>
        <w:rPr>
          <w:rFonts w:asciiTheme="majorBidi" w:hAnsiTheme="majorBidi" w:cstheme="majorBidi"/>
          <w:i/>
          <w:iCs/>
        </w:rPr>
      </w:pPr>
    </w:p>
    <w:p w14:paraId="11B7F54F" w14:textId="5B0297FB" w:rsidR="00A821EF" w:rsidRPr="00433908" w:rsidRDefault="00ED1834" w:rsidP="00B26F9E">
      <w:pPr>
        <w:jc w:val="center"/>
        <w:outlineLvl w:val="0"/>
        <w:rPr>
          <w:rFonts w:asciiTheme="majorBidi" w:hAnsiTheme="majorBidi" w:cstheme="majorBidi"/>
        </w:rPr>
      </w:pPr>
      <w:r w:rsidRPr="00433908">
        <w:rPr>
          <w:rFonts w:asciiTheme="majorBidi" w:hAnsiTheme="majorBidi" w:cstheme="majorBidi"/>
          <w:i/>
          <w:iCs/>
        </w:rPr>
        <w:t>Table 3</w:t>
      </w:r>
    </w:p>
    <w:p w14:paraId="7E810772" w14:textId="77777777" w:rsidR="00A821EF" w:rsidRPr="00433908" w:rsidRDefault="00A821EF" w:rsidP="00A821EF">
      <w:pPr>
        <w:jc w:val="both"/>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3"/>
        <w:gridCol w:w="2315"/>
        <w:gridCol w:w="2315"/>
        <w:gridCol w:w="2017"/>
      </w:tblGrid>
      <w:tr w:rsidR="00A821EF" w:rsidRPr="00433908" w14:paraId="09F2BF1B" w14:textId="43D0BAB3" w:rsidTr="00097254">
        <w:tc>
          <w:tcPr>
            <w:tcW w:w="2363" w:type="dxa"/>
          </w:tcPr>
          <w:p w14:paraId="3707AEDB" w14:textId="77777777" w:rsidR="00A821EF" w:rsidRPr="00433908" w:rsidRDefault="00A821EF" w:rsidP="00A821EF">
            <w:pPr>
              <w:jc w:val="center"/>
              <w:rPr>
                <w:rFonts w:asciiTheme="majorBidi" w:hAnsiTheme="majorBidi" w:cstheme="majorBidi"/>
                <w:b/>
                <w:bCs/>
                <w:i/>
                <w:iCs/>
              </w:rPr>
            </w:pPr>
            <w:r w:rsidRPr="00433908">
              <w:rPr>
                <w:rFonts w:asciiTheme="majorBidi" w:hAnsiTheme="majorBidi" w:cstheme="majorBidi"/>
                <w:b/>
                <w:bCs/>
                <w:i/>
                <w:iCs/>
              </w:rPr>
              <w:t>Investor</w:t>
            </w:r>
          </w:p>
        </w:tc>
        <w:tc>
          <w:tcPr>
            <w:tcW w:w="2315" w:type="dxa"/>
          </w:tcPr>
          <w:p w14:paraId="3CCBC693" w14:textId="09B75DAF" w:rsidR="00A821EF" w:rsidRPr="00433908" w:rsidRDefault="00A821EF" w:rsidP="00A821EF">
            <w:pPr>
              <w:jc w:val="center"/>
              <w:rPr>
                <w:rFonts w:asciiTheme="majorBidi" w:hAnsiTheme="majorBidi" w:cstheme="majorBidi"/>
                <w:b/>
                <w:bCs/>
                <w:i/>
                <w:iCs/>
              </w:rPr>
            </w:pPr>
            <w:r w:rsidRPr="00433908">
              <w:rPr>
                <w:rFonts w:asciiTheme="majorBidi" w:hAnsiTheme="majorBidi" w:cstheme="majorBidi"/>
                <w:b/>
                <w:bCs/>
                <w:i/>
                <w:iCs/>
              </w:rPr>
              <w:t>Holdings in JP Morgan Chase</w:t>
            </w:r>
          </w:p>
        </w:tc>
        <w:tc>
          <w:tcPr>
            <w:tcW w:w="2315" w:type="dxa"/>
          </w:tcPr>
          <w:p w14:paraId="708DC606" w14:textId="0004D5A2" w:rsidR="00A821EF" w:rsidRPr="00433908" w:rsidRDefault="00A821EF" w:rsidP="00A821EF">
            <w:pPr>
              <w:jc w:val="center"/>
              <w:rPr>
                <w:rFonts w:asciiTheme="majorBidi" w:hAnsiTheme="majorBidi" w:cstheme="majorBidi"/>
                <w:b/>
                <w:bCs/>
                <w:i/>
                <w:iCs/>
              </w:rPr>
            </w:pPr>
            <w:r w:rsidRPr="00433908">
              <w:rPr>
                <w:rFonts w:asciiTheme="majorBidi" w:hAnsiTheme="majorBidi" w:cstheme="majorBidi"/>
                <w:b/>
                <w:bCs/>
                <w:i/>
                <w:iCs/>
              </w:rPr>
              <w:t>Holdings in Bank of America</w:t>
            </w:r>
          </w:p>
        </w:tc>
        <w:tc>
          <w:tcPr>
            <w:tcW w:w="2017" w:type="dxa"/>
          </w:tcPr>
          <w:p w14:paraId="3997356D" w14:textId="51A892AD" w:rsidR="00A821EF" w:rsidRPr="00433908" w:rsidRDefault="00A821EF" w:rsidP="00A821EF">
            <w:pPr>
              <w:jc w:val="center"/>
              <w:rPr>
                <w:rFonts w:asciiTheme="majorBidi" w:hAnsiTheme="majorBidi" w:cstheme="majorBidi"/>
                <w:b/>
                <w:bCs/>
                <w:i/>
                <w:iCs/>
              </w:rPr>
            </w:pPr>
            <w:r w:rsidRPr="00433908">
              <w:rPr>
                <w:rFonts w:asciiTheme="majorBidi" w:hAnsiTheme="majorBidi" w:cstheme="majorBidi"/>
                <w:b/>
                <w:bCs/>
                <w:i/>
                <w:iCs/>
              </w:rPr>
              <w:t>Holdings in Citigroup</w:t>
            </w:r>
          </w:p>
        </w:tc>
      </w:tr>
      <w:tr w:rsidR="00097254" w:rsidRPr="00433908" w14:paraId="62C9C8AF" w14:textId="77777777" w:rsidTr="00097254">
        <w:tc>
          <w:tcPr>
            <w:tcW w:w="2363" w:type="dxa"/>
          </w:tcPr>
          <w:p w14:paraId="0D6135D4" w14:textId="77777777" w:rsidR="00097254" w:rsidRPr="00433908" w:rsidRDefault="00097254" w:rsidP="00A821EF">
            <w:pPr>
              <w:jc w:val="center"/>
              <w:rPr>
                <w:rFonts w:asciiTheme="majorBidi" w:hAnsiTheme="majorBidi" w:cstheme="majorBidi"/>
              </w:rPr>
            </w:pPr>
          </w:p>
        </w:tc>
        <w:tc>
          <w:tcPr>
            <w:tcW w:w="2315" w:type="dxa"/>
          </w:tcPr>
          <w:p w14:paraId="655ACA59" w14:textId="77777777" w:rsidR="00097254" w:rsidRPr="00433908" w:rsidRDefault="00097254" w:rsidP="00A821EF">
            <w:pPr>
              <w:jc w:val="center"/>
              <w:rPr>
                <w:rFonts w:asciiTheme="majorBidi" w:hAnsiTheme="majorBidi" w:cstheme="majorBidi"/>
              </w:rPr>
            </w:pPr>
          </w:p>
        </w:tc>
        <w:tc>
          <w:tcPr>
            <w:tcW w:w="2315" w:type="dxa"/>
          </w:tcPr>
          <w:p w14:paraId="6711AB58" w14:textId="77777777" w:rsidR="00097254" w:rsidRPr="00433908" w:rsidRDefault="00097254" w:rsidP="00A821EF">
            <w:pPr>
              <w:jc w:val="center"/>
              <w:rPr>
                <w:rFonts w:asciiTheme="majorBidi" w:hAnsiTheme="majorBidi" w:cstheme="majorBidi"/>
              </w:rPr>
            </w:pPr>
          </w:p>
        </w:tc>
        <w:tc>
          <w:tcPr>
            <w:tcW w:w="2017" w:type="dxa"/>
          </w:tcPr>
          <w:p w14:paraId="2BE74834" w14:textId="77777777" w:rsidR="00097254" w:rsidRPr="00433908" w:rsidRDefault="00097254" w:rsidP="00A821EF">
            <w:pPr>
              <w:jc w:val="center"/>
              <w:rPr>
                <w:rFonts w:asciiTheme="majorBidi" w:hAnsiTheme="majorBidi" w:cstheme="majorBidi"/>
              </w:rPr>
            </w:pPr>
          </w:p>
        </w:tc>
      </w:tr>
      <w:tr w:rsidR="00A821EF" w:rsidRPr="00433908" w14:paraId="09248431" w14:textId="78E96C9D" w:rsidTr="00097254">
        <w:tc>
          <w:tcPr>
            <w:tcW w:w="2363" w:type="dxa"/>
          </w:tcPr>
          <w:p w14:paraId="409A2A14" w14:textId="77777777" w:rsidR="00A821EF" w:rsidRPr="00433908" w:rsidRDefault="00A821EF" w:rsidP="00A821EF">
            <w:pPr>
              <w:jc w:val="center"/>
              <w:rPr>
                <w:rFonts w:asciiTheme="majorBidi" w:hAnsiTheme="majorBidi" w:cstheme="majorBidi"/>
              </w:rPr>
            </w:pPr>
            <w:r w:rsidRPr="00433908">
              <w:rPr>
                <w:rFonts w:asciiTheme="majorBidi" w:hAnsiTheme="majorBidi" w:cstheme="majorBidi"/>
              </w:rPr>
              <w:t>BlackRock</w:t>
            </w:r>
          </w:p>
        </w:tc>
        <w:tc>
          <w:tcPr>
            <w:tcW w:w="2315" w:type="dxa"/>
          </w:tcPr>
          <w:p w14:paraId="754D0EBD" w14:textId="373BF354" w:rsidR="00A821EF" w:rsidRPr="00433908" w:rsidRDefault="00A821EF" w:rsidP="00A821EF">
            <w:pPr>
              <w:jc w:val="center"/>
              <w:rPr>
                <w:rFonts w:asciiTheme="majorBidi" w:hAnsiTheme="majorBidi" w:cstheme="majorBidi"/>
              </w:rPr>
            </w:pPr>
            <w:r w:rsidRPr="00433908">
              <w:rPr>
                <w:rFonts w:asciiTheme="majorBidi" w:hAnsiTheme="majorBidi" w:cstheme="majorBidi"/>
              </w:rPr>
              <w:t>6.7%</w:t>
            </w:r>
          </w:p>
        </w:tc>
        <w:tc>
          <w:tcPr>
            <w:tcW w:w="2315" w:type="dxa"/>
          </w:tcPr>
          <w:p w14:paraId="283B61D2" w14:textId="25BEE343" w:rsidR="00A821EF" w:rsidRPr="00433908" w:rsidRDefault="00A821EF" w:rsidP="00A821EF">
            <w:pPr>
              <w:jc w:val="center"/>
              <w:rPr>
                <w:rFonts w:asciiTheme="majorBidi" w:hAnsiTheme="majorBidi" w:cstheme="majorBidi"/>
              </w:rPr>
            </w:pPr>
            <w:r w:rsidRPr="00433908">
              <w:rPr>
                <w:rFonts w:asciiTheme="majorBidi" w:hAnsiTheme="majorBidi" w:cstheme="majorBidi"/>
              </w:rPr>
              <w:t>5.38%</w:t>
            </w:r>
          </w:p>
        </w:tc>
        <w:tc>
          <w:tcPr>
            <w:tcW w:w="2017" w:type="dxa"/>
          </w:tcPr>
          <w:p w14:paraId="2DF8B0F5" w14:textId="27213CD6" w:rsidR="00A821EF" w:rsidRPr="00433908" w:rsidRDefault="00A821EF" w:rsidP="00A821EF">
            <w:pPr>
              <w:jc w:val="center"/>
              <w:rPr>
                <w:rFonts w:asciiTheme="majorBidi" w:hAnsiTheme="majorBidi" w:cstheme="majorBidi"/>
              </w:rPr>
            </w:pPr>
            <w:r w:rsidRPr="007F504F">
              <w:rPr>
                <w:rFonts w:asciiTheme="majorBidi" w:hAnsiTheme="majorBidi" w:cstheme="majorBidi"/>
                <w:color w:val="00B0F0"/>
              </w:rPr>
              <w:t>9.29%</w:t>
            </w:r>
          </w:p>
        </w:tc>
      </w:tr>
      <w:tr w:rsidR="00A821EF" w:rsidRPr="00433908" w14:paraId="7CB72432" w14:textId="77777777" w:rsidTr="00097254">
        <w:tc>
          <w:tcPr>
            <w:tcW w:w="2363" w:type="dxa"/>
          </w:tcPr>
          <w:p w14:paraId="1313DAAF" w14:textId="18F49B83" w:rsidR="00A821EF" w:rsidRPr="00433908" w:rsidRDefault="00A821EF" w:rsidP="00A821EF">
            <w:pPr>
              <w:jc w:val="center"/>
              <w:rPr>
                <w:rFonts w:asciiTheme="majorBidi" w:hAnsiTheme="majorBidi" w:cstheme="majorBidi"/>
              </w:rPr>
            </w:pPr>
            <w:r w:rsidRPr="00433908">
              <w:rPr>
                <w:rFonts w:asciiTheme="majorBidi" w:hAnsiTheme="majorBidi" w:cstheme="majorBidi"/>
              </w:rPr>
              <w:t>Fidelity</w:t>
            </w:r>
          </w:p>
        </w:tc>
        <w:tc>
          <w:tcPr>
            <w:tcW w:w="2315" w:type="dxa"/>
          </w:tcPr>
          <w:p w14:paraId="7BB938AC" w14:textId="7AFEA21D" w:rsidR="00A821EF" w:rsidRPr="00433908" w:rsidRDefault="00A821EF" w:rsidP="00A821EF">
            <w:pPr>
              <w:jc w:val="center"/>
              <w:rPr>
                <w:rFonts w:asciiTheme="majorBidi" w:hAnsiTheme="majorBidi" w:cstheme="majorBidi"/>
              </w:rPr>
            </w:pPr>
            <w:r w:rsidRPr="00433908">
              <w:rPr>
                <w:rFonts w:asciiTheme="majorBidi" w:hAnsiTheme="majorBidi" w:cstheme="majorBidi"/>
              </w:rPr>
              <w:t>3.16%</w:t>
            </w:r>
          </w:p>
        </w:tc>
        <w:tc>
          <w:tcPr>
            <w:tcW w:w="2315" w:type="dxa"/>
          </w:tcPr>
          <w:p w14:paraId="0BC01B2B" w14:textId="159E3537" w:rsidR="00A821EF" w:rsidRPr="00433908" w:rsidRDefault="00A821EF" w:rsidP="00A821EF">
            <w:pPr>
              <w:jc w:val="center"/>
              <w:rPr>
                <w:rFonts w:asciiTheme="majorBidi" w:hAnsiTheme="majorBidi" w:cstheme="majorBidi"/>
              </w:rPr>
            </w:pPr>
            <w:r w:rsidRPr="00433908">
              <w:rPr>
                <w:rFonts w:asciiTheme="majorBidi" w:hAnsiTheme="majorBidi" w:cstheme="majorBidi"/>
              </w:rPr>
              <w:t>2.56%</w:t>
            </w:r>
          </w:p>
        </w:tc>
        <w:tc>
          <w:tcPr>
            <w:tcW w:w="2017" w:type="dxa"/>
          </w:tcPr>
          <w:p w14:paraId="63DEFDB0" w14:textId="716C2A10" w:rsidR="00A821EF" w:rsidRPr="00433908" w:rsidRDefault="00A821EF" w:rsidP="00A821EF">
            <w:pPr>
              <w:jc w:val="center"/>
              <w:rPr>
                <w:rFonts w:asciiTheme="majorBidi" w:hAnsiTheme="majorBidi" w:cstheme="majorBidi"/>
              </w:rPr>
            </w:pPr>
            <w:r w:rsidRPr="007F504F">
              <w:rPr>
                <w:rFonts w:asciiTheme="majorBidi" w:hAnsiTheme="majorBidi" w:cstheme="majorBidi"/>
                <w:color w:val="00B0F0"/>
              </w:rPr>
              <w:t>3.83%</w:t>
            </w:r>
          </w:p>
        </w:tc>
      </w:tr>
      <w:tr w:rsidR="00A821EF" w:rsidRPr="00433908" w14:paraId="11A89BC5" w14:textId="38A96C77" w:rsidTr="00097254">
        <w:tc>
          <w:tcPr>
            <w:tcW w:w="2363" w:type="dxa"/>
          </w:tcPr>
          <w:p w14:paraId="58F0098A" w14:textId="3B0F7AD9" w:rsidR="00A821EF" w:rsidRPr="00433908" w:rsidRDefault="00A821EF" w:rsidP="00A821EF">
            <w:pPr>
              <w:jc w:val="center"/>
              <w:rPr>
                <w:rFonts w:asciiTheme="majorBidi" w:hAnsiTheme="majorBidi" w:cstheme="majorBidi"/>
              </w:rPr>
            </w:pPr>
            <w:r w:rsidRPr="00433908">
              <w:rPr>
                <w:rFonts w:asciiTheme="majorBidi" w:hAnsiTheme="majorBidi" w:cstheme="majorBidi"/>
              </w:rPr>
              <w:t>Vanguard Group</w:t>
            </w:r>
          </w:p>
        </w:tc>
        <w:tc>
          <w:tcPr>
            <w:tcW w:w="2315" w:type="dxa"/>
          </w:tcPr>
          <w:p w14:paraId="0BAAE6C0" w14:textId="673C512E" w:rsidR="00A821EF" w:rsidRPr="00433908" w:rsidRDefault="00A821EF" w:rsidP="00A821EF">
            <w:pPr>
              <w:jc w:val="center"/>
              <w:rPr>
                <w:rFonts w:asciiTheme="majorBidi" w:hAnsiTheme="majorBidi" w:cstheme="majorBidi"/>
              </w:rPr>
            </w:pPr>
            <w:r w:rsidRPr="007F504F">
              <w:rPr>
                <w:rFonts w:asciiTheme="majorBidi" w:hAnsiTheme="majorBidi" w:cstheme="majorBidi"/>
                <w:color w:val="00B0F0"/>
              </w:rPr>
              <w:t>4.78%</w:t>
            </w:r>
          </w:p>
        </w:tc>
        <w:tc>
          <w:tcPr>
            <w:tcW w:w="2315" w:type="dxa"/>
          </w:tcPr>
          <w:p w14:paraId="366311A4" w14:textId="17A6A572" w:rsidR="00A821EF" w:rsidRPr="00433908" w:rsidRDefault="00A821EF" w:rsidP="00A821EF">
            <w:pPr>
              <w:jc w:val="center"/>
              <w:rPr>
                <w:rFonts w:asciiTheme="majorBidi" w:hAnsiTheme="majorBidi" w:cstheme="majorBidi"/>
              </w:rPr>
            </w:pPr>
            <w:r w:rsidRPr="00433908">
              <w:rPr>
                <w:rFonts w:asciiTheme="majorBidi" w:hAnsiTheme="majorBidi" w:cstheme="majorBidi"/>
              </w:rPr>
              <w:t>4.51%</w:t>
            </w:r>
          </w:p>
        </w:tc>
        <w:tc>
          <w:tcPr>
            <w:tcW w:w="2017" w:type="dxa"/>
          </w:tcPr>
          <w:p w14:paraId="56B2D351" w14:textId="6F25D277" w:rsidR="00A821EF" w:rsidRPr="00433908" w:rsidRDefault="00A821EF" w:rsidP="00A821EF">
            <w:pPr>
              <w:jc w:val="center"/>
              <w:rPr>
                <w:rFonts w:asciiTheme="majorBidi" w:hAnsiTheme="majorBidi" w:cstheme="majorBidi"/>
              </w:rPr>
            </w:pPr>
            <w:r w:rsidRPr="00433908">
              <w:rPr>
                <w:rFonts w:asciiTheme="majorBidi" w:hAnsiTheme="majorBidi" w:cstheme="majorBidi"/>
              </w:rPr>
              <w:t>4.4%</w:t>
            </w:r>
          </w:p>
        </w:tc>
      </w:tr>
    </w:tbl>
    <w:p w14:paraId="1EE92B12" w14:textId="77777777" w:rsidR="00A821EF" w:rsidRPr="00433908" w:rsidRDefault="00A821EF" w:rsidP="005C6B74">
      <w:pPr>
        <w:jc w:val="both"/>
        <w:rPr>
          <w:rFonts w:asciiTheme="majorBidi" w:hAnsiTheme="majorBidi" w:cstheme="majorBidi"/>
        </w:rPr>
      </w:pPr>
    </w:p>
    <w:p w14:paraId="504F6E6A" w14:textId="11570B3D" w:rsidR="00906F6F" w:rsidRPr="00433908" w:rsidRDefault="00A821EF" w:rsidP="00A35734">
      <w:pPr>
        <w:jc w:val="both"/>
        <w:rPr>
          <w:rFonts w:asciiTheme="majorBidi" w:hAnsiTheme="majorBidi" w:cstheme="majorBidi"/>
        </w:rPr>
      </w:pPr>
      <w:r w:rsidRPr="00433908">
        <w:rPr>
          <w:rFonts w:asciiTheme="majorBidi" w:hAnsiTheme="majorBidi" w:cstheme="majorBidi"/>
        </w:rPr>
        <w:t xml:space="preserve">Once again, any unilateral coordination that benefits </w:t>
      </w:r>
      <w:r w:rsidR="00906F6F" w:rsidRPr="00433908">
        <w:rPr>
          <w:rFonts w:asciiTheme="majorBidi" w:hAnsiTheme="majorBidi" w:cstheme="majorBidi"/>
        </w:rPr>
        <w:t>BlackRock and Fidelity would be harmful to Vanguard, and vice versa. This setting is even more problematic, because</w:t>
      </w:r>
      <w:r w:rsidR="00B07FC0" w:rsidRPr="00433908">
        <w:rPr>
          <w:rFonts w:asciiTheme="majorBidi" w:hAnsiTheme="majorBidi" w:cstheme="majorBidi"/>
        </w:rPr>
        <w:t xml:space="preserve"> the industry is comprised of three banks. Therefore,</w:t>
      </w:r>
      <w:r w:rsidR="00906F6F" w:rsidRPr="00433908">
        <w:rPr>
          <w:rFonts w:asciiTheme="majorBidi" w:hAnsiTheme="majorBidi" w:cstheme="majorBidi"/>
        </w:rPr>
        <w:t xml:space="preserve"> </w:t>
      </w:r>
      <w:r w:rsidR="00906F6F" w:rsidRPr="00433908">
        <w:rPr>
          <w:rFonts w:asciiTheme="majorBidi" w:hAnsiTheme="majorBidi" w:cstheme="majorBidi"/>
          <w:i/>
          <w:iCs/>
        </w:rPr>
        <w:t>two</w:t>
      </w:r>
      <w:r w:rsidR="00906F6F" w:rsidRPr="00433908">
        <w:rPr>
          <w:rFonts w:asciiTheme="majorBidi" w:hAnsiTheme="majorBidi" w:cstheme="majorBidi"/>
        </w:rPr>
        <w:t xml:space="preserve"> banks would need to unilaterally coordinate for each investor to benefit from such conduct. This requires even more </w:t>
      </w:r>
      <w:r w:rsidR="00AE29C9" w:rsidRPr="00433908">
        <w:rPr>
          <w:rFonts w:asciiTheme="majorBidi" w:hAnsiTheme="majorBidi" w:cstheme="majorBidi"/>
        </w:rPr>
        <w:t>elaborate</w:t>
      </w:r>
      <w:r w:rsidR="00906F6F" w:rsidRPr="00433908">
        <w:rPr>
          <w:rFonts w:asciiTheme="majorBidi" w:hAnsiTheme="majorBidi" w:cstheme="majorBidi"/>
        </w:rPr>
        <w:t xml:space="preserve"> coordination, and is th</w:t>
      </w:r>
      <w:r w:rsidR="00A35734" w:rsidRPr="00433908">
        <w:rPr>
          <w:rFonts w:asciiTheme="majorBidi" w:hAnsiTheme="majorBidi" w:cstheme="majorBidi"/>
        </w:rPr>
        <w:t>erefore</w:t>
      </w:r>
      <w:r w:rsidR="00906F6F" w:rsidRPr="00433908">
        <w:rPr>
          <w:rFonts w:asciiTheme="majorBidi" w:hAnsiTheme="majorBidi" w:cstheme="majorBidi"/>
        </w:rPr>
        <w:t xml:space="preserve"> even less likely to occur absent explicit coordination amongst investors and explicit instructions to management.</w:t>
      </w:r>
    </w:p>
    <w:p w14:paraId="09BDC8A5" w14:textId="77777777" w:rsidR="00AE29C9" w:rsidRPr="00433908" w:rsidRDefault="00AE29C9" w:rsidP="00953440">
      <w:pPr>
        <w:jc w:val="both"/>
        <w:rPr>
          <w:rFonts w:asciiTheme="majorBidi" w:hAnsiTheme="majorBidi" w:cstheme="majorBidi"/>
        </w:rPr>
      </w:pPr>
    </w:p>
    <w:p w14:paraId="727DDEBE" w14:textId="11BE8861" w:rsidR="005D703D" w:rsidRPr="00433908" w:rsidRDefault="00702993" w:rsidP="00440B14">
      <w:pPr>
        <w:jc w:val="both"/>
        <w:rPr>
          <w:rFonts w:asciiTheme="majorBidi" w:hAnsiTheme="majorBidi" w:cstheme="majorBidi"/>
        </w:rPr>
      </w:pPr>
      <w:r w:rsidRPr="00433908">
        <w:rPr>
          <w:rFonts w:asciiTheme="majorBidi" w:hAnsiTheme="majorBidi" w:cstheme="majorBidi"/>
        </w:rPr>
        <w:t>This argument is slightly less immediate in</w:t>
      </w:r>
      <w:r w:rsidR="000258D6" w:rsidRPr="00433908">
        <w:rPr>
          <w:rFonts w:asciiTheme="majorBidi" w:hAnsiTheme="majorBidi" w:cstheme="majorBidi"/>
        </w:rPr>
        <w:t xml:space="preserve"> the third industry presented by </w:t>
      </w:r>
      <w:r w:rsidR="00097254" w:rsidRPr="00433908">
        <w:rPr>
          <w:rFonts w:asciiTheme="majorBidi" w:hAnsiTheme="majorBidi" w:cstheme="majorBidi"/>
        </w:rPr>
        <w:t>Azar</w:t>
      </w:r>
      <w:r w:rsidR="000258D6" w:rsidRPr="00433908">
        <w:rPr>
          <w:rFonts w:asciiTheme="majorBidi" w:hAnsiTheme="majorBidi" w:cstheme="majorBidi"/>
        </w:rPr>
        <w:t xml:space="preserve"> </w:t>
      </w:r>
      <w:r w:rsidR="00DC47C4" w:rsidRPr="00433908">
        <w:rPr>
          <w:rFonts w:asciiTheme="majorBidi" w:hAnsiTheme="majorBidi" w:cstheme="majorBidi"/>
        </w:rPr>
        <w:t>et al.</w:t>
      </w:r>
      <w:r w:rsidR="000258D6" w:rsidRPr="00433908">
        <w:rPr>
          <w:rFonts w:asciiTheme="majorBidi" w:hAnsiTheme="majorBidi" w:cstheme="majorBidi"/>
        </w:rPr>
        <w:t>, the Technology industry.</w:t>
      </w:r>
      <w:r w:rsidR="00B90145" w:rsidRPr="00433908">
        <w:rPr>
          <w:rFonts w:asciiTheme="majorBidi" w:hAnsiTheme="majorBidi" w:cstheme="majorBidi"/>
        </w:rPr>
        <w:t xml:space="preserve"> T</w:t>
      </w:r>
      <w:r w:rsidR="00953440" w:rsidRPr="00433908">
        <w:rPr>
          <w:rFonts w:asciiTheme="majorBidi" w:hAnsiTheme="majorBidi" w:cstheme="majorBidi"/>
        </w:rPr>
        <w:t xml:space="preserve">he largest shareholders jointly hold approximately 20% of Apple, and 27% of Microsoft. </w:t>
      </w:r>
      <w:r w:rsidRPr="00433908">
        <w:rPr>
          <w:rFonts w:asciiTheme="majorBidi" w:hAnsiTheme="majorBidi" w:cstheme="majorBidi"/>
        </w:rPr>
        <w:t>All three joint shareholders</w:t>
      </w:r>
      <w:r w:rsidR="00440B14" w:rsidRPr="00433908">
        <w:rPr>
          <w:rFonts w:asciiTheme="majorBidi" w:hAnsiTheme="majorBidi" w:cstheme="majorBidi"/>
        </w:rPr>
        <w:t xml:space="preserve"> who are institutional investors</w:t>
      </w:r>
      <w:r w:rsidRPr="00433908">
        <w:rPr>
          <w:rFonts w:asciiTheme="majorBidi" w:hAnsiTheme="majorBidi" w:cstheme="majorBidi"/>
        </w:rPr>
        <w:t xml:space="preserve"> – </w:t>
      </w:r>
      <w:r w:rsidR="00953440" w:rsidRPr="00433908">
        <w:rPr>
          <w:rFonts w:asciiTheme="majorBidi" w:hAnsiTheme="majorBidi" w:cstheme="majorBidi"/>
        </w:rPr>
        <w:t>BlackRock, Fidelity and Vanguard</w:t>
      </w:r>
      <w:r w:rsidRPr="00433908">
        <w:rPr>
          <w:rFonts w:asciiTheme="majorBidi" w:hAnsiTheme="majorBidi" w:cstheme="majorBidi"/>
        </w:rPr>
        <w:t xml:space="preserve"> – have greater stakes in Microsoft, as </w:t>
      </w:r>
      <w:r w:rsidR="00953440" w:rsidRPr="00433908">
        <w:rPr>
          <w:rFonts w:asciiTheme="majorBidi" w:hAnsiTheme="majorBidi" w:cstheme="majorBidi"/>
        </w:rPr>
        <w:t>summarized in the following table:</w:t>
      </w:r>
      <w:r w:rsidRPr="00433908">
        <w:rPr>
          <w:rStyle w:val="FootnoteReference"/>
          <w:rFonts w:asciiTheme="majorBidi" w:hAnsiTheme="majorBidi" w:cstheme="majorBidi"/>
        </w:rPr>
        <w:footnoteReference w:id="107"/>
      </w:r>
    </w:p>
    <w:p w14:paraId="43F3E4FF" w14:textId="77777777" w:rsidR="00953440" w:rsidRPr="00433908" w:rsidRDefault="00953440" w:rsidP="00953440">
      <w:pPr>
        <w:jc w:val="both"/>
        <w:rPr>
          <w:rFonts w:asciiTheme="majorBidi" w:hAnsiTheme="majorBidi" w:cstheme="majorBidi"/>
        </w:rPr>
      </w:pPr>
    </w:p>
    <w:p w14:paraId="04C0DD20" w14:textId="6EE37AA0" w:rsidR="00ED1834" w:rsidRPr="00433908" w:rsidRDefault="00ED1834" w:rsidP="00702993">
      <w:pPr>
        <w:jc w:val="center"/>
        <w:outlineLvl w:val="0"/>
        <w:rPr>
          <w:rFonts w:asciiTheme="majorBidi" w:hAnsiTheme="majorBidi" w:cstheme="majorBidi"/>
          <w:i/>
          <w:iCs/>
        </w:rPr>
      </w:pPr>
      <w:r w:rsidRPr="00433908">
        <w:rPr>
          <w:rFonts w:asciiTheme="majorBidi" w:hAnsiTheme="majorBidi" w:cstheme="majorBidi"/>
          <w:i/>
          <w:iCs/>
        </w:rPr>
        <w:t>Table 4</w:t>
      </w:r>
    </w:p>
    <w:p w14:paraId="3AE39C64" w14:textId="77777777" w:rsidR="00ED1834" w:rsidRPr="00433908" w:rsidRDefault="00ED1834" w:rsidP="00ED1834">
      <w:pPr>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gridCol w:w="3003"/>
      </w:tblGrid>
      <w:tr w:rsidR="00953440" w:rsidRPr="00433908" w14:paraId="5764B4BF" w14:textId="77777777" w:rsidTr="00097254">
        <w:tc>
          <w:tcPr>
            <w:tcW w:w="3003" w:type="dxa"/>
          </w:tcPr>
          <w:p w14:paraId="7EA4DFAD" w14:textId="77777777" w:rsidR="00953440" w:rsidRPr="00433908" w:rsidRDefault="00953440" w:rsidP="00D665C6">
            <w:pPr>
              <w:jc w:val="center"/>
              <w:rPr>
                <w:rFonts w:asciiTheme="majorBidi" w:hAnsiTheme="majorBidi" w:cstheme="majorBidi"/>
                <w:b/>
                <w:bCs/>
                <w:i/>
                <w:iCs/>
              </w:rPr>
            </w:pPr>
            <w:r w:rsidRPr="00433908">
              <w:rPr>
                <w:rFonts w:asciiTheme="majorBidi" w:hAnsiTheme="majorBidi" w:cstheme="majorBidi"/>
                <w:b/>
                <w:bCs/>
                <w:i/>
                <w:iCs/>
              </w:rPr>
              <w:t>Investor</w:t>
            </w:r>
          </w:p>
        </w:tc>
        <w:tc>
          <w:tcPr>
            <w:tcW w:w="3003" w:type="dxa"/>
          </w:tcPr>
          <w:p w14:paraId="1625F646" w14:textId="6E7FFC23" w:rsidR="00953440" w:rsidRPr="00433908" w:rsidRDefault="00953440" w:rsidP="00D665C6">
            <w:pPr>
              <w:jc w:val="center"/>
              <w:rPr>
                <w:rFonts w:asciiTheme="majorBidi" w:hAnsiTheme="majorBidi" w:cstheme="majorBidi"/>
                <w:b/>
                <w:bCs/>
                <w:i/>
                <w:iCs/>
              </w:rPr>
            </w:pPr>
            <w:r w:rsidRPr="00433908">
              <w:rPr>
                <w:rFonts w:asciiTheme="majorBidi" w:hAnsiTheme="majorBidi" w:cstheme="majorBidi"/>
                <w:b/>
                <w:bCs/>
                <w:i/>
                <w:iCs/>
              </w:rPr>
              <w:t>Holdings in Apple</w:t>
            </w:r>
          </w:p>
        </w:tc>
        <w:tc>
          <w:tcPr>
            <w:tcW w:w="3003" w:type="dxa"/>
          </w:tcPr>
          <w:p w14:paraId="496589CF" w14:textId="6870D7D8" w:rsidR="00953440" w:rsidRPr="00433908" w:rsidRDefault="00953440" w:rsidP="00953440">
            <w:pPr>
              <w:jc w:val="center"/>
              <w:rPr>
                <w:rFonts w:asciiTheme="majorBidi" w:hAnsiTheme="majorBidi" w:cstheme="majorBidi"/>
                <w:b/>
                <w:bCs/>
                <w:i/>
                <w:iCs/>
              </w:rPr>
            </w:pPr>
            <w:r w:rsidRPr="00433908">
              <w:rPr>
                <w:rFonts w:asciiTheme="majorBidi" w:hAnsiTheme="majorBidi" w:cstheme="majorBidi"/>
                <w:b/>
                <w:bCs/>
                <w:i/>
                <w:iCs/>
              </w:rPr>
              <w:t>Holdings in Microsoft</w:t>
            </w:r>
          </w:p>
        </w:tc>
      </w:tr>
      <w:tr w:rsidR="00097254" w:rsidRPr="00433908" w14:paraId="3C7E0B45" w14:textId="77777777" w:rsidTr="00097254">
        <w:tc>
          <w:tcPr>
            <w:tcW w:w="3003" w:type="dxa"/>
          </w:tcPr>
          <w:p w14:paraId="0F692250" w14:textId="77777777" w:rsidR="00097254" w:rsidRPr="00433908" w:rsidRDefault="00097254" w:rsidP="00D665C6">
            <w:pPr>
              <w:jc w:val="center"/>
              <w:rPr>
                <w:rFonts w:asciiTheme="majorBidi" w:hAnsiTheme="majorBidi" w:cstheme="majorBidi"/>
              </w:rPr>
            </w:pPr>
          </w:p>
        </w:tc>
        <w:tc>
          <w:tcPr>
            <w:tcW w:w="3003" w:type="dxa"/>
          </w:tcPr>
          <w:p w14:paraId="4F561F11" w14:textId="77777777" w:rsidR="00097254" w:rsidRPr="00433908" w:rsidRDefault="00097254" w:rsidP="00953440">
            <w:pPr>
              <w:jc w:val="center"/>
              <w:rPr>
                <w:rFonts w:asciiTheme="majorBidi" w:hAnsiTheme="majorBidi" w:cstheme="majorBidi"/>
              </w:rPr>
            </w:pPr>
          </w:p>
        </w:tc>
        <w:tc>
          <w:tcPr>
            <w:tcW w:w="3003" w:type="dxa"/>
          </w:tcPr>
          <w:p w14:paraId="35F2BE5F" w14:textId="77777777" w:rsidR="00097254" w:rsidRPr="00433908" w:rsidRDefault="00097254" w:rsidP="00953440">
            <w:pPr>
              <w:jc w:val="center"/>
              <w:rPr>
                <w:rFonts w:asciiTheme="majorBidi" w:hAnsiTheme="majorBidi" w:cstheme="majorBidi"/>
              </w:rPr>
            </w:pPr>
          </w:p>
        </w:tc>
      </w:tr>
      <w:tr w:rsidR="00953440" w:rsidRPr="00433908" w14:paraId="33D9DC26" w14:textId="77777777" w:rsidTr="00097254">
        <w:tc>
          <w:tcPr>
            <w:tcW w:w="3003" w:type="dxa"/>
          </w:tcPr>
          <w:p w14:paraId="4D76E877" w14:textId="77777777" w:rsidR="00953440" w:rsidRPr="00433908" w:rsidRDefault="00953440" w:rsidP="00D665C6">
            <w:pPr>
              <w:jc w:val="center"/>
              <w:rPr>
                <w:rFonts w:asciiTheme="majorBidi" w:hAnsiTheme="majorBidi" w:cstheme="majorBidi"/>
              </w:rPr>
            </w:pPr>
            <w:r w:rsidRPr="00433908">
              <w:rPr>
                <w:rFonts w:asciiTheme="majorBidi" w:hAnsiTheme="majorBidi" w:cstheme="majorBidi"/>
              </w:rPr>
              <w:t>BlackRock</w:t>
            </w:r>
          </w:p>
        </w:tc>
        <w:tc>
          <w:tcPr>
            <w:tcW w:w="3003" w:type="dxa"/>
          </w:tcPr>
          <w:p w14:paraId="65C0F857" w14:textId="6CBEC61D" w:rsidR="00953440" w:rsidRPr="00433908" w:rsidRDefault="00953440" w:rsidP="00953440">
            <w:pPr>
              <w:jc w:val="center"/>
              <w:rPr>
                <w:rFonts w:asciiTheme="majorBidi" w:hAnsiTheme="majorBidi" w:cstheme="majorBidi"/>
              </w:rPr>
            </w:pPr>
            <w:r w:rsidRPr="00433908">
              <w:rPr>
                <w:rFonts w:asciiTheme="majorBidi" w:hAnsiTheme="majorBidi" w:cstheme="majorBidi"/>
              </w:rPr>
              <w:t>5.58%</w:t>
            </w:r>
          </w:p>
        </w:tc>
        <w:tc>
          <w:tcPr>
            <w:tcW w:w="3003" w:type="dxa"/>
          </w:tcPr>
          <w:p w14:paraId="37041D03" w14:textId="1B406FDE" w:rsidR="00953440" w:rsidRPr="00433908" w:rsidRDefault="00953440" w:rsidP="00953440">
            <w:pPr>
              <w:jc w:val="center"/>
              <w:rPr>
                <w:rFonts w:asciiTheme="majorBidi" w:hAnsiTheme="majorBidi" w:cstheme="majorBidi"/>
              </w:rPr>
            </w:pPr>
            <w:r w:rsidRPr="00433908">
              <w:rPr>
                <w:rFonts w:asciiTheme="majorBidi" w:hAnsiTheme="majorBidi" w:cstheme="majorBidi"/>
              </w:rPr>
              <w:t>5.33%</w:t>
            </w:r>
          </w:p>
        </w:tc>
      </w:tr>
      <w:tr w:rsidR="00953440" w:rsidRPr="00433908" w14:paraId="45248BA1" w14:textId="77777777" w:rsidTr="00097254">
        <w:tc>
          <w:tcPr>
            <w:tcW w:w="3003" w:type="dxa"/>
          </w:tcPr>
          <w:p w14:paraId="47DF7266" w14:textId="77777777" w:rsidR="00953440" w:rsidRPr="00433908" w:rsidRDefault="00953440" w:rsidP="00D665C6">
            <w:pPr>
              <w:jc w:val="center"/>
              <w:rPr>
                <w:rFonts w:asciiTheme="majorBidi" w:hAnsiTheme="majorBidi" w:cstheme="majorBidi"/>
              </w:rPr>
            </w:pPr>
            <w:r w:rsidRPr="00433908">
              <w:rPr>
                <w:rFonts w:asciiTheme="majorBidi" w:hAnsiTheme="majorBidi" w:cstheme="majorBidi"/>
              </w:rPr>
              <w:t>Fidelity</w:t>
            </w:r>
          </w:p>
        </w:tc>
        <w:tc>
          <w:tcPr>
            <w:tcW w:w="3003" w:type="dxa"/>
          </w:tcPr>
          <w:p w14:paraId="62348FAA" w14:textId="75E284D3" w:rsidR="00953440" w:rsidRPr="00433908" w:rsidRDefault="00953440" w:rsidP="00D665C6">
            <w:pPr>
              <w:jc w:val="center"/>
              <w:rPr>
                <w:rFonts w:asciiTheme="majorBidi" w:hAnsiTheme="majorBidi" w:cstheme="majorBidi"/>
              </w:rPr>
            </w:pPr>
            <w:r w:rsidRPr="00433908">
              <w:rPr>
                <w:rFonts w:asciiTheme="majorBidi" w:hAnsiTheme="majorBidi" w:cstheme="majorBidi"/>
              </w:rPr>
              <w:t>3.28%</w:t>
            </w:r>
          </w:p>
        </w:tc>
        <w:tc>
          <w:tcPr>
            <w:tcW w:w="3003" w:type="dxa"/>
          </w:tcPr>
          <w:p w14:paraId="15785A15" w14:textId="1649FA5C" w:rsidR="00953440" w:rsidRPr="00433908" w:rsidRDefault="00953440" w:rsidP="00953440">
            <w:pPr>
              <w:jc w:val="center"/>
              <w:rPr>
                <w:rFonts w:asciiTheme="majorBidi" w:hAnsiTheme="majorBidi" w:cstheme="majorBidi"/>
              </w:rPr>
            </w:pPr>
            <w:r w:rsidRPr="00433908">
              <w:rPr>
                <w:rFonts w:asciiTheme="majorBidi" w:hAnsiTheme="majorBidi" w:cstheme="majorBidi"/>
              </w:rPr>
              <w:t>3.08%</w:t>
            </w:r>
          </w:p>
        </w:tc>
      </w:tr>
      <w:tr w:rsidR="00953440" w:rsidRPr="00433908" w14:paraId="6E67A065" w14:textId="77777777" w:rsidTr="00097254">
        <w:tc>
          <w:tcPr>
            <w:tcW w:w="3003" w:type="dxa"/>
          </w:tcPr>
          <w:p w14:paraId="260D7B94" w14:textId="77777777" w:rsidR="00953440" w:rsidRPr="00433908" w:rsidRDefault="00953440" w:rsidP="00D665C6">
            <w:pPr>
              <w:jc w:val="center"/>
              <w:rPr>
                <w:rFonts w:asciiTheme="majorBidi" w:hAnsiTheme="majorBidi" w:cstheme="majorBidi"/>
              </w:rPr>
            </w:pPr>
            <w:r w:rsidRPr="00433908">
              <w:rPr>
                <w:rFonts w:asciiTheme="majorBidi" w:hAnsiTheme="majorBidi" w:cstheme="majorBidi"/>
              </w:rPr>
              <w:t>Vanguard</w:t>
            </w:r>
          </w:p>
        </w:tc>
        <w:tc>
          <w:tcPr>
            <w:tcW w:w="3003" w:type="dxa"/>
          </w:tcPr>
          <w:p w14:paraId="6E4A994E" w14:textId="5C6A583D" w:rsidR="00953440" w:rsidRPr="00433908" w:rsidRDefault="00953440" w:rsidP="00D665C6">
            <w:pPr>
              <w:jc w:val="center"/>
              <w:rPr>
                <w:rFonts w:asciiTheme="majorBidi" w:hAnsiTheme="majorBidi" w:cstheme="majorBidi"/>
              </w:rPr>
            </w:pPr>
            <w:r w:rsidRPr="00433908">
              <w:rPr>
                <w:rFonts w:asciiTheme="majorBidi" w:hAnsiTheme="majorBidi" w:cstheme="majorBidi"/>
              </w:rPr>
              <w:t>4.95%</w:t>
            </w:r>
          </w:p>
        </w:tc>
        <w:tc>
          <w:tcPr>
            <w:tcW w:w="3003" w:type="dxa"/>
          </w:tcPr>
          <w:p w14:paraId="3EE83C8C" w14:textId="08086645" w:rsidR="00953440" w:rsidRPr="00433908" w:rsidRDefault="00953440" w:rsidP="00D665C6">
            <w:pPr>
              <w:jc w:val="center"/>
              <w:rPr>
                <w:rFonts w:asciiTheme="majorBidi" w:hAnsiTheme="majorBidi" w:cstheme="majorBidi"/>
              </w:rPr>
            </w:pPr>
            <w:r w:rsidRPr="00433908">
              <w:rPr>
                <w:rFonts w:asciiTheme="majorBidi" w:hAnsiTheme="majorBidi" w:cstheme="majorBidi"/>
              </w:rPr>
              <w:t>4.49%</w:t>
            </w:r>
          </w:p>
        </w:tc>
      </w:tr>
    </w:tbl>
    <w:p w14:paraId="1D9CDCEF" w14:textId="77777777" w:rsidR="005D703D" w:rsidRPr="00433908" w:rsidRDefault="005D703D" w:rsidP="000B50AA">
      <w:pPr>
        <w:jc w:val="both"/>
        <w:rPr>
          <w:rFonts w:asciiTheme="majorBidi" w:hAnsiTheme="majorBidi" w:cstheme="majorBidi"/>
        </w:rPr>
      </w:pPr>
    </w:p>
    <w:p w14:paraId="24ED2D37" w14:textId="3208B74A" w:rsidR="00CF6898" w:rsidRPr="00433908" w:rsidRDefault="00702993" w:rsidP="00A35734">
      <w:pPr>
        <w:jc w:val="both"/>
        <w:rPr>
          <w:rFonts w:asciiTheme="majorBidi" w:hAnsiTheme="majorBidi" w:cstheme="majorBidi"/>
        </w:rPr>
      </w:pPr>
      <w:r w:rsidRPr="00433908">
        <w:rPr>
          <w:rFonts w:asciiTheme="majorBidi" w:hAnsiTheme="majorBidi" w:cstheme="majorBidi"/>
        </w:rPr>
        <w:t xml:space="preserve">Although their holdings in Apple are only slightly greater than their holdings in Microsoft, </w:t>
      </w:r>
      <w:r w:rsidR="00DE7EA6" w:rsidRPr="00433908">
        <w:rPr>
          <w:rFonts w:asciiTheme="majorBidi" w:hAnsiTheme="majorBidi" w:cstheme="majorBidi"/>
        </w:rPr>
        <w:t xml:space="preserve">BlackRock, Vanguard and Fidelity </w:t>
      </w:r>
      <w:r w:rsidRPr="00433908">
        <w:rPr>
          <w:rFonts w:asciiTheme="majorBidi" w:hAnsiTheme="majorBidi" w:cstheme="majorBidi"/>
        </w:rPr>
        <w:t xml:space="preserve">undoubtedly all prefer profits to flow to Apple. </w:t>
      </w:r>
      <w:r w:rsidR="00DE7EA6" w:rsidRPr="00433908">
        <w:rPr>
          <w:rFonts w:asciiTheme="majorBidi" w:hAnsiTheme="majorBidi" w:cstheme="majorBidi"/>
        </w:rPr>
        <w:t>But Microsoft’s third-largest shareholder is</w:t>
      </w:r>
      <w:r w:rsidR="000B50AA" w:rsidRPr="00433908">
        <w:rPr>
          <w:rFonts w:asciiTheme="majorBidi" w:hAnsiTheme="majorBidi" w:cstheme="majorBidi"/>
        </w:rPr>
        <w:t xml:space="preserve">, according to </w:t>
      </w:r>
      <w:r w:rsidR="00097254" w:rsidRPr="00433908">
        <w:rPr>
          <w:rFonts w:asciiTheme="majorBidi" w:hAnsiTheme="majorBidi" w:cstheme="majorBidi"/>
        </w:rPr>
        <w:t>Azar</w:t>
      </w:r>
      <w:r w:rsidR="000B50AA" w:rsidRPr="00433908">
        <w:rPr>
          <w:rFonts w:asciiTheme="majorBidi" w:hAnsiTheme="majorBidi" w:cstheme="majorBidi"/>
        </w:rPr>
        <w:t xml:space="preserve"> </w:t>
      </w:r>
      <w:r w:rsidR="00DC47C4" w:rsidRPr="00433908">
        <w:rPr>
          <w:rFonts w:asciiTheme="majorBidi" w:hAnsiTheme="majorBidi" w:cstheme="majorBidi"/>
        </w:rPr>
        <w:t>et al.</w:t>
      </w:r>
      <w:r w:rsidR="000B50AA" w:rsidRPr="00433908">
        <w:rPr>
          <w:rFonts w:asciiTheme="majorBidi" w:hAnsiTheme="majorBidi" w:cstheme="majorBidi"/>
        </w:rPr>
        <w:t>,</w:t>
      </w:r>
      <w:r w:rsidR="00DE7EA6" w:rsidRPr="00433908">
        <w:rPr>
          <w:rFonts w:asciiTheme="majorBidi" w:hAnsiTheme="majorBidi" w:cstheme="majorBidi"/>
        </w:rPr>
        <w:t xml:space="preserve"> Bill Gates, </w:t>
      </w:r>
      <w:r w:rsidR="000B50AA" w:rsidRPr="00433908">
        <w:rPr>
          <w:rFonts w:asciiTheme="majorBidi" w:hAnsiTheme="majorBidi" w:cstheme="majorBidi"/>
        </w:rPr>
        <w:t>who holds 4.52% of Microsoft’s stock. Bill Gates holds</w:t>
      </w:r>
      <w:r w:rsidR="00DE7EA6" w:rsidRPr="00433908">
        <w:rPr>
          <w:rFonts w:asciiTheme="majorBidi" w:hAnsiTheme="majorBidi" w:cstheme="majorBidi"/>
        </w:rPr>
        <w:t xml:space="preserve"> </w:t>
      </w:r>
      <w:r w:rsidR="00B90145" w:rsidRPr="00433908">
        <w:rPr>
          <w:rFonts w:asciiTheme="majorBidi" w:hAnsiTheme="majorBidi" w:cstheme="majorBidi"/>
        </w:rPr>
        <w:t>none</w:t>
      </w:r>
      <w:r w:rsidR="000B50AA" w:rsidRPr="00433908">
        <w:rPr>
          <w:rFonts w:asciiTheme="majorBidi" w:hAnsiTheme="majorBidi" w:cstheme="majorBidi"/>
        </w:rPr>
        <w:t xml:space="preserve"> of </w:t>
      </w:r>
      <w:r w:rsidR="00DE7EA6" w:rsidRPr="00433908">
        <w:rPr>
          <w:rFonts w:asciiTheme="majorBidi" w:hAnsiTheme="majorBidi" w:cstheme="majorBidi"/>
        </w:rPr>
        <w:t>Apple</w:t>
      </w:r>
      <w:r w:rsidR="000B50AA" w:rsidRPr="00433908">
        <w:rPr>
          <w:rFonts w:asciiTheme="majorBidi" w:hAnsiTheme="majorBidi" w:cstheme="majorBidi"/>
        </w:rPr>
        <w:t>’s</w:t>
      </w:r>
      <w:r w:rsidR="00DE7EA6" w:rsidRPr="00433908">
        <w:rPr>
          <w:rFonts w:asciiTheme="majorBidi" w:hAnsiTheme="majorBidi" w:cstheme="majorBidi"/>
        </w:rPr>
        <w:t xml:space="preserve"> </w:t>
      </w:r>
      <w:r w:rsidR="000B50AA" w:rsidRPr="00433908">
        <w:rPr>
          <w:rFonts w:asciiTheme="majorBidi" w:hAnsiTheme="majorBidi" w:cstheme="majorBidi"/>
        </w:rPr>
        <w:t>stock, and therefore</w:t>
      </w:r>
      <w:r w:rsidR="00DE7EA6" w:rsidRPr="00433908">
        <w:rPr>
          <w:rFonts w:asciiTheme="majorBidi" w:hAnsiTheme="majorBidi" w:cstheme="majorBidi"/>
        </w:rPr>
        <w:t xml:space="preserve"> clearly </w:t>
      </w:r>
      <w:r w:rsidR="000B50AA" w:rsidRPr="00433908">
        <w:rPr>
          <w:rFonts w:asciiTheme="majorBidi" w:hAnsiTheme="majorBidi" w:cstheme="majorBidi"/>
        </w:rPr>
        <w:t xml:space="preserve">has an extremely strong </w:t>
      </w:r>
      <w:r w:rsidR="00DE7EA6" w:rsidRPr="00433908">
        <w:rPr>
          <w:rFonts w:asciiTheme="majorBidi" w:hAnsiTheme="majorBidi" w:cstheme="majorBidi"/>
        </w:rPr>
        <w:t>prefer</w:t>
      </w:r>
      <w:r w:rsidR="000B50AA" w:rsidRPr="00433908">
        <w:rPr>
          <w:rFonts w:asciiTheme="majorBidi" w:hAnsiTheme="majorBidi" w:cstheme="majorBidi"/>
        </w:rPr>
        <w:t xml:space="preserve">ence for </w:t>
      </w:r>
      <w:r w:rsidR="00DE7EA6" w:rsidRPr="00433908">
        <w:rPr>
          <w:rFonts w:asciiTheme="majorBidi" w:hAnsiTheme="majorBidi" w:cstheme="majorBidi"/>
        </w:rPr>
        <w:t xml:space="preserve">profits to flow </w:t>
      </w:r>
      <w:r w:rsidR="00396025" w:rsidRPr="00433908">
        <w:rPr>
          <w:rFonts w:asciiTheme="majorBidi" w:hAnsiTheme="majorBidi" w:cstheme="majorBidi"/>
          <w:i/>
          <w:iCs/>
        </w:rPr>
        <w:t>to</w:t>
      </w:r>
      <w:r w:rsidR="00396025" w:rsidRPr="00433908">
        <w:rPr>
          <w:rFonts w:asciiTheme="majorBidi" w:hAnsiTheme="majorBidi" w:cstheme="majorBidi"/>
        </w:rPr>
        <w:t xml:space="preserve"> </w:t>
      </w:r>
      <w:r w:rsidR="00735AD9" w:rsidRPr="00433908">
        <w:rPr>
          <w:rFonts w:asciiTheme="majorBidi" w:hAnsiTheme="majorBidi" w:cstheme="majorBidi"/>
        </w:rPr>
        <w:t>Microsoft.</w:t>
      </w:r>
      <w:r w:rsidR="000B50AA" w:rsidRPr="00433908">
        <w:rPr>
          <w:rFonts w:asciiTheme="majorBidi" w:hAnsiTheme="majorBidi" w:cstheme="majorBidi"/>
        </w:rPr>
        <w:t xml:space="preserve"> It is unlikely</w:t>
      </w:r>
      <w:r w:rsidR="00B90145" w:rsidRPr="00433908">
        <w:rPr>
          <w:rFonts w:asciiTheme="majorBidi" w:hAnsiTheme="majorBidi" w:cstheme="majorBidi"/>
        </w:rPr>
        <w:t xml:space="preserve">, at the </w:t>
      </w:r>
      <w:r w:rsidR="00440B14" w:rsidRPr="00433908">
        <w:rPr>
          <w:rFonts w:asciiTheme="majorBidi" w:hAnsiTheme="majorBidi" w:cstheme="majorBidi"/>
        </w:rPr>
        <w:t xml:space="preserve">very </w:t>
      </w:r>
      <w:r w:rsidR="00B90145" w:rsidRPr="00433908">
        <w:rPr>
          <w:rFonts w:asciiTheme="majorBidi" w:hAnsiTheme="majorBidi" w:cstheme="majorBidi"/>
        </w:rPr>
        <w:t>least,</w:t>
      </w:r>
      <w:r w:rsidR="000B50AA" w:rsidRPr="00433908">
        <w:rPr>
          <w:rFonts w:asciiTheme="majorBidi" w:hAnsiTheme="majorBidi" w:cstheme="majorBidi"/>
        </w:rPr>
        <w:t xml:space="preserve"> that Microsoft will unilaterally coordinate. Any dol</w:t>
      </w:r>
      <w:r w:rsidR="00953440" w:rsidRPr="00433908">
        <w:rPr>
          <w:rFonts w:asciiTheme="majorBidi" w:hAnsiTheme="majorBidi" w:cstheme="majorBidi"/>
        </w:rPr>
        <w:t>lar unilaterally lost</w:t>
      </w:r>
      <w:r w:rsidR="00B90145" w:rsidRPr="00433908">
        <w:rPr>
          <w:rFonts w:asciiTheme="majorBidi" w:hAnsiTheme="majorBidi" w:cstheme="majorBidi"/>
        </w:rPr>
        <w:t xml:space="preserve"> to Apple implies an almost 5-</w:t>
      </w:r>
      <w:r w:rsidR="000B50AA" w:rsidRPr="00433908">
        <w:rPr>
          <w:rFonts w:asciiTheme="majorBidi" w:hAnsiTheme="majorBidi" w:cstheme="majorBidi"/>
        </w:rPr>
        <w:t xml:space="preserve">Cent loss to </w:t>
      </w:r>
      <w:r w:rsidR="009567AB" w:rsidRPr="00433908">
        <w:rPr>
          <w:rFonts w:asciiTheme="majorBidi" w:hAnsiTheme="majorBidi" w:cstheme="majorBidi"/>
        </w:rPr>
        <w:t>Microsoft’s</w:t>
      </w:r>
      <w:r w:rsidR="000B50AA" w:rsidRPr="00433908">
        <w:rPr>
          <w:rFonts w:asciiTheme="majorBidi" w:hAnsiTheme="majorBidi" w:cstheme="majorBidi"/>
        </w:rPr>
        <w:t xml:space="preserve"> third-largest shareholder</w:t>
      </w:r>
      <w:r w:rsidR="00953440" w:rsidRPr="00433908">
        <w:rPr>
          <w:rFonts w:asciiTheme="majorBidi" w:hAnsiTheme="majorBidi" w:cstheme="majorBidi"/>
        </w:rPr>
        <w:t xml:space="preserve"> (Bill Gates)</w:t>
      </w:r>
      <w:r w:rsidR="00B90145" w:rsidRPr="00433908">
        <w:rPr>
          <w:rFonts w:asciiTheme="majorBidi" w:hAnsiTheme="majorBidi" w:cstheme="majorBidi"/>
        </w:rPr>
        <w:t xml:space="preserve">. The benefit to Microsoft’s other </w:t>
      </w:r>
      <w:r w:rsidR="000B50AA" w:rsidRPr="00433908">
        <w:rPr>
          <w:rFonts w:asciiTheme="majorBidi" w:hAnsiTheme="majorBidi" w:cstheme="majorBidi"/>
        </w:rPr>
        <w:t xml:space="preserve">three </w:t>
      </w:r>
      <w:r w:rsidRPr="00433908">
        <w:rPr>
          <w:rFonts w:asciiTheme="majorBidi" w:hAnsiTheme="majorBidi" w:cstheme="majorBidi"/>
        </w:rPr>
        <w:t xml:space="preserve">largest </w:t>
      </w:r>
      <w:r w:rsidR="000B50AA" w:rsidRPr="00433908">
        <w:rPr>
          <w:rFonts w:asciiTheme="majorBidi" w:hAnsiTheme="majorBidi" w:cstheme="majorBidi"/>
        </w:rPr>
        <w:t xml:space="preserve">shareholders </w:t>
      </w:r>
      <w:r w:rsidRPr="00433908">
        <w:rPr>
          <w:rFonts w:asciiTheme="majorBidi" w:hAnsiTheme="majorBidi" w:cstheme="majorBidi"/>
        </w:rPr>
        <w:t>is</w:t>
      </w:r>
      <w:r w:rsidR="000B50AA" w:rsidRPr="00433908">
        <w:rPr>
          <w:rFonts w:asciiTheme="majorBidi" w:hAnsiTheme="majorBidi" w:cstheme="majorBidi"/>
        </w:rPr>
        <w:t xml:space="preserve"> </w:t>
      </w:r>
      <w:r w:rsidR="00953440" w:rsidRPr="00433908">
        <w:rPr>
          <w:rFonts w:asciiTheme="majorBidi" w:hAnsiTheme="majorBidi" w:cstheme="majorBidi"/>
        </w:rPr>
        <w:t xml:space="preserve">approximately </w:t>
      </w:r>
      <w:r w:rsidR="000B50AA" w:rsidRPr="00433908">
        <w:rPr>
          <w:rFonts w:asciiTheme="majorBidi" w:hAnsiTheme="majorBidi" w:cstheme="majorBidi"/>
        </w:rPr>
        <w:t>1 Cent</w:t>
      </w:r>
      <w:r w:rsidR="00542862" w:rsidRPr="00433908">
        <w:rPr>
          <w:rFonts w:asciiTheme="majorBidi" w:hAnsiTheme="majorBidi" w:cstheme="majorBidi"/>
        </w:rPr>
        <w:t xml:space="preserve"> in total</w:t>
      </w:r>
      <w:r w:rsidR="000B50AA" w:rsidRPr="00433908">
        <w:rPr>
          <w:rFonts w:asciiTheme="majorBidi" w:hAnsiTheme="majorBidi" w:cstheme="majorBidi"/>
        </w:rPr>
        <w:t>.</w:t>
      </w:r>
      <w:r w:rsidR="000B50AA" w:rsidRPr="00433908">
        <w:rPr>
          <w:rStyle w:val="FootnoteReference"/>
          <w:rFonts w:asciiTheme="majorBidi" w:hAnsiTheme="majorBidi" w:cstheme="majorBidi"/>
        </w:rPr>
        <w:footnoteReference w:id="108"/>
      </w:r>
      <w:r w:rsidR="000B50AA" w:rsidRPr="00433908">
        <w:rPr>
          <w:rFonts w:asciiTheme="majorBidi" w:hAnsiTheme="majorBidi" w:cstheme="majorBidi"/>
        </w:rPr>
        <w:t xml:space="preserve"> It is </w:t>
      </w:r>
      <w:r w:rsidR="009567AB" w:rsidRPr="00433908">
        <w:rPr>
          <w:rFonts w:asciiTheme="majorBidi" w:hAnsiTheme="majorBidi" w:cstheme="majorBidi"/>
        </w:rPr>
        <w:t xml:space="preserve">similarly </w:t>
      </w:r>
      <w:r w:rsidR="000B50AA" w:rsidRPr="00433908">
        <w:rPr>
          <w:rFonts w:asciiTheme="majorBidi" w:hAnsiTheme="majorBidi" w:cstheme="majorBidi"/>
        </w:rPr>
        <w:t>unlikely that Apple will act to the detriment o</w:t>
      </w:r>
      <w:r w:rsidR="00FF5775" w:rsidRPr="00433908">
        <w:rPr>
          <w:rFonts w:asciiTheme="majorBidi" w:hAnsiTheme="majorBidi" w:cstheme="majorBidi"/>
        </w:rPr>
        <w:t xml:space="preserve">f its largest shareholders to the benefit of Bill Gates, who has no holdings in Apple. Once again, shareholders may coordinate price, quantities, or other </w:t>
      </w:r>
      <w:r w:rsidR="00FF5775" w:rsidRPr="00433908">
        <w:rPr>
          <w:rFonts w:asciiTheme="majorBidi" w:hAnsiTheme="majorBidi" w:cstheme="majorBidi"/>
        </w:rPr>
        <w:lastRenderedPageBreak/>
        <w:t xml:space="preserve">competitive dimensions, and then notify managements of their decisions. Alternatively, they may agree that it is worthwhile to have one firm </w:t>
      </w:r>
      <w:r w:rsidR="00285D35" w:rsidRPr="00433908">
        <w:rPr>
          <w:rFonts w:asciiTheme="majorBidi" w:hAnsiTheme="majorBidi" w:cstheme="majorBidi"/>
        </w:rPr>
        <w:t xml:space="preserve">unilaterally </w:t>
      </w:r>
      <w:r w:rsidR="00FF5775" w:rsidRPr="00433908">
        <w:rPr>
          <w:rFonts w:asciiTheme="majorBidi" w:hAnsiTheme="majorBidi" w:cstheme="majorBidi"/>
        </w:rPr>
        <w:t xml:space="preserve">raise its prices to the benefit of the other firm. But they would then need to agree on </w:t>
      </w:r>
      <w:r w:rsidR="00285D35" w:rsidRPr="00433908">
        <w:rPr>
          <w:rFonts w:asciiTheme="majorBidi" w:hAnsiTheme="majorBidi" w:cstheme="majorBidi"/>
        </w:rPr>
        <w:t>payments to be made by</w:t>
      </w:r>
      <w:r w:rsidR="00FF5775" w:rsidRPr="00433908">
        <w:rPr>
          <w:rFonts w:asciiTheme="majorBidi" w:hAnsiTheme="majorBidi" w:cstheme="majorBidi"/>
        </w:rPr>
        <w:t xml:space="preserve"> the shareholder</w:t>
      </w:r>
      <w:r w:rsidR="00285D35" w:rsidRPr="00433908">
        <w:rPr>
          <w:rFonts w:asciiTheme="majorBidi" w:hAnsiTheme="majorBidi" w:cstheme="majorBidi"/>
        </w:rPr>
        <w:t xml:space="preserve"> or shareholder</w:t>
      </w:r>
      <w:r w:rsidR="00FF5775" w:rsidRPr="00433908">
        <w:rPr>
          <w:rFonts w:asciiTheme="majorBidi" w:hAnsiTheme="majorBidi" w:cstheme="majorBidi"/>
        </w:rPr>
        <w:t xml:space="preserve">s benefitting from this unilateral coordination </w:t>
      </w:r>
      <w:r w:rsidR="00285D35" w:rsidRPr="00433908">
        <w:rPr>
          <w:rFonts w:asciiTheme="majorBidi" w:hAnsiTheme="majorBidi" w:cstheme="majorBidi"/>
        </w:rPr>
        <w:t xml:space="preserve">to the shareholders or shareholder </w:t>
      </w:r>
      <w:r w:rsidR="004965F8" w:rsidRPr="00433908">
        <w:rPr>
          <w:rFonts w:asciiTheme="majorBidi" w:hAnsiTheme="majorBidi" w:cstheme="majorBidi"/>
        </w:rPr>
        <w:t xml:space="preserve">losing from it </w:t>
      </w:r>
      <w:r w:rsidR="00FF5775" w:rsidRPr="00433908">
        <w:rPr>
          <w:rFonts w:asciiTheme="majorBidi" w:hAnsiTheme="majorBidi" w:cstheme="majorBidi"/>
        </w:rPr>
        <w:t xml:space="preserve">(and, once again, </w:t>
      </w:r>
      <w:r w:rsidR="009567AB" w:rsidRPr="00433908">
        <w:rPr>
          <w:rFonts w:asciiTheme="majorBidi" w:hAnsiTheme="majorBidi" w:cstheme="majorBidi"/>
        </w:rPr>
        <w:t xml:space="preserve">at the minimum </w:t>
      </w:r>
      <w:r w:rsidR="00FF5775" w:rsidRPr="00433908">
        <w:rPr>
          <w:rFonts w:asciiTheme="majorBidi" w:hAnsiTheme="majorBidi" w:cstheme="majorBidi"/>
        </w:rPr>
        <w:t xml:space="preserve">inform management of the unilaterally coordinating firm of their decision). </w:t>
      </w:r>
      <w:r w:rsidR="00CF6898" w:rsidRPr="00433908">
        <w:rPr>
          <w:rFonts w:asciiTheme="majorBidi" w:hAnsiTheme="majorBidi" w:cstheme="majorBidi"/>
        </w:rPr>
        <w:t xml:space="preserve">These compensation schemes are, given the differences in holdings, extremely complex, and can be expected to require elaborate </w:t>
      </w:r>
      <w:r w:rsidR="00E820E0" w:rsidRPr="00433908">
        <w:rPr>
          <w:rFonts w:asciiTheme="majorBidi" w:hAnsiTheme="majorBidi" w:cstheme="majorBidi"/>
        </w:rPr>
        <w:t>formula</w:t>
      </w:r>
      <w:r w:rsidR="009567AB" w:rsidRPr="00433908">
        <w:rPr>
          <w:rFonts w:asciiTheme="majorBidi" w:hAnsiTheme="majorBidi" w:cstheme="majorBidi"/>
        </w:rPr>
        <w:t>e</w:t>
      </w:r>
      <w:r w:rsidR="00CF6898" w:rsidRPr="00433908">
        <w:rPr>
          <w:rFonts w:asciiTheme="majorBidi" w:hAnsiTheme="majorBidi" w:cstheme="majorBidi"/>
        </w:rPr>
        <w:t xml:space="preserve"> and lengthy negotiations. </w:t>
      </w:r>
      <w:r w:rsidR="00FF5775" w:rsidRPr="00433908">
        <w:rPr>
          <w:rFonts w:asciiTheme="majorBidi" w:hAnsiTheme="majorBidi" w:cstheme="majorBidi"/>
        </w:rPr>
        <w:t>Abse</w:t>
      </w:r>
      <w:r w:rsidR="00CF6898" w:rsidRPr="00433908">
        <w:rPr>
          <w:rFonts w:asciiTheme="majorBidi" w:hAnsiTheme="majorBidi" w:cstheme="majorBidi"/>
        </w:rPr>
        <w:t xml:space="preserve">nt explicit </w:t>
      </w:r>
      <w:r w:rsidR="0076771C">
        <w:rPr>
          <w:rFonts w:asciiTheme="majorBidi" w:hAnsiTheme="majorBidi" w:cstheme="majorBidi"/>
        </w:rPr>
        <w:t xml:space="preserve">(illegal) </w:t>
      </w:r>
      <w:r w:rsidR="00CF6898" w:rsidRPr="00433908">
        <w:rPr>
          <w:rFonts w:asciiTheme="majorBidi" w:hAnsiTheme="majorBidi" w:cstheme="majorBidi"/>
        </w:rPr>
        <w:t>coordination, this is extremely unlikely.</w:t>
      </w:r>
    </w:p>
    <w:p w14:paraId="2581146C" w14:textId="6C99C918" w:rsidR="00C90C24" w:rsidRPr="00433908" w:rsidRDefault="00C90C24" w:rsidP="00C444EC">
      <w:pPr>
        <w:jc w:val="both"/>
        <w:rPr>
          <w:rFonts w:asciiTheme="majorBidi" w:hAnsiTheme="majorBidi" w:cstheme="majorBidi"/>
        </w:rPr>
      </w:pPr>
    </w:p>
    <w:p w14:paraId="0946E513" w14:textId="77777777" w:rsidR="000F2EF6" w:rsidRPr="00433908" w:rsidRDefault="00542862" w:rsidP="00E53A73">
      <w:pPr>
        <w:jc w:val="both"/>
        <w:rPr>
          <w:rFonts w:asciiTheme="majorBidi" w:hAnsiTheme="majorBidi" w:cstheme="majorBidi"/>
        </w:rPr>
      </w:pPr>
      <w:r w:rsidRPr="00433908">
        <w:rPr>
          <w:rFonts w:asciiTheme="majorBidi" w:hAnsiTheme="majorBidi" w:cstheme="majorBidi"/>
        </w:rPr>
        <w:t xml:space="preserve">A similar </w:t>
      </w:r>
      <w:r w:rsidR="006E1125" w:rsidRPr="00433908">
        <w:rPr>
          <w:rFonts w:asciiTheme="majorBidi" w:hAnsiTheme="majorBidi" w:cstheme="majorBidi"/>
        </w:rPr>
        <w:t xml:space="preserve">coordination </w:t>
      </w:r>
      <w:r w:rsidRPr="00433908">
        <w:rPr>
          <w:rFonts w:asciiTheme="majorBidi" w:hAnsiTheme="majorBidi" w:cstheme="majorBidi"/>
        </w:rPr>
        <w:t xml:space="preserve">problem emerges </w:t>
      </w:r>
      <w:r w:rsidR="006E1125" w:rsidRPr="00433908">
        <w:rPr>
          <w:rFonts w:asciiTheme="majorBidi" w:hAnsiTheme="majorBidi" w:cstheme="majorBidi"/>
        </w:rPr>
        <w:t xml:space="preserve">in all of the industries surveyed by Posner </w:t>
      </w:r>
      <w:r w:rsidR="00DC47C4" w:rsidRPr="00433908">
        <w:rPr>
          <w:rFonts w:asciiTheme="majorBidi" w:hAnsiTheme="majorBidi" w:cstheme="majorBidi"/>
        </w:rPr>
        <w:t>et al.</w:t>
      </w:r>
      <w:r w:rsidR="005905A1" w:rsidRPr="00433908">
        <w:rPr>
          <w:rFonts w:asciiTheme="majorBidi" w:hAnsiTheme="majorBidi" w:cstheme="majorBidi"/>
        </w:rPr>
        <w:t xml:space="preserve"> as oligopolistic industries </w:t>
      </w:r>
      <w:r w:rsidR="00A91CC4" w:rsidRPr="00433908">
        <w:rPr>
          <w:rFonts w:asciiTheme="majorBidi" w:hAnsiTheme="majorBidi" w:cstheme="majorBidi"/>
        </w:rPr>
        <w:t>in which there are</w:t>
      </w:r>
      <w:r w:rsidR="005905A1" w:rsidRPr="00433908">
        <w:rPr>
          <w:rFonts w:asciiTheme="majorBidi" w:hAnsiTheme="majorBidi" w:cstheme="majorBidi"/>
        </w:rPr>
        <w:t xml:space="preserve"> significant cross</w:t>
      </w:r>
      <w:r w:rsidR="000C6E51" w:rsidRPr="00433908">
        <w:rPr>
          <w:rFonts w:asciiTheme="majorBidi" w:hAnsiTheme="majorBidi" w:cstheme="majorBidi"/>
        </w:rPr>
        <w:t xml:space="preserve"> ownership patterns</w:t>
      </w:r>
      <w:r w:rsidR="005905A1" w:rsidRPr="00433908">
        <w:rPr>
          <w:rFonts w:asciiTheme="majorBidi" w:hAnsiTheme="majorBidi" w:cstheme="majorBidi"/>
        </w:rPr>
        <w:t xml:space="preserve">. In the mobile phones-industry </w:t>
      </w:r>
      <w:r w:rsidR="006E1125" w:rsidRPr="00433908">
        <w:rPr>
          <w:rFonts w:asciiTheme="majorBidi" w:hAnsiTheme="majorBidi" w:cstheme="majorBidi"/>
        </w:rPr>
        <w:t>there are four major competitors</w:t>
      </w:r>
      <w:r w:rsidR="00340570" w:rsidRPr="00433908">
        <w:rPr>
          <w:rFonts w:asciiTheme="majorBidi" w:hAnsiTheme="majorBidi" w:cstheme="majorBidi"/>
        </w:rPr>
        <w:t xml:space="preserve"> – </w:t>
      </w:r>
      <w:proofErr w:type="spellStart"/>
      <w:r w:rsidR="00340570" w:rsidRPr="00433908">
        <w:rPr>
          <w:rFonts w:asciiTheme="majorBidi" w:hAnsiTheme="majorBidi" w:cstheme="majorBidi"/>
        </w:rPr>
        <w:t>At&amp;T</w:t>
      </w:r>
      <w:proofErr w:type="spellEnd"/>
      <w:r w:rsidR="00340570" w:rsidRPr="00433908">
        <w:rPr>
          <w:rFonts w:asciiTheme="majorBidi" w:hAnsiTheme="majorBidi" w:cstheme="majorBidi"/>
        </w:rPr>
        <w:t>, Verizon, T-Mobile, and Sprint</w:t>
      </w:r>
      <w:r w:rsidR="006E1125" w:rsidRPr="00433908">
        <w:rPr>
          <w:rFonts w:asciiTheme="majorBidi" w:hAnsiTheme="majorBidi" w:cstheme="majorBidi"/>
        </w:rPr>
        <w:t>.</w:t>
      </w:r>
      <w:r w:rsidR="00340570" w:rsidRPr="00433908">
        <w:rPr>
          <w:rStyle w:val="FootnoteReference"/>
          <w:rFonts w:asciiTheme="majorBidi" w:hAnsiTheme="majorBidi" w:cstheme="majorBidi"/>
        </w:rPr>
        <w:footnoteReference w:id="109"/>
      </w:r>
      <w:r w:rsidR="006E1125" w:rsidRPr="00433908">
        <w:rPr>
          <w:rFonts w:asciiTheme="majorBidi" w:hAnsiTheme="majorBidi" w:cstheme="majorBidi"/>
        </w:rPr>
        <w:t xml:space="preserve"> </w:t>
      </w:r>
      <w:r w:rsidR="00314501" w:rsidRPr="00433908">
        <w:rPr>
          <w:rFonts w:asciiTheme="majorBidi" w:hAnsiTheme="majorBidi" w:cstheme="majorBidi"/>
        </w:rPr>
        <w:t xml:space="preserve">When looking at investors’ holdings in each of these competitors, it is clear that they have completely opposing (and very strong) preferences. </w:t>
      </w:r>
      <w:r w:rsidR="00340570" w:rsidRPr="00433908">
        <w:rPr>
          <w:rFonts w:asciiTheme="majorBidi" w:hAnsiTheme="majorBidi" w:cstheme="majorBidi"/>
        </w:rPr>
        <w:t>Vanguard, BlackRock, and Capital Group</w:t>
      </w:r>
      <w:r w:rsidR="00A91CC4" w:rsidRPr="00433908">
        <w:rPr>
          <w:rFonts w:asciiTheme="majorBidi" w:hAnsiTheme="majorBidi" w:cstheme="majorBidi"/>
        </w:rPr>
        <w:t>’s</w:t>
      </w:r>
      <w:r w:rsidR="00340570" w:rsidRPr="00433908">
        <w:rPr>
          <w:rFonts w:asciiTheme="majorBidi" w:hAnsiTheme="majorBidi" w:cstheme="majorBidi"/>
        </w:rPr>
        <w:t xml:space="preserve"> </w:t>
      </w:r>
      <w:r w:rsidR="00A91CC4" w:rsidRPr="00433908">
        <w:rPr>
          <w:rFonts w:asciiTheme="majorBidi" w:hAnsiTheme="majorBidi" w:cstheme="majorBidi"/>
        </w:rPr>
        <w:t xml:space="preserve">stakes </w:t>
      </w:r>
      <w:r w:rsidR="00340570" w:rsidRPr="00433908">
        <w:rPr>
          <w:rFonts w:asciiTheme="majorBidi" w:hAnsiTheme="majorBidi" w:cstheme="majorBidi"/>
        </w:rPr>
        <w:t>in Verizon</w:t>
      </w:r>
      <w:r w:rsidR="00A91CC4" w:rsidRPr="00433908">
        <w:rPr>
          <w:rFonts w:asciiTheme="majorBidi" w:hAnsiTheme="majorBidi" w:cstheme="majorBidi"/>
        </w:rPr>
        <w:t xml:space="preserve"> are larger than their stakes in any other company in the industry</w:t>
      </w:r>
      <w:r w:rsidR="00340570" w:rsidRPr="00433908">
        <w:rPr>
          <w:rFonts w:asciiTheme="majorBidi" w:hAnsiTheme="majorBidi" w:cstheme="majorBidi"/>
        </w:rPr>
        <w:t>.</w:t>
      </w:r>
      <w:r w:rsidR="00314501" w:rsidRPr="00433908">
        <w:rPr>
          <w:rFonts w:asciiTheme="majorBidi" w:hAnsiTheme="majorBidi" w:cstheme="majorBidi"/>
        </w:rPr>
        <w:t xml:space="preserve"> They would clearly insist that profits flow to Verizon.</w:t>
      </w:r>
      <w:r w:rsidR="00340570" w:rsidRPr="00433908">
        <w:rPr>
          <w:rFonts w:asciiTheme="majorBidi" w:hAnsiTheme="majorBidi" w:cstheme="majorBidi"/>
        </w:rPr>
        <w:t xml:space="preserve"> </w:t>
      </w:r>
      <w:proofErr w:type="spellStart"/>
      <w:r w:rsidR="00340570" w:rsidRPr="00433908">
        <w:rPr>
          <w:rFonts w:asciiTheme="majorBidi" w:hAnsiTheme="majorBidi" w:cstheme="majorBidi"/>
        </w:rPr>
        <w:t>Evercore</w:t>
      </w:r>
      <w:proofErr w:type="spellEnd"/>
      <w:r w:rsidR="00340570" w:rsidRPr="00433908">
        <w:rPr>
          <w:rFonts w:asciiTheme="majorBidi" w:hAnsiTheme="majorBidi" w:cstheme="majorBidi"/>
        </w:rPr>
        <w:t xml:space="preserve"> is invested only in </w:t>
      </w:r>
      <w:proofErr w:type="spellStart"/>
      <w:proofErr w:type="gramStart"/>
      <w:r w:rsidR="00340570" w:rsidRPr="00433908">
        <w:rPr>
          <w:rFonts w:asciiTheme="majorBidi" w:hAnsiTheme="majorBidi" w:cstheme="majorBidi"/>
        </w:rPr>
        <w:t>At</w:t>
      </w:r>
      <w:proofErr w:type="gramEnd"/>
      <w:r w:rsidR="00340570" w:rsidRPr="00433908">
        <w:rPr>
          <w:rFonts w:asciiTheme="majorBidi" w:hAnsiTheme="majorBidi" w:cstheme="majorBidi"/>
        </w:rPr>
        <w:t>&amp;T</w:t>
      </w:r>
      <w:proofErr w:type="spellEnd"/>
      <w:r w:rsidR="00314501" w:rsidRPr="00433908">
        <w:rPr>
          <w:rFonts w:asciiTheme="majorBidi" w:hAnsiTheme="majorBidi" w:cstheme="majorBidi"/>
        </w:rPr>
        <w:t xml:space="preserve"> and would thus lose if profits were to flow to any other competitor.</w:t>
      </w:r>
      <w:r w:rsidR="00340570" w:rsidRPr="00433908">
        <w:rPr>
          <w:rFonts w:asciiTheme="majorBidi" w:hAnsiTheme="majorBidi" w:cstheme="majorBidi"/>
        </w:rPr>
        <w:t xml:space="preserve"> </w:t>
      </w:r>
      <w:proofErr w:type="spellStart"/>
      <w:r w:rsidR="00340570" w:rsidRPr="00433908">
        <w:rPr>
          <w:rFonts w:asciiTheme="majorBidi" w:hAnsiTheme="majorBidi" w:cstheme="majorBidi"/>
        </w:rPr>
        <w:t>Deus</w:t>
      </w:r>
      <w:r w:rsidR="00097254" w:rsidRPr="00433908">
        <w:rPr>
          <w:rFonts w:asciiTheme="majorBidi" w:hAnsiTheme="majorBidi" w:cstheme="majorBidi"/>
        </w:rPr>
        <w:t>tche</w:t>
      </w:r>
      <w:proofErr w:type="spellEnd"/>
      <w:r w:rsidR="00097254" w:rsidRPr="00433908">
        <w:rPr>
          <w:rFonts w:asciiTheme="majorBidi" w:hAnsiTheme="majorBidi" w:cstheme="majorBidi"/>
        </w:rPr>
        <w:t xml:space="preserve"> Telekom holds </w:t>
      </w:r>
      <w:r w:rsidR="00A91CC4" w:rsidRPr="00433908">
        <w:rPr>
          <w:rFonts w:asciiTheme="majorBidi" w:hAnsiTheme="majorBidi" w:cstheme="majorBidi"/>
        </w:rPr>
        <w:t xml:space="preserve">slightly more than </w:t>
      </w:r>
      <w:r w:rsidR="00440B14" w:rsidRPr="00433908">
        <w:rPr>
          <w:rFonts w:asciiTheme="majorBidi" w:hAnsiTheme="majorBidi" w:cstheme="majorBidi"/>
        </w:rPr>
        <w:t>65</w:t>
      </w:r>
      <w:r w:rsidR="00340570" w:rsidRPr="00433908">
        <w:rPr>
          <w:rFonts w:asciiTheme="majorBidi" w:hAnsiTheme="majorBidi" w:cstheme="majorBidi"/>
        </w:rPr>
        <w:t xml:space="preserve">% of </w:t>
      </w:r>
      <w:proofErr w:type="spellStart"/>
      <w:r w:rsidR="00340570" w:rsidRPr="00433908">
        <w:rPr>
          <w:rFonts w:asciiTheme="majorBidi" w:hAnsiTheme="majorBidi" w:cstheme="majorBidi"/>
        </w:rPr>
        <w:t>T-mobile</w:t>
      </w:r>
      <w:proofErr w:type="spellEnd"/>
      <w:r w:rsidR="00340570" w:rsidRPr="00433908">
        <w:rPr>
          <w:rFonts w:asciiTheme="majorBidi" w:hAnsiTheme="majorBidi" w:cstheme="majorBidi"/>
        </w:rPr>
        <w:t xml:space="preserve"> (with no holdings in any other competitor), and </w:t>
      </w:r>
      <w:proofErr w:type="spellStart"/>
      <w:r w:rsidR="00340570" w:rsidRPr="00433908">
        <w:rPr>
          <w:rFonts w:asciiTheme="majorBidi" w:hAnsiTheme="majorBidi" w:cstheme="majorBidi"/>
        </w:rPr>
        <w:t>SoftBank</w:t>
      </w:r>
      <w:proofErr w:type="spellEnd"/>
      <w:r w:rsidR="00340570" w:rsidRPr="00433908">
        <w:rPr>
          <w:rFonts w:asciiTheme="majorBidi" w:hAnsiTheme="majorBidi" w:cstheme="majorBidi"/>
        </w:rPr>
        <w:t xml:space="preserve"> holds nearly 83% of Sprint’s stock, with no h</w:t>
      </w:r>
      <w:r w:rsidR="005905A1" w:rsidRPr="00433908">
        <w:rPr>
          <w:rFonts w:asciiTheme="majorBidi" w:hAnsiTheme="majorBidi" w:cstheme="majorBidi"/>
        </w:rPr>
        <w:t>o</w:t>
      </w:r>
      <w:r w:rsidR="00340570" w:rsidRPr="00433908">
        <w:rPr>
          <w:rFonts w:asciiTheme="majorBidi" w:hAnsiTheme="majorBidi" w:cstheme="majorBidi"/>
        </w:rPr>
        <w:t xml:space="preserve">lding in any other competitor. Absent explicit coordination between, at the minimum, </w:t>
      </w:r>
      <w:proofErr w:type="spellStart"/>
      <w:r w:rsidR="00340570" w:rsidRPr="00433908">
        <w:rPr>
          <w:rFonts w:asciiTheme="majorBidi" w:hAnsiTheme="majorBidi" w:cstheme="majorBidi"/>
        </w:rPr>
        <w:t>Deustche</w:t>
      </w:r>
      <w:proofErr w:type="spellEnd"/>
      <w:r w:rsidR="00340570" w:rsidRPr="00433908">
        <w:rPr>
          <w:rFonts w:asciiTheme="majorBidi" w:hAnsiTheme="majorBidi" w:cstheme="majorBidi"/>
        </w:rPr>
        <w:t xml:space="preserve"> Telekom, Vanguard, BlackRock, </w:t>
      </w:r>
      <w:proofErr w:type="spellStart"/>
      <w:r w:rsidR="00340570" w:rsidRPr="00433908">
        <w:rPr>
          <w:rFonts w:asciiTheme="majorBidi" w:hAnsiTheme="majorBidi" w:cstheme="majorBidi"/>
        </w:rPr>
        <w:t>SoftBank</w:t>
      </w:r>
      <w:proofErr w:type="spellEnd"/>
      <w:r w:rsidR="00340570" w:rsidRPr="00433908">
        <w:rPr>
          <w:rFonts w:asciiTheme="majorBidi" w:hAnsiTheme="majorBidi" w:cstheme="majorBidi"/>
        </w:rPr>
        <w:t xml:space="preserve">, and </w:t>
      </w:r>
      <w:proofErr w:type="spellStart"/>
      <w:r w:rsidR="00340570" w:rsidRPr="00433908">
        <w:rPr>
          <w:rFonts w:asciiTheme="majorBidi" w:hAnsiTheme="majorBidi" w:cstheme="majorBidi"/>
        </w:rPr>
        <w:t>Evercore</w:t>
      </w:r>
      <w:proofErr w:type="spellEnd"/>
      <w:r w:rsidR="00340570" w:rsidRPr="00433908">
        <w:rPr>
          <w:rFonts w:asciiTheme="majorBidi" w:hAnsiTheme="majorBidi" w:cstheme="majorBidi"/>
        </w:rPr>
        <w:t>, it is extremely difficult to unilaterally coordinate.</w:t>
      </w:r>
      <w:r w:rsidR="005237B4" w:rsidRPr="00433908">
        <w:rPr>
          <w:rFonts w:asciiTheme="majorBidi" w:hAnsiTheme="majorBidi" w:cstheme="majorBidi"/>
        </w:rPr>
        <w:t xml:space="preserve"> The breakfast cereal,</w:t>
      </w:r>
      <w:r w:rsidR="00340570" w:rsidRPr="00433908">
        <w:rPr>
          <w:rFonts w:asciiTheme="majorBidi" w:hAnsiTheme="majorBidi" w:cstheme="majorBidi"/>
        </w:rPr>
        <w:t xml:space="preserve"> aluminum</w:t>
      </w:r>
      <w:r w:rsidR="00097254" w:rsidRPr="00433908">
        <w:rPr>
          <w:rFonts w:asciiTheme="majorBidi" w:hAnsiTheme="majorBidi" w:cstheme="majorBidi"/>
        </w:rPr>
        <w:t>, and cooking stoves industries</w:t>
      </w:r>
      <w:r w:rsidR="00340570" w:rsidRPr="00433908">
        <w:rPr>
          <w:rFonts w:asciiTheme="majorBidi" w:hAnsiTheme="majorBidi" w:cstheme="majorBidi"/>
        </w:rPr>
        <w:t xml:space="preserve"> all demonstrate similar holding patterns</w:t>
      </w:r>
      <w:r w:rsidR="00A91CC4" w:rsidRPr="00433908">
        <w:rPr>
          <w:rFonts w:asciiTheme="majorBidi" w:hAnsiTheme="majorBidi" w:cstheme="majorBidi"/>
        </w:rPr>
        <w:t>. I</w:t>
      </w:r>
      <w:r w:rsidR="005905A1" w:rsidRPr="00433908">
        <w:rPr>
          <w:rFonts w:asciiTheme="majorBidi" w:hAnsiTheme="majorBidi" w:cstheme="majorBidi"/>
        </w:rPr>
        <w:t xml:space="preserve">n each of these industries different influential shareholders can be expected to have </w:t>
      </w:r>
      <w:r w:rsidR="00440B14" w:rsidRPr="00433908">
        <w:rPr>
          <w:rFonts w:asciiTheme="majorBidi" w:hAnsiTheme="majorBidi" w:cstheme="majorBidi"/>
        </w:rPr>
        <w:t>contradicting</w:t>
      </w:r>
      <w:r w:rsidR="005905A1" w:rsidRPr="00433908">
        <w:rPr>
          <w:rFonts w:asciiTheme="majorBidi" w:hAnsiTheme="majorBidi" w:cstheme="majorBidi"/>
        </w:rPr>
        <w:t xml:space="preserve"> </w:t>
      </w:r>
      <w:r w:rsidR="00097254" w:rsidRPr="00433908">
        <w:rPr>
          <w:rFonts w:asciiTheme="majorBidi" w:hAnsiTheme="majorBidi" w:cstheme="majorBidi"/>
        </w:rPr>
        <w:t xml:space="preserve">(and strong) </w:t>
      </w:r>
      <w:r w:rsidR="005905A1" w:rsidRPr="00433908">
        <w:rPr>
          <w:rFonts w:asciiTheme="majorBidi" w:hAnsiTheme="majorBidi" w:cstheme="majorBidi"/>
        </w:rPr>
        <w:t>preferences</w:t>
      </w:r>
      <w:r w:rsidR="00097254" w:rsidRPr="00433908">
        <w:rPr>
          <w:rFonts w:asciiTheme="majorBidi" w:hAnsiTheme="majorBidi" w:cstheme="majorBidi"/>
        </w:rPr>
        <w:t xml:space="preserve"> with respect to </w:t>
      </w:r>
      <w:r w:rsidR="00A91CC4" w:rsidRPr="00433908">
        <w:rPr>
          <w:rFonts w:asciiTheme="majorBidi" w:hAnsiTheme="majorBidi" w:cstheme="majorBidi"/>
        </w:rPr>
        <w:t xml:space="preserve">where profits </w:t>
      </w:r>
      <w:r w:rsidR="00097254" w:rsidRPr="00433908">
        <w:rPr>
          <w:rFonts w:asciiTheme="majorBidi" w:hAnsiTheme="majorBidi" w:cstheme="majorBidi"/>
        </w:rPr>
        <w:t>should flow to</w:t>
      </w:r>
      <w:r w:rsidR="005905A1" w:rsidRPr="00433908">
        <w:rPr>
          <w:rFonts w:asciiTheme="majorBidi" w:hAnsiTheme="majorBidi" w:cstheme="majorBidi"/>
        </w:rPr>
        <w:t>.</w:t>
      </w:r>
    </w:p>
    <w:p w14:paraId="136C6CA0" w14:textId="77777777" w:rsidR="0076771C" w:rsidRDefault="0076771C" w:rsidP="000F2EF6">
      <w:pPr>
        <w:jc w:val="both"/>
        <w:rPr>
          <w:rFonts w:asciiTheme="majorBidi" w:hAnsiTheme="majorBidi" w:cstheme="majorBidi"/>
        </w:rPr>
      </w:pPr>
    </w:p>
    <w:p w14:paraId="0EEC249B" w14:textId="7513B6F9" w:rsidR="00340570" w:rsidRPr="00433908" w:rsidRDefault="0077331A" w:rsidP="000F2EF6">
      <w:pPr>
        <w:jc w:val="both"/>
        <w:rPr>
          <w:rFonts w:asciiTheme="majorBidi" w:hAnsiTheme="majorBidi" w:cstheme="majorBidi"/>
        </w:rPr>
      </w:pPr>
      <w:r w:rsidRPr="00433908">
        <w:rPr>
          <w:rFonts w:asciiTheme="majorBidi" w:hAnsiTheme="majorBidi" w:cstheme="majorBidi"/>
        </w:rPr>
        <w:t xml:space="preserve">Finally, the airline industry – the industry analyzed by Azar et al. – also exhibits a holding pattern that makes unilateral coordination unlikely. Rock and </w:t>
      </w:r>
      <w:proofErr w:type="spellStart"/>
      <w:r w:rsidRPr="00433908">
        <w:rPr>
          <w:rFonts w:asciiTheme="majorBidi" w:hAnsiTheme="majorBidi" w:cstheme="majorBidi"/>
        </w:rPr>
        <w:t>Rubinfeld</w:t>
      </w:r>
      <w:proofErr w:type="spellEnd"/>
      <w:r w:rsidRPr="00433908">
        <w:rPr>
          <w:rFonts w:asciiTheme="majorBidi" w:hAnsiTheme="majorBidi" w:cstheme="majorBidi"/>
        </w:rPr>
        <w:t xml:space="preserve"> reformat the data on institutional investors’ holdings in the airline industry as a spreadsheet.</w:t>
      </w:r>
      <w:r w:rsidRPr="00433908">
        <w:rPr>
          <w:rStyle w:val="FootnoteReference"/>
          <w:rFonts w:asciiTheme="majorBidi" w:hAnsiTheme="majorBidi" w:cstheme="majorBidi"/>
        </w:rPr>
        <w:footnoteReference w:id="110"/>
      </w:r>
      <w:r w:rsidRPr="00433908">
        <w:rPr>
          <w:rFonts w:asciiTheme="majorBidi" w:hAnsiTheme="majorBidi" w:cstheme="majorBidi"/>
        </w:rPr>
        <w:t xml:space="preserve"> A quick glance at this spreadsheet shows that the largest shareholder in each of the </w:t>
      </w:r>
      <w:r w:rsidR="00E53A73" w:rsidRPr="00433908">
        <w:rPr>
          <w:rFonts w:asciiTheme="majorBidi" w:hAnsiTheme="majorBidi" w:cstheme="majorBidi"/>
        </w:rPr>
        <w:t>six</w:t>
      </w:r>
      <w:r w:rsidRPr="00433908">
        <w:rPr>
          <w:rFonts w:asciiTheme="majorBidi" w:hAnsiTheme="majorBidi" w:cstheme="majorBidi"/>
        </w:rPr>
        <w:t xml:space="preserve"> major airlines is a</w:t>
      </w:r>
      <w:r w:rsidR="00E53A73" w:rsidRPr="00433908">
        <w:rPr>
          <w:rFonts w:asciiTheme="majorBidi" w:hAnsiTheme="majorBidi" w:cstheme="majorBidi"/>
        </w:rPr>
        <w:t>lmost a</w:t>
      </w:r>
      <w:r w:rsidRPr="00433908">
        <w:rPr>
          <w:rFonts w:asciiTheme="majorBidi" w:hAnsiTheme="majorBidi" w:cstheme="majorBidi"/>
        </w:rPr>
        <w:t>lways different from the largest shareholder in the other airlines: Delta Air</w:t>
      </w:r>
      <w:r w:rsidR="00E53A73" w:rsidRPr="00433908">
        <w:rPr>
          <w:rFonts w:asciiTheme="majorBidi" w:hAnsiTheme="majorBidi" w:cstheme="majorBidi"/>
        </w:rPr>
        <w:t xml:space="preserve"> L</w:t>
      </w:r>
      <w:r w:rsidRPr="00433908">
        <w:rPr>
          <w:rFonts w:asciiTheme="majorBidi" w:hAnsiTheme="majorBidi" w:cstheme="majorBidi"/>
        </w:rPr>
        <w:t>ines</w:t>
      </w:r>
      <w:r w:rsidR="00E53A73" w:rsidRPr="00433908">
        <w:rPr>
          <w:rFonts w:asciiTheme="majorBidi" w:hAnsiTheme="majorBidi" w:cstheme="majorBidi"/>
        </w:rPr>
        <w:t>’</w:t>
      </w:r>
      <w:r w:rsidRPr="00433908">
        <w:rPr>
          <w:rFonts w:asciiTheme="majorBidi" w:hAnsiTheme="majorBidi" w:cstheme="majorBidi"/>
        </w:rPr>
        <w:t xml:space="preserve"> largest shareholder is Berkshire Hathaway; Southwest Airlines Co.’s largest shareholder </w:t>
      </w:r>
      <w:r w:rsidR="00E53A73" w:rsidRPr="00433908">
        <w:rPr>
          <w:rFonts w:asciiTheme="majorBidi" w:hAnsiTheme="majorBidi" w:cstheme="majorBidi"/>
        </w:rPr>
        <w:t xml:space="preserve">is PRIMECAP; American Airlines’ largest shareholder is T. Rowe Price; United Continental Holdings’ largest shareholders are BlackRock and Berkshire Hathaway (each with 9.2% of Continental’s stock); Alaska Air’s largest shareholder is T. Rowe Price; and JetBlue Airways’ largest shareholder is Vanguard. Absent explicit coordination, it </w:t>
      </w:r>
      <w:r w:rsidR="000F2EF6" w:rsidRPr="00433908">
        <w:rPr>
          <w:rFonts w:asciiTheme="majorBidi" w:hAnsiTheme="majorBidi" w:cstheme="majorBidi"/>
        </w:rPr>
        <w:t>i</w:t>
      </w:r>
      <w:r w:rsidR="00E53A73" w:rsidRPr="00433908">
        <w:rPr>
          <w:rFonts w:asciiTheme="majorBidi" w:hAnsiTheme="majorBidi" w:cstheme="majorBidi"/>
        </w:rPr>
        <w:t>s impossible to see how unilateral coordination may have occurred.</w:t>
      </w:r>
    </w:p>
    <w:p w14:paraId="7B40FA91" w14:textId="77777777" w:rsidR="008850AB" w:rsidRPr="00433908" w:rsidRDefault="008850AB" w:rsidP="00340570">
      <w:pPr>
        <w:jc w:val="both"/>
        <w:rPr>
          <w:rFonts w:asciiTheme="majorBidi" w:hAnsiTheme="majorBidi" w:cstheme="majorBidi"/>
        </w:rPr>
      </w:pPr>
    </w:p>
    <w:p w14:paraId="4946F449" w14:textId="55C83616" w:rsidR="00F8693A" w:rsidRPr="00433908" w:rsidRDefault="000F2EF6" w:rsidP="0076771C">
      <w:pPr>
        <w:jc w:val="both"/>
        <w:rPr>
          <w:rFonts w:asciiTheme="majorBidi" w:hAnsiTheme="majorBidi" w:cstheme="majorBidi"/>
        </w:rPr>
      </w:pPr>
      <w:r w:rsidRPr="00433908">
        <w:rPr>
          <w:rFonts w:asciiTheme="majorBidi" w:hAnsiTheme="majorBidi" w:cstheme="majorBidi"/>
        </w:rPr>
        <w:t>In the airline industry</w:t>
      </w:r>
      <w:r w:rsidR="00A35734" w:rsidRPr="00433908">
        <w:rPr>
          <w:rFonts w:asciiTheme="majorBidi" w:hAnsiTheme="majorBidi" w:cstheme="majorBidi"/>
        </w:rPr>
        <w:t>,</w:t>
      </w:r>
      <w:r w:rsidRPr="00433908">
        <w:rPr>
          <w:rFonts w:asciiTheme="majorBidi" w:hAnsiTheme="majorBidi" w:cstheme="majorBidi"/>
        </w:rPr>
        <w:t xml:space="preserve"> the idea of unilateral coordination is even more perplexing. In addition to the very different holdings, </w:t>
      </w:r>
      <w:r w:rsidR="00E53A73" w:rsidRPr="00433908">
        <w:rPr>
          <w:rFonts w:asciiTheme="majorBidi" w:hAnsiTheme="majorBidi" w:cstheme="majorBidi"/>
        </w:rPr>
        <w:t xml:space="preserve">Rock and </w:t>
      </w:r>
      <w:proofErr w:type="spellStart"/>
      <w:r w:rsidR="00E53A73" w:rsidRPr="00433908">
        <w:rPr>
          <w:rFonts w:asciiTheme="majorBidi" w:hAnsiTheme="majorBidi" w:cstheme="majorBidi"/>
        </w:rPr>
        <w:t>Rubinfeld</w:t>
      </w:r>
      <w:proofErr w:type="spellEnd"/>
      <w:r w:rsidR="00E53A73" w:rsidRPr="00433908">
        <w:rPr>
          <w:rFonts w:asciiTheme="majorBidi" w:hAnsiTheme="majorBidi" w:cstheme="majorBidi"/>
        </w:rPr>
        <w:t xml:space="preserve"> </w:t>
      </w:r>
      <w:r w:rsidRPr="00433908">
        <w:rPr>
          <w:rFonts w:asciiTheme="majorBidi" w:hAnsiTheme="majorBidi" w:cstheme="majorBidi"/>
        </w:rPr>
        <w:t xml:space="preserve">also </w:t>
      </w:r>
      <w:r w:rsidR="00E53A73" w:rsidRPr="00433908">
        <w:rPr>
          <w:rFonts w:asciiTheme="majorBidi" w:hAnsiTheme="majorBidi" w:cstheme="majorBidi"/>
        </w:rPr>
        <w:t xml:space="preserve">show that </w:t>
      </w:r>
      <w:r w:rsidR="00EF5E12" w:rsidRPr="00433908">
        <w:rPr>
          <w:rFonts w:asciiTheme="majorBidi" w:hAnsiTheme="majorBidi" w:cstheme="majorBidi"/>
        </w:rPr>
        <w:t xml:space="preserve">holdings </w:t>
      </w:r>
      <w:r w:rsidR="00875EC5" w:rsidRPr="00433908">
        <w:rPr>
          <w:rFonts w:asciiTheme="majorBidi" w:hAnsiTheme="majorBidi" w:cstheme="majorBidi"/>
        </w:rPr>
        <w:t xml:space="preserve">in the airline industry </w:t>
      </w:r>
      <w:r w:rsidR="00EF5E12" w:rsidRPr="00433908">
        <w:rPr>
          <w:rFonts w:asciiTheme="majorBidi" w:hAnsiTheme="majorBidi" w:cstheme="majorBidi"/>
        </w:rPr>
        <w:t>change</w:t>
      </w:r>
      <w:r w:rsidR="00875EC5" w:rsidRPr="00433908">
        <w:rPr>
          <w:rFonts w:asciiTheme="majorBidi" w:hAnsiTheme="majorBidi" w:cstheme="majorBidi"/>
        </w:rPr>
        <w:t>d</w:t>
      </w:r>
      <w:r w:rsidR="00EF5E12" w:rsidRPr="00433908">
        <w:rPr>
          <w:rFonts w:asciiTheme="majorBidi" w:hAnsiTheme="majorBidi" w:cstheme="majorBidi"/>
        </w:rPr>
        <w:t xml:space="preserve"> dramatically over time.</w:t>
      </w:r>
      <w:r w:rsidR="00EF5E12" w:rsidRPr="00433908">
        <w:rPr>
          <w:rStyle w:val="FootnoteReference"/>
          <w:rFonts w:asciiTheme="majorBidi" w:hAnsiTheme="majorBidi" w:cstheme="majorBidi"/>
        </w:rPr>
        <w:footnoteReference w:id="111"/>
      </w:r>
      <w:r w:rsidR="00EF5E12" w:rsidRPr="00433908">
        <w:rPr>
          <w:rFonts w:asciiTheme="majorBidi" w:hAnsiTheme="majorBidi" w:cstheme="majorBidi"/>
        </w:rPr>
        <w:t xml:space="preserve"> </w:t>
      </w:r>
      <w:r w:rsidR="00875EC5" w:rsidRPr="00433908">
        <w:rPr>
          <w:rFonts w:asciiTheme="majorBidi" w:hAnsiTheme="majorBidi" w:cstheme="majorBidi"/>
        </w:rPr>
        <w:t xml:space="preserve">Changings in holdings </w:t>
      </w:r>
      <w:r w:rsidR="00EF5E12" w:rsidRPr="00433908">
        <w:rPr>
          <w:rFonts w:asciiTheme="majorBidi" w:hAnsiTheme="majorBidi" w:cstheme="majorBidi"/>
        </w:rPr>
        <w:t>would further complicat</w:t>
      </w:r>
      <w:r w:rsidRPr="00433908">
        <w:rPr>
          <w:rFonts w:asciiTheme="majorBidi" w:hAnsiTheme="majorBidi" w:cstheme="majorBidi"/>
        </w:rPr>
        <w:t>e unilateral coordination,</w:t>
      </w:r>
      <w:r w:rsidR="00EF5E12" w:rsidRPr="00433908">
        <w:rPr>
          <w:rFonts w:asciiTheme="majorBidi" w:hAnsiTheme="majorBidi" w:cstheme="majorBidi"/>
        </w:rPr>
        <w:t xml:space="preserve"> as the unilaterally coordinating </w:t>
      </w:r>
      <w:r w:rsidR="0076771C">
        <w:rPr>
          <w:rFonts w:asciiTheme="majorBidi" w:hAnsiTheme="majorBidi" w:cstheme="majorBidi"/>
        </w:rPr>
        <w:t>firm</w:t>
      </w:r>
      <w:r w:rsidR="00EF5E12" w:rsidRPr="00433908">
        <w:rPr>
          <w:rFonts w:asciiTheme="majorBidi" w:hAnsiTheme="majorBidi" w:cstheme="majorBidi"/>
        </w:rPr>
        <w:t xml:space="preserve"> would </w:t>
      </w:r>
      <w:r w:rsidR="0076771C">
        <w:rPr>
          <w:rFonts w:asciiTheme="majorBidi" w:hAnsiTheme="majorBidi" w:cstheme="majorBidi"/>
        </w:rPr>
        <w:t xml:space="preserve">need to </w:t>
      </w:r>
      <w:r w:rsidR="00EF5E12" w:rsidRPr="00433908">
        <w:rPr>
          <w:rFonts w:asciiTheme="majorBidi" w:hAnsiTheme="majorBidi" w:cstheme="majorBidi"/>
        </w:rPr>
        <w:t>constantly change</w:t>
      </w:r>
      <w:r w:rsidR="0076771C">
        <w:rPr>
          <w:rFonts w:asciiTheme="majorBidi" w:hAnsiTheme="majorBidi" w:cstheme="majorBidi"/>
        </w:rPr>
        <w:t>, depending on the firm in which institutional shareholders</w:t>
      </w:r>
      <w:r w:rsidR="002704EE">
        <w:rPr>
          <w:rFonts w:asciiTheme="majorBidi" w:hAnsiTheme="majorBidi" w:cstheme="majorBidi"/>
        </w:rPr>
        <w:t>’</w:t>
      </w:r>
      <w:r w:rsidR="0076771C">
        <w:rPr>
          <w:rFonts w:asciiTheme="majorBidi" w:hAnsiTheme="majorBidi" w:cstheme="majorBidi"/>
        </w:rPr>
        <w:t xml:space="preserve"> (joint) holdings were largest at any given point in time</w:t>
      </w:r>
      <w:r w:rsidR="00EF5E12" w:rsidRPr="00433908">
        <w:rPr>
          <w:rFonts w:asciiTheme="majorBidi" w:hAnsiTheme="majorBidi" w:cstheme="majorBidi"/>
        </w:rPr>
        <w:t>.</w:t>
      </w:r>
    </w:p>
    <w:p w14:paraId="22A30C4B" w14:textId="77777777" w:rsidR="00A35734" w:rsidRPr="00433908" w:rsidRDefault="00A35734" w:rsidP="00A35734">
      <w:pPr>
        <w:jc w:val="both"/>
        <w:rPr>
          <w:rFonts w:asciiTheme="majorBidi" w:hAnsiTheme="majorBidi" w:cstheme="majorBidi"/>
        </w:rPr>
      </w:pPr>
    </w:p>
    <w:p w14:paraId="61A7CCDF" w14:textId="26CC1791" w:rsidR="009D5609" w:rsidRPr="00433908" w:rsidRDefault="00A35734" w:rsidP="00E0538F">
      <w:pPr>
        <w:pStyle w:val="Heading2"/>
        <w:ind w:left="1418" w:hanging="992"/>
      </w:pPr>
      <w:r w:rsidRPr="00433908">
        <w:t>Support in Future Votes</w:t>
      </w:r>
      <w:r w:rsidR="001D2D0D">
        <w:t xml:space="preserve"> Within the Unilaterally Coordinating Firm</w:t>
      </w:r>
    </w:p>
    <w:p w14:paraId="15E1C4B8" w14:textId="77777777" w:rsidR="00A35734" w:rsidRPr="00433908" w:rsidRDefault="00A35734" w:rsidP="00E0538F">
      <w:pPr>
        <w:pStyle w:val="a"/>
        <w:numPr>
          <w:ilvl w:val="0"/>
          <w:numId w:val="0"/>
        </w:numPr>
        <w:ind w:left="792"/>
      </w:pPr>
    </w:p>
    <w:p w14:paraId="71CD21B7" w14:textId="04E3372C" w:rsidR="00433908" w:rsidRPr="00E0538F" w:rsidRDefault="00433908" w:rsidP="002704EE">
      <w:pPr>
        <w:jc w:val="both"/>
        <w:rPr>
          <w:rFonts w:asciiTheme="majorBidi" w:hAnsiTheme="majorBidi" w:cstheme="majorBidi"/>
        </w:rPr>
      </w:pPr>
      <w:r w:rsidRPr="00E0538F">
        <w:rPr>
          <w:rFonts w:asciiTheme="majorBidi" w:hAnsiTheme="majorBidi" w:cstheme="majorBidi"/>
        </w:rPr>
        <w:lastRenderedPageBreak/>
        <w:t xml:space="preserve">As mentioned, if management’s expected remuneration is the shareholder’s support in future votes in the unilaterally coordinating company, the analysis </w:t>
      </w:r>
      <w:r w:rsidR="002704EE">
        <w:rPr>
          <w:rFonts w:asciiTheme="majorBidi" w:hAnsiTheme="majorBidi" w:cstheme="majorBidi"/>
        </w:rPr>
        <w:t>must be slightly adapted</w:t>
      </w:r>
      <w:r w:rsidR="00B6172B">
        <w:rPr>
          <w:rFonts w:asciiTheme="majorBidi" w:hAnsiTheme="majorBidi" w:cstheme="majorBidi"/>
        </w:rPr>
        <w:t>.</w:t>
      </w:r>
      <w:r w:rsidRPr="00E0538F">
        <w:rPr>
          <w:rFonts w:asciiTheme="majorBidi" w:hAnsiTheme="majorBidi" w:cstheme="majorBidi"/>
        </w:rPr>
        <w:t xml:space="preserve"> </w:t>
      </w:r>
      <w:r w:rsidR="00B6172B">
        <w:rPr>
          <w:rFonts w:asciiTheme="majorBidi" w:hAnsiTheme="majorBidi" w:cstheme="majorBidi"/>
        </w:rPr>
        <w:t>B</w:t>
      </w:r>
      <w:r w:rsidRPr="00E0538F">
        <w:rPr>
          <w:rFonts w:asciiTheme="majorBidi" w:hAnsiTheme="majorBidi" w:cstheme="majorBidi"/>
        </w:rPr>
        <w:t xml:space="preserve">ut the basic result remains the same. The analysis is </w:t>
      </w:r>
      <w:r w:rsidR="00D118AD">
        <w:rPr>
          <w:rFonts w:asciiTheme="majorBidi" w:hAnsiTheme="majorBidi" w:cstheme="majorBidi"/>
        </w:rPr>
        <w:t xml:space="preserve">slightly </w:t>
      </w:r>
      <w:r w:rsidRPr="00E0538F">
        <w:rPr>
          <w:rFonts w:asciiTheme="majorBidi" w:hAnsiTheme="majorBidi" w:cstheme="majorBidi"/>
        </w:rPr>
        <w:t xml:space="preserve">different, because if the expected consideration is to take the form of support in future votes, the institutional investor which management seeks to tunnel profits to (via the other firm in which the investor holds) must have holdings in the unilaterally coordinating firm. Otherwise, it cannot </w:t>
      </w:r>
      <w:r w:rsidR="003D0E4B" w:rsidRPr="00E0538F">
        <w:rPr>
          <w:rFonts w:asciiTheme="majorBidi" w:hAnsiTheme="majorBidi" w:cstheme="majorBidi"/>
        </w:rPr>
        <w:t>deliver on its implied commitment</w:t>
      </w:r>
      <w:r w:rsidR="00B6172B">
        <w:rPr>
          <w:rFonts w:asciiTheme="majorBidi" w:hAnsiTheme="majorBidi" w:cstheme="majorBidi"/>
        </w:rPr>
        <w:t xml:space="preserve"> to support management in votes</w:t>
      </w:r>
      <w:r w:rsidR="003D0E4B" w:rsidRPr="00E0538F">
        <w:rPr>
          <w:rFonts w:asciiTheme="majorBidi" w:hAnsiTheme="majorBidi" w:cstheme="majorBidi"/>
        </w:rPr>
        <w:t>.</w:t>
      </w:r>
      <w:r w:rsidR="002704EE">
        <w:rPr>
          <w:rFonts w:asciiTheme="majorBidi" w:hAnsiTheme="majorBidi" w:cstheme="majorBidi"/>
        </w:rPr>
        <w:t xml:space="preserve"> In this setting, unlike in the previous setting of </w:t>
      </w:r>
      <w:r w:rsidR="002704EE" w:rsidRPr="002704EE">
        <w:rPr>
          <w:rFonts w:asciiTheme="majorBidi" w:hAnsiTheme="majorBidi" w:cstheme="majorBidi"/>
          <w:i/>
          <w:iCs/>
        </w:rPr>
        <w:t>external</w:t>
      </w:r>
      <w:r w:rsidR="002704EE">
        <w:rPr>
          <w:rFonts w:asciiTheme="majorBidi" w:hAnsiTheme="majorBidi" w:cstheme="majorBidi"/>
        </w:rPr>
        <w:t xml:space="preserve"> remuneration, holdings in the unilateral coordinating firm are, at least at the stage when management receives its ‘payment’, essential.</w:t>
      </w:r>
    </w:p>
    <w:p w14:paraId="0C6C3617" w14:textId="77777777" w:rsidR="00BE6CDE" w:rsidRDefault="00BE6CDE" w:rsidP="00BE6CDE">
      <w:pPr>
        <w:pStyle w:val="a"/>
        <w:numPr>
          <w:ilvl w:val="0"/>
          <w:numId w:val="0"/>
        </w:numPr>
        <w:rPr>
          <w:b w:val="0"/>
          <w:bCs w:val="0"/>
          <w:i w:val="0"/>
          <w:iCs w:val="0"/>
          <w:u w:val="none"/>
        </w:rPr>
      </w:pPr>
    </w:p>
    <w:p w14:paraId="6DD7DDC5" w14:textId="5185CFAD" w:rsidR="00BE6CDE" w:rsidRDefault="003D0E4B" w:rsidP="00B6172B">
      <w:pPr>
        <w:pStyle w:val="a"/>
        <w:numPr>
          <w:ilvl w:val="0"/>
          <w:numId w:val="0"/>
        </w:numPr>
        <w:rPr>
          <w:b w:val="0"/>
          <w:bCs w:val="0"/>
          <w:i w:val="0"/>
          <w:iCs w:val="0"/>
          <w:u w:val="none"/>
        </w:rPr>
      </w:pPr>
      <w:r>
        <w:rPr>
          <w:b w:val="0"/>
          <w:bCs w:val="0"/>
          <w:i w:val="0"/>
          <w:iCs w:val="0"/>
          <w:u w:val="none"/>
        </w:rPr>
        <w:t>However, th</w:t>
      </w:r>
      <w:r w:rsidR="00D118AD">
        <w:rPr>
          <w:b w:val="0"/>
          <w:bCs w:val="0"/>
          <w:i w:val="0"/>
          <w:iCs w:val="0"/>
          <w:u w:val="none"/>
        </w:rPr>
        <w:t xml:space="preserve">e </w:t>
      </w:r>
      <w:r w:rsidR="00B6172B">
        <w:rPr>
          <w:b w:val="0"/>
          <w:bCs w:val="0"/>
          <w:i w:val="0"/>
          <w:iCs w:val="0"/>
          <w:u w:val="none"/>
        </w:rPr>
        <w:t>previous observations still</w:t>
      </w:r>
      <w:r w:rsidR="00D118AD">
        <w:rPr>
          <w:b w:val="0"/>
          <w:bCs w:val="0"/>
          <w:i w:val="0"/>
          <w:iCs w:val="0"/>
          <w:u w:val="none"/>
        </w:rPr>
        <w:t xml:space="preserve"> hold: the scheme is still less profitable due to the institutional investor’s holding in the unilaterally coordinating firm, the risk of detection is greater, and the institutional investor itself may be liable (in jurisdictions where shareholders owe fiduciary duties). It would therefore generally be preferable for the institutional investor to purchase equity of the unilaterally coordinating firm </w:t>
      </w:r>
      <w:r w:rsidR="00D118AD" w:rsidRPr="00BE6CDE">
        <w:rPr>
          <w:b w:val="0"/>
          <w:bCs w:val="0"/>
          <w:u w:val="none"/>
        </w:rPr>
        <w:t>after</w:t>
      </w:r>
      <w:r w:rsidR="00D118AD">
        <w:rPr>
          <w:b w:val="0"/>
          <w:bCs w:val="0"/>
          <w:i w:val="0"/>
          <w:iCs w:val="0"/>
          <w:u w:val="none"/>
        </w:rPr>
        <w:t xml:space="preserve"> unilateral coordination had occurred rather than before management unilaterally coordinates. </w:t>
      </w:r>
      <w:r w:rsidR="00BE6CDE">
        <w:rPr>
          <w:b w:val="0"/>
          <w:bCs w:val="0"/>
          <w:i w:val="0"/>
          <w:iCs w:val="0"/>
          <w:u w:val="none"/>
        </w:rPr>
        <w:t>The institutional shareholder would then purchase equity at the post-unilateral-coordination (lower) prices, rather than hold the equity as it depreciated in value (due to unilateral coordination)</w:t>
      </w:r>
      <w:r w:rsidR="00B6172B">
        <w:rPr>
          <w:b w:val="0"/>
          <w:bCs w:val="0"/>
          <w:i w:val="0"/>
          <w:iCs w:val="0"/>
          <w:u w:val="none"/>
        </w:rPr>
        <w:t>, and detection would be less likely</w:t>
      </w:r>
      <w:r w:rsidR="00BE6CDE">
        <w:rPr>
          <w:b w:val="0"/>
          <w:bCs w:val="0"/>
          <w:i w:val="0"/>
          <w:iCs w:val="0"/>
          <w:u w:val="none"/>
        </w:rPr>
        <w:t>.</w:t>
      </w:r>
      <w:r w:rsidR="00B6172B">
        <w:rPr>
          <w:b w:val="0"/>
          <w:bCs w:val="0"/>
          <w:i w:val="0"/>
          <w:iCs w:val="0"/>
          <w:u w:val="none"/>
        </w:rPr>
        <w:t xml:space="preserve"> Cross ownership </w:t>
      </w:r>
      <w:r w:rsidR="00884AB4">
        <w:rPr>
          <w:b w:val="0"/>
          <w:bCs w:val="0"/>
          <w:i w:val="0"/>
          <w:iCs w:val="0"/>
          <w:u w:val="none"/>
        </w:rPr>
        <w:t>is not only unnecessary, but in fact harmful in this setting</w:t>
      </w:r>
      <w:r w:rsidR="00E92CDD">
        <w:rPr>
          <w:b w:val="0"/>
          <w:bCs w:val="0"/>
          <w:i w:val="0"/>
          <w:iCs w:val="0"/>
          <w:u w:val="none"/>
        </w:rPr>
        <w:t xml:space="preserve"> as well.</w:t>
      </w:r>
    </w:p>
    <w:p w14:paraId="4728C286" w14:textId="77777777" w:rsidR="00BE6CDE" w:rsidRDefault="00BE6CDE" w:rsidP="00BE6CDE">
      <w:pPr>
        <w:pStyle w:val="a"/>
        <w:numPr>
          <w:ilvl w:val="0"/>
          <w:numId w:val="0"/>
        </w:numPr>
        <w:rPr>
          <w:b w:val="0"/>
          <w:bCs w:val="0"/>
          <w:i w:val="0"/>
          <w:iCs w:val="0"/>
          <w:u w:val="none"/>
        </w:rPr>
      </w:pPr>
    </w:p>
    <w:p w14:paraId="55310708" w14:textId="6DED86E8" w:rsidR="003D0E4B" w:rsidRDefault="00BE6CDE" w:rsidP="00E92CDD">
      <w:pPr>
        <w:pStyle w:val="a"/>
        <w:numPr>
          <w:ilvl w:val="0"/>
          <w:numId w:val="0"/>
        </w:numPr>
        <w:rPr>
          <w:b w:val="0"/>
          <w:bCs w:val="0"/>
          <w:i w:val="0"/>
          <w:iCs w:val="0"/>
          <w:u w:val="none"/>
        </w:rPr>
      </w:pPr>
      <w:r>
        <w:rPr>
          <w:b w:val="0"/>
          <w:bCs w:val="0"/>
          <w:i w:val="0"/>
          <w:iCs w:val="0"/>
          <w:u w:val="none"/>
        </w:rPr>
        <w:t xml:space="preserve">But even if, for </w:t>
      </w:r>
      <w:r w:rsidR="00B515D4">
        <w:rPr>
          <w:b w:val="0"/>
          <w:bCs w:val="0"/>
          <w:i w:val="0"/>
          <w:iCs w:val="0"/>
          <w:u w:val="none"/>
        </w:rPr>
        <w:t>whatever</w:t>
      </w:r>
      <w:r>
        <w:rPr>
          <w:b w:val="0"/>
          <w:bCs w:val="0"/>
          <w:i w:val="0"/>
          <w:iCs w:val="0"/>
          <w:u w:val="none"/>
        </w:rPr>
        <w:t xml:space="preserve"> reason, the benefitted institutional investor had to hold </w:t>
      </w:r>
      <w:r w:rsidR="00B515D4">
        <w:rPr>
          <w:b w:val="0"/>
          <w:bCs w:val="0"/>
          <w:i w:val="0"/>
          <w:iCs w:val="0"/>
          <w:u w:val="none"/>
        </w:rPr>
        <w:t xml:space="preserve">equity of the unilaterally coordinating firm </w:t>
      </w:r>
      <w:r w:rsidR="00B515D4" w:rsidRPr="00B515D4">
        <w:rPr>
          <w:b w:val="0"/>
          <w:bCs w:val="0"/>
          <w:u w:val="none"/>
        </w:rPr>
        <w:t>before</w:t>
      </w:r>
      <w:r w:rsidR="00B515D4">
        <w:rPr>
          <w:b w:val="0"/>
          <w:bCs w:val="0"/>
          <w:i w:val="0"/>
          <w:iCs w:val="0"/>
          <w:u w:val="none"/>
        </w:rPr>
        <w:t xml:space="preserve"> </w:t>
      </w:r>
      <w:r>
        <w:rPr>
          <w:b w:val="0"/>
          <w:bCs w:val="0"/>
          <w:i w:val="0"/>
          <w:iCs w:val="0"/>
          <w:u w:val="none"/>
        </w:rPr>
        <w:t xml:space="preserve">management unilaterally coordinated, the other </w:t>
      </w:r>
      <w:r w:rsidR="00B515D4">
        <w:rPr>
          <w:b w:val="0"/>
          <w:bCs w:val="0"/>
          <w:i w:val="0"/>
          <w:iCs w:val="0"/>
          <w:u w:val="none"/>
        </w:rPr>
        <w:t>objections to the hypothesis would remain relevant: other institutional investors, whose holdings in the unilaterally coordinating firm were greater than their holdings in the firm to which profits flowed</w:t>
      </w:r>
      <w:r w:rsidR="00884AB4">
        <w:rPr>
          <w:b w:val="0"/>
          <w:bCs w:val="0"/>
          <w:i w:val="0"/>
          <w:iCs w:val="0"/>
          <w:u w:val="none"/>
        </w:rPr>
        <w:t>,</w:t>
      </w:r>
      <w:r w:rsidR="00B515D4">
        <w:rPr>
          <w:b w:val="0"/>
          <w:bCs w:val="0"/>
          <w:i w:val="0"/>
          <w:iCs w:val="0"/>
          <w:u w:val="none"/>
        </w:rPr>
        <w:t xml:space="preserve"> would likely retaliate against management that harmed them. Even if they did not file a lawsuit or turn to authorities, the effect of tunneling on their future votes would be the opposite of the effect on the future votes of the benefitted institutional investor.  They could be expected to vote </w:t>
      </w:r>
      <w:r w:rsidR="00B515D4" w:rsidRPr="00B515D4">
        <w:rPr>
          <w:b w:val="0"/>
          <w:bCs w:val="0"/>
          <w:u w:val="none"/>
        </w:rPr>
        <w:t>against</w:t>
      </w:r>
      <w:r w:rsidR="00B515D4">
        <w:rPr>
          <w:b w:val="0"/>
          <w:bCs w:val="0"/>
          <w:i w:val="0"/>
          <w:iCs w:val="0"/>
          <w:u w:val="none"/>
        </w:rPr>
        <w:t xml:space="preserve"> management. And since the setting </w:t>
      </w:r>
      <w:r w:rsidR="00884AB4">
        <w:rPr>
          <w:b w:val="0"/>
          <w:bCs w:val="0"/>
          <w:i w:val="0"/>
          <w:iCs w:val="0"/>
          <w:u w:val="none"/>
        </w:rPr>
        <w:t xml:space="preserve">envisaged </w:t>
      </w:r>
      <w:r w:rsidR="00B515D4">
        <w:rPr>
          <w:b w:val="0"/>
          <w:bCs w:val="0"/>
          <w:i w:val="0"/>
          <w:iCs w:val="0"/>
          <w:u w:val="none"/>
        </w:rPr>
        <w:t xml:space="preserve">is one in which the benefitted shareholder is </w:t>
      </w:r>
      <w:r w:rsidR="00884AB4">
        <w:rPr>
          <w:b w:val="0"/>
          <w:bCs w:val="0"/>
          <w:i w:val="0"/>
          <w:iCs w:val="0"/>
          <w:u w:val="none"/>
        </w:rPr>
        <w:t>a shareholder with relatively small holdings in the unilaterally coordinating firm</w:t>
      </w:r>
      <w:r w:rsidR="00B515D4">
        <w:rPr>
          <w:b w:val="0"/>
          <w:bCs w:val="0"/>
          <w:i w:val="0"/>
          <w:iCs w:val="0"/>
          <w:u w:val="none"/>
        </w:rPr>
        <w:t xml:space="preserve">, the net effect </w:t>
      </w:r>
      <w:r w:rsidR="00884AB4">
        <w:rPr>
          <w:b w:val="0"/>
          <w:bCs w:val="0"/>
          <w:i w:val="0"/>
          <w:iCs w:val="0"/>
          <w:u w:val="none"/>
        </w:rPr>
        <w:t xml:space="preserve">on future voting </w:t>
      </w:r>
      <w:r w:rsidR="00B515D4">
        <w:rPr>
          <w:b w:val="0"/>
          <w:bCs w:val="0"/>
          <w:i w:val="0"/>
          <w:iCs w:val="0"/>
          <w:u w:val="none"/>
        </w:rPr>
        <w:t>w</w:t>
      </w:r>
      <w:r w:rsidR="00884AB4">
        <w:rPr>
          <w:b w:val="0"/>
          <w:bCs w:val="0"/>
          <w:i w:val="0"/>
          <w:iCs w:val="0"/>
          <w:u w:val="none"/>
        </w:rPr>
        <w:t>ill</w:t>
      </w:r>
      <w:r w:rsidR="00B515D4">
        <w:rPr>
          <w:b w:val="0"/>
          <w:bCs w:val="0"/>
          <w:i w:val="0"/>
          <w:iCs w:val="0"/>
          <w:u w:val="none"/>
        </w:rPr>
        <w:t xml:space="preserve"> </w:t>
      </w:r>
      <w:r w:rsidR="00884AB4">
        <w:rPr>
          <w:b w:val="0"/>
          <w:bCs w:val="0"/>
          <w:i w:val="0"/>
          <w:iCs w:val="0"/>
          <w:u w:val="none"/>
        </w:rPr>
        <w:t xml:space="preserve">regularly </w:t>
      </w:r>
      <w:r w:rsidR="00B515D4">
        <w:rPr>
          <w:b w:val="0"/>
          <w:bCs w:val="0"/>
          <w:i w:val="0"/>
          <w:iCs w:val="0"/>
          <w:u w:val="none"/>
        </w:rPr>
        <w:t xml:space="preserve">be negative from management’s perspective. The benefitted shareholder </w:t>
      </w:r>
      <w:r w:rsidR="00884AB4">
        <w:rPr>
          <w:b w:val="0"/>
          <w:bCs w:val="0"/>
          <w:i w:val="0"/>
          <w:iCs w:val="0"/>
          <w:u w:val="none"/>
        </w:rPr>
        <w:t>is</w:t>
      </w:r>
      <w:r w:rsidR="00B515D4">
        <w:rPr>
          <w:b w:val="0"/>
          <w:bCs w:val="0"/>
          <w:i w:val="0"/>
          <w:iCs w:val="0"/>
          <w:u w:val="none"/>
        </w:rPr>
        <w:t xml:space="preserve">, by definition, the shareholder whose holdings are small (relative to its other holdings), whereas </w:t>
      </w:r>
      <w:r w:rsidR="00884AB4" w:rsidRPr="00884AB4">
        <w:rPr>
          <w:b w:val="0"/>
          <w:bCs w:val="0"/>
          <w:u w:val="none"/>
        </w:rPr>
        <w:t>all</w:t>
      </w:r>
      <w:r w:rsidR="00884AB4">
        <w:rPr>
          <w:b w:val="0"/>
          <w:bCs w:val="0"/>
          <w:i w:val="0"/>
          <w:iCs w:val="0"/>
          <w:u w:val="none"/>
        </w:rPr>
        <w:t xml:space="preserve"> </w:t>
      </w:r>
      <w:r w:rsidR="00B515D4">
        <w:rPr>
          <w:b w:val="0"/>
          <w:bCs w:val="0"/>
          <w:i w:val="0"/>
          <w:iCs w:val="0"/>
          <w:u w:val="none"/>
        </w:rPr>
        <w:t xml:space="preserve">shareholders whose holdings are greater in the unilaterally coordinating firm will have been alienated. As </w:t>
      </w:r>
      <w:r w:rsidR="003F55BA">
        <w:rPr>
          <w:b w:val="0"/>
          <w:bCs w:val="0"/>
          <w:i w:val="0"/>
          <w:iCs w:val="0"/>
          <w:u w:val="none"/>
        </w:rPr>
        <w:t>the data in tables 2</w:t>
      </w:r>
      <w:r w:rsidR="00E92CDD">
        <w:rPr>
          <w:b w:val="0"/>
          <w:bCs w:val="0"/>
          <w:i w:val="0"/>
          <w:iCs w:val="0"/>
          <w:u w:val="none"/>
        </w:rPr>
        <w:t>, 3 and</w:t>
      </w:r>
      <w:r w:rsidR="003F55BA">
        <w:rPr>
          <w:b w:val="0"/>
          <w:bCs w:val="0"/>
          <w:i w:val="0"/>
          <w:iCs w:val="0"/>
          <w:u w:val="none"/>
        </w:rPr>
        <w:t xml:space="preserve"> 4 suggest, this would not have been a profitable strategy </w:t>
      </w:r>
      <w:r w:rsidR="00884AB4">
        <w:rPr>
          <w:b w:val="0"/>
          <w:bCs w:val="0"/>
          <w:i w:val="0"/>
          <w:iCs w:val="0"/>
          <w:u w:val="none"/>
        </w:rPr>
        <w:t xml:space="preserve">(from management’s perspective) </w:t>
      </w:r>
      <w:r w:rsidR="003F55BA">
        <w:rPr>
          <w:b w:val="0"/>
          <w:bCs w:val="0"/>
          <w:i w:val="0"/>
          <w:iCs w:val="0"/>
          <w:u w:val="none"/>
        </w:rPr>
        <w:t>in any of the industries for which data is offered in the recent literature.</w:t>
      </w:r>
      <w:r w:rsidR="00884AB4">
        <w:rPr>
          <w:b w:val="0"/>
          <w:bCs w:val="0"/>
          <w:i w:val="0"/>
          <w:iCs w:val="0"/>
          <w:u w:val="none"/>
        </w:rPr>
        <w:t xml:space="preserve"> The </w:t>
      </w:r>
      <w:r w:rsidR="002704EE">
        <w:rPr>
          <w:b w:val="0"/>
          <w:bCs w:val="0"/>
          <w:i w:val="0"/>
          <w:iCs w:val="0"/>
          <w:u w:val="none"/>
        </w:rPr>
        <w:t xml:space="preserve">would-be </w:t>
      </w:r>
      <w:r w:rsidR="00884AB4">
        <w:rPr>
          <w:b w:val="0"/>
          <w:bCs w:val="0"/>
          <w:i w:val="0"/>
          <w:iCs w:val="0"/>
          <w:u w:val="none"/>
        </w:rPr>
        <w:t xml:space="preserve">alienated </w:t>
      </w:r>
      <w:r w:rsidR="00E92CDD">
        <w:rPr>
          <w:b w:val="0"/>
          <w:bCs w:val="0"/>
          <w:i w:val="0"/>
          <w:iCs w:val="0"/>
          <w:u w:val="none"/>
        </w:rPr>
        <w:t xml:space="preserve">shareholders’ </w:t>
      </w:r>
      <w:r w:rsidR="00884AB4">
        <w:rPr>
          <w:b w:val="0"/>
          <w:bCs w:val="0"/>
          <w:i w:val="0"/>
          <w:iCs w:val="0"/>
          <w:u w:val="none"/>
        </w:rPr>
        <w:t>holdings far exceed th</w:t>
      </w:r>
      <w:r w:rsidR="00E92CDD">
        <w:rPr>
          <w:b w:val="0"/>
          <w:bCs w:val="0"/>
          <w:i w:val="0"/>
          <w:iCs w:val="0"/>
          <w:u w:val="none"/>
        </w:rPr>
        <w:t xml:space="preserve">ose of the </w:t>
      </w:r>
      <w:r w:rsidR="002704EE">
        <w:rPr>
          <w:b w:val="0"/>
          <w:bCs w:val="0"/>
          <w:i w:val="0"/>
          <w:iCs w:val="0"/>
          <w:u w:val="none"/>
        </w:rPr>
        <w:t xml:space="preserve">would-be </w:t>
      </w:r>
      <w:r w:rsidR="00884AB4">
        <w:rPr>
          <w:b w:val="0"/>
          <w:bCs w:val="0"/>
          <w:i w:val="0"/>
          <w:iCs w:val="0"/>
          <w:u w:val="none"/>
        </w:rPr>
        <w:t xml:space="preserve">grateful </w:t>
      </w:r>
      <w:r w:rsidR="00E92CDD">
        <w:rPr>
          <w:b w:val="0"/>
          <w:bCs w:val="0"/>
          <w:i w:val="0"/>
          <w:iCs w:val="0"/>
          <w:u w:val="none"/>
        </w:rPr>
        <w:t>shareholders’</w:t>
      </w:r>
      <w:r w:rsidR="00884AB4">
        <w:rPr>
          <w:b w:val="0"/>
          <w:bCs w:val="0"/>
          <w:i w:val="0"/>
          <w:iCs w:val="0"/>
          <w:u w:val="none"/>
        </w:rPr>
        <w:t>.</w:t>
      </w:r>
    </w:p>
    <w:p w14:paraId="27FEEF4E" w14:textId="77777777" w:rsidR="003F55BA" w:rsidRDefault="003F55BA" w:rsidP="00B515D4">
      <w:pPr>
        <w:pStyle w:val="a"/>
        <w:numPr>
          <w:ilvl w:val="0"/>
          <w:numId w:val="0"/>
        </w:numPr>
        <w:rPr>
          <w:b w:val="0"/>
          <w:bCs w:val="0"/>
          <w:i w:val="0"/>
          <w:iCs w:val="0"/>
          <w:u w:val="none"/>
        </w:rPr>
      </w:pPr>
    </w:p>
    <w:p w14:paraId="72BBF216" w14:textId="50A9A61D" w:rsidR="003F55BA" w:rsidRDefault="003F55BA" w:rsidP="00884AB4">
      <w:pPr>
        <w:pStyle w:val="a"/>
        <w:numPr>
          <w:ilvl w:val="0"/>
          <w:numId w:val="0"/>
        </w:numPr>
        <w:rPr>
          <w:b w:val="0"/>
          <w:bCs w:val="0"/>
          <w:i w:val="0"/>
          <w:iCs w:val="0"/>
          <w:u w:val="none"/>
        </w:rPr>
      </w:pPr>
      <w:r>
        <w:rPr>
          <w:b w:val="0"/>
          <w:bCs w:val="0"/>
          <w:i w:val="0"/>
          <w:iCs w:val="0"/>
          <w:u w:val="none"/>
        </w:rPr>
        <w:t xml:space="preserve">Additionally, Rock and </w:t>
      </w:r>
      <w:proofErr w:type="spellStart"/>
      <w:r>
        <w:rPr>
          <w:b w:val="0"/>
          <w:bCs w:val="0"/>
          <w:i w:val="0"/>
          <w:iCs w:val="0"/>
          <w:u w:val="none"/>
        </w:rPr>
        <w:t>Rubinfeld’s</w:t>
      </w:r>
      <w:proofErr w:type="spellEnd"/>
      <w:r>
        <w:rPr>
          <w:b w:val="0"/>
          <w:bCs w:val="0"/>
          <w:i w:val="0"/>
          <w:iCs w:val="0"/>
          <w:u w:val="none"/>
        </w:rPr>
        <w:t xml:space="preserve"> observation </w:t>
      </w:r>
      <w:r w:rsidR="00E92CDD">
        <w:rPr>
          <w:b w:val="0"/>
          <w:bCs w:val="0"/>
          <w:i w:val="0"/>
          <w:iCs w:val="0"/>
          <w:u w:val="none"/>
        </w:rPr>
        <w:t xml:space="preserve">regarding the possibility of self-correction by the market </w:t>
      </w:r>
      <w:r>
        <w:rPr>
          <w:b w:val="0"/>
          <w:bCs w:val="0"/>
          <w:i w:val="0"/>
          <w:iCs w:val="0"/>
          <w:u w:val="none"/>
        </w:rPr>
        <w:t>makes any such plan even less likely to succeed.</w:t>
      </w:r>
      <w:r>
        <w:rPr>
          <w:rStyle w:val="FootnoteReference"/>
          <w:b w:val="0"/>
          <w:bCs w:val="0"/>
          <w:i w:val="0"/>
          <w:iCs w:val="0"/>
          <w:u w:val="none"/>
        </w:rPr>
        <w:footnoteReference w:id="112"/>
      </w:r>
      <w:r>
        <w:rPr>
          <w:b w:val="0"/>
          <w:bCs w:val="0"/>
          <w:i w:val="0"/>
          <w:iCs w:val="0"/>
          <w:u w:val="none"/>
        </w:rPr>
        <w:t xml:space="preserve"> Even if the harmed institutional investors d</w:t>
      </w:r>
      <w:r w:rsidR="00884AB4">
        <w:rPr>
          <w:b w:val="0"/>
          <w:bCs w:val="0"/>
          <w:i w:val="0"/>
          <w:iCs w:val="0"/>
          <w:u w:val="none"/>
        </w:rPr>
        <w:t>o</w:t>
      </w:r>
      <w:r>
        <w:rPr>
          <w:b w:val="0"/>
          <w:bCs w:val="0"/>
          <w:i w:val="0"/>
          <w:iCs w:val="0"/>
          <w:u w:val="none"/>
        </w:rPr>
        <w:t xml:space="preserve"> not retaliate against management at their own initiative, any </w:t>
      </w:r>
      <w:r w:rsidR="00CC55DB">
        <w:rPr>
          <w:b w:val="0"/>
          <w:bCs w:val="0"/>
          <w:i w:val="0"/>
          <w:iCs w:val="0"/>
          <w:u w:val="none"/>
        </w:rPr>
        <w:t>investor</w:t>
      </w:r>
      <w:r>
        <w:rPr>
          <w:b w:val="0"/>
          <w:bCs w:val="0"/>
          <w:i w:val="0"/>
          <w:iCs w:val="0"/>
          <w:u w:val="none"/>
        </w:rPr>
        <w:t xml:space="preserve"> that noticed that the </w:t>
      </w:r>
      <w:r w:rsidR="00884AB4">
        <w:rPr>
          <w:b w:val="0"/>
          <w:bCs w:val="0"/>
          <w:i w:val="0"/>
          <w:iCs w:val="0"/>
          <w:u w:val="none"/>
        </w:rPr>
        <w:t xml:space="preserve">unilaterally coordinating </w:t>
      </w:r>
      <w:r>
        <w:rPr>
          <w:b w:val="0"/>
          <w:bCs w:val="0"/>
          <w:i w:val="0"/>
          <w:iCs w:val="0"/>
          <w:u w:val="none"/>
        </w:rPr>
        <w:t xml:space="preserve">firm was underperforming would find </w:t>
      </w:r>
      <w:r w:rsidR="00884AB4">
        <w:rPr>
          <w:b w:val="0"/>
          <w:bCs w:val="0"/>
          <w:i w:val="0"/>
          <w:iCs w:val="0"/>
          <w:u w:val="none"/>
        </w:rPr>
        <w:t xml:space="preserve">it </w:t>
      </w:r>
      <w:r>
        <w:rPr>
          <w:b w:val="0"/>
          <w:bCs w:val="0"/>
          <w:i w:val="0"/>
          <w:iCs w:val="0"/>
          <w:u w:val="none"/>
        </w:rPr>
        <w:t xml:space="preserve">to </w:t>
      </w:r>
      <w:r w:rsidR="00CC55DB">
        <w:rPr>
          <w:b w:val="0"/>
          <w:bCs w:val="0"/>
          <w:i w:val="0"/>
          <w:iCs w:val="0"/>
          <w:u w:val="none"/>
        </w:rPr>
        <w:t xml:space="preserve">be </w:t>
      </w:r>
      <w:r>
        <w:rPr>
          <w:b w:val="0"/>
          <w:bCs w:val="0"/>
          <w:i w:val="0"/>
          <w:iCs w:val="0"/>
          <w:u w:val="none"/>
        </w:rPr>
        <w:t xml:space="preserve">a lucrative investment, and could easily purchase stock with a view to replacing management </w:t>
      </w:r>
      <w:r w:rsidR="00E92CDD">
        <w:rPr>
          <w:b w:val="0"/>
          <w:bCs w:val="0"/>
          <w:i w:val="0"/>
          <w:iCs w:val="0"/>
          <w:u w:val="none"/>
        </w:rPr>
        <w:t xml:space="preserve">or altering its conduct </w:t>
      </w:r>
      <w:r>
        <w:rPr>
          <w:b w:val="0"/>
          <w:bCs w:val="0"/>
          <w:i w:val="0"/>
          <w:iCs w:val="0"/>
          <w:u w:val="none"/>
        </w:rPr>
        <w:t xml:space="preserve">(recall, again, that the benefitted shareholder is not a controlling shareholder). Once again, as mentioned, </w:t>
      </w:r>
      <w:r w:rsidR="00CC55DB">
        <w:rPr>
          <w:b w:val="0"/>
          <w:bCs w:val="0"/>
          <w:i w:val="0"/>
          <w:iCs w:val="0"/>
          <w:u w:val="none"/>
        </w:rPr>
        <w:t xml:space="preserve">this investor could then quite easily </w:t>
      </w:r>
      <w:r>
        <w:rPr>
          <w:b w:val="0"/>
          <w:bCs w:val="0"/>
          <w:i w:val="0"/>
          <w:iCs w:val="0"/>
          <w:u w:val="none"/>
        </w:rPr>
        <w:t xml:space="preserve">persuade the investors </w:t>
      </w:r>
      <w:r w:rsidR="00CC55DB">
        <w:rPr>
          <w:b w:val="0"/>
          <w:bCs w:val="0"/>
          <w:i w:val="0"/>
          <w:iCs w:val="0"/>
          <w:u w:val="none"/>
        </w:rPr>
        <w:t xml:space="preserve">who management </w:t>
      </w:r>
      <w:r w:rsidR="002704EE">
        <w:rPr>
          <w:b w:val="0"/>
          <w:bCs w:val="0"/>
          <w:i w:val="0"/>
          <w:iCs w:val="0"/>
          <w:u w:val="none"/>
        </w:rPr>
        <w:t xml:space="preserve">had </w:t>
      </w:r>
      <w:r w:rsidR="00CC55DB">
        <w:rPr>
          <w:b w:val="0"/>
          <w:bCs w:val="0"/>
          <w:i w:val="0"/>
          <w:iCs w:val="0"/>
          <w:u w:val="none"/>
        </w:rPr>
        <w:t xml:space="preserve">wronged </w:t>
      </w:r>
      <w:r>
        <w:rPr>
          <w:b w:val="0"/>
          <w:bCs w:val="0"/>
          <w:i w:val="0"/>
          <w:iCs w:val="0"/>
          <w:u w:val="none"/>
        </w:rPr>
        <w:t>to join it in outvoting management</w:t>
      </w:r>
      <w:r w:rsidR="00CC55DB">
        <w:rPr>
          <w:b w:val="0"/>
          <w:bCs w:val="0"/>
          <w:i w:val="0"/>
          <w:iCs w:val="0"/>
          <w:u w:val="none"/>
        </w:rPr>
        <w:t>. Importantly, the investor would not even need to purchase a significant share of the unilaterally-coordinating firm’s equity. In all of the industries surveyed</w:t>
      </w:r>
      <w:r w:rsidR="00884AB4">
        <w:rPr>
          <w:b w:val="0"/>
          <w:bCs w:val="0"/>
          <w:i w:val="0"/>
          <w:iCs w:val="0"/>
          <w:u w:val="none"/>
        </w:rPr>
        <w:t>,</w:t>
      </w:r>
      <w:r w:rsidR="00CC55DB">
        <w:rPr>
          <w:b w:val="0"/>
          <w:bCs w:val="0"/>
          <w:i w:val="0"/>
          <w:iCs w:val="0"/>
          <w:u w:val="none"/>
        </w:rPr>
        <w:t xml:space="preserve"> unilateral coordination harms investors that hold a larger share of the firm’s equity than the potentially benefitted shareholder. Thus, there would be no need for a hostile takeover</w:t>
      </w:r>
      <w:r w:rsidR="00B6172B">
        <w:rPr>
          <w:b w:val="0"/>
          <w:bCs w:val="0"/>
          <w:i w:val="0"/>
          <w:iCs w:val="0"/>
          <w:u w:val="none"/>
        </w:rPr>
        <w:t>, major purchases by activist investors,</w:t>
      </w:r>
      <w:r w:rsidR="00CC55DB">
        <w:rPr>
          <w:b w:val="0"/>
          <w:bCs w:val="0"/>
          <w:i w:val="0"/>
          <w:iCs w:val="0"/>
          <w:u w:val="none"/>
        </w:rPr>
        <w:t xml:space="preserve"> or the like. Simply acquiring </w:t>
      </w:r>
      <w:r w:rsidR="00B6172B">
        <w:rPr>
          <w:b w:val="0"/>
          <w:bCs w:val="0"/>
          <w:i w:val="0"/>
          <w:iCs w:val="0"/>
          <w:u w:val="none"/>
        </w:rPr>
        <w:t xml:space="preserve">some </w:t>
      </w:r>
      <w:r w:rsidR="00CC55DB">
        <w:rPr>
          <w:b w:val="0"/>
          <w:bCs w:val="0"/>
          <w:i w:val="0"/>
          <w:iCs w:val="0"/>
          <w:u w:val="none"/>
        </w:rPr>
        <w:lastRenderedPageBreak/>
        <w:t>equity and drawing shareholders’ attention to what h</w:t>
      </w:r>
      <w:r w:rsidR="00B6172B">
        <w:rPr>
          <w:b w:val="0"/>
          <w:bCs w:val="0"/>
          <w:i w:val="0"/>
          <w:iCs w:val="0"/>
          <w:u w:val="none"/>
        </w:rPr>
        <w:t>as transpire</w:t>
      </w:r>
      <w:r w:rsidR="00884AB4">
        <w:rPr>
          <w:b w:val="0"/>
          <w:bCs w:val="0"/>
          <w:i w:val="0"/>
          <w:iCs w:val="0"/>
          <w:u w:val="none"/>
        </w:rPr>
        <w:t>d</w:t>
      </w:r>
      <w:r w:rsidR="00B6172B">
        <w:rPr>
          <w:b w:val="0"/>
          <w:bCs w:val="0"/>
          <w:i w:val="0"/>
          <w:iCs w:val="0"/>
          <w:u w:val="none"/>
        </w:rPr>
        <w:t xml:space="preserve"> would be enough.</w:t>
      </w:r>
      <w:r w:rsidR="002704EE">
        <w:rPr>
          <w:b w:val="0"/>
          <w:bCs w:val="0"/>
          <w:i w:val="0"/>
          <w:iCs w:val="0"/>
          <w:u w:val="none"/>
        </w:rPr>
        <w:t xml:space="preserve"> And, of course, this will have been profitable for the activist investor, who will have bought the equity at a lower price and could sell it once the unilateral coordination was terminated.</w:t>
      </w:r>
    </w:p>
    <w:p w14:paraId="5374FA00" w14:textId="39C196F7" w:rsidR="00B6172B" w:rsidRDefault="00B6172B" w:rsidP="00E92CDD">
      <w:pPr>
        <w:pStyle w:val="a"/>
        <w:numPr>
          <w:ilvl w:val="0"/>
          <w:numId w:val="0"/>
        </w:numPr>
        <w:rPr>
          <w:b w:val="0"/>
          <w:bCs w:val="0"/>
          <w:i w:val="0"/>
          <w:iCs w:val="0"/>
          <w:u w:val="none"/>
        </w:rPr>
      </w:pPr>
      <w:r>
        <w:rPr>
          <w:b w:val="0"/>
          <w:bCs w:val="0"/>
          <w:i w:val="0"/>
          <w:iCs w:val="0"/>
          <w:u w:val="none"/>
        </w:rPr>
        <w:t>Therefore, although support in future votes is slightly different from other forms of consideration in the sense that it require</w:t>
      </w:r>
      <w:r w:rsidR="00884AB4">
        <w:rPr>
          <w:b w:val="0"/>
          <w:bCs w:val="0"/>
          <w:i w:val="0"/>
          <w:iCs w:val="0"/>
          <w:u w:val="none"/>
        </w:rPr>
        <w:t>s</w:t>
      </w:r>
      <w:r>
        <w:rPr>
          <w:b w:val="0"/>
          <w:bCs w:val="0"/>
          <w:i w:val="0"/>
          <w:iCs w:val="0"/>
          <w:u w:val="none"/>
        </w:rPr>
        <w:t xml:space="preserve"> the investor to wh</w:t>
      </w:r>
      <w:r w:rsidR="00884AB4">
        <w:rPr>
          <w:b w:val="0"/>
          <w:bCs w:val="0"/>
          <w:i w:val="0"/>
          <w:iCs w:val="0"/>
          <w:u w:val="none"/>
        </w:rPr>
        <w:t>om</w:t>
      </w:r>
      <w:r>
        <w:rPr>
          <w:b w:val="0"/>
          <w:bCs w:val="0"/>
          <w:i w:val="0"/>
          <w:iCs w:val="0"/>
          <w:u w:val="none"/>
        </w:rPr>
        <w:t xml:space="preserve"> profits are tunneled to hold equity of the unilaterally coordinating firm, on closer examination this does not alter the analysis significantly. This form of consideration too does not require holdings at the time of the unilateral coordination, and even if it does – it would nonetheless be susceptible to the other shortcomings of the hypothesis of competitive harm.</w:t>
      </w:r>
    </w:p>
    <w:p w14:paraId="68685AAC" w14:textId="63A24CD8" w:rsidR="003F55BA" w:rsidRPr="00433908" w:rsidRDefault="003F55BA" w:rsidP="003F55BA">
      <w:pPr>
        <w:pStyle w:val="a"/>
        <w:numPr>
          <w:ilvl w:val="0"/>
          <w:numId w:val="0"/>
        </w:numPr>
        <w:rPr>
          <w:b w:val="0"/>
          <w:bCs w:val="0"/>
          <w:i w:val="0"/>
          <w:iCs w:val="0"/>
          <w:u w:val="none"/>
        </w:rPr>
      </w:pPr>
      <w:r>
        <w:rPr>
          <w:b w:val="0"/>
          <w:bCs w:val="0"/>
          <w:i w:val="0"/>
          <w:iCs w:val="0"/>
          <w:u w:val="none"/>
        </w:rPr>
        <w:t xml:space="preserve"> </w:t>
      </w:r>
    </w:p>
    <w:p w14:paraId="0C0122DC" w14:textId="65935347" w:rsidR="00A35734" w:rsidRPr="00433908" w:rsidRDefault="00433908" w:rsidP="00A35734">
      <w:pPr>
        <w:pStyle w:val="a"/>
        <w:numPr>
          <w:ilvl w:val="0"/>
          <w:numId w:val="0"/>
        </w:numPr>
        <w:rPr>
          <w:b w:val="0"/>
          <w:bCs w:val="0"/>
          <w:i w:val="0"/>
          <w:iCs w:val="0"/>
          <w:u w:val="none"/>
          <w:rtl/>
        </w:rPr>
      </w:pPr>
      <w:r w:rsidRPr="00433908">
        <w:rPr>
          <w:b w:val="0"/>
          <w:bCs w:val="0"/>
          <w:i w:val="0"/>
          <w:iCs w:val="0"/>
          <w:u w:val="none"/>
        </w:rPr>
        <w:t xml:space="preserve"> </w:t>
      </w:r>
    </w:p>
    <w:p w14:paraId="7D6B6D6F" w14:textId="62AF3A00" w:rsidR="009D5609" w:rsidRPr="00433908" w:rsidRDefault="009D5609" w:rsidP="00E0538F">
      <w:pPr>
        <w:pStyle w:val="a"/>
        <w:numPr>
          <w:ilvl w:val="0"/>
          <w:numId w:val="14"/>
        </w:numPr>
      </w:pPr>
      <w:bookmarkStart w:id="30" w:name="_Ref504979620"/>
      <w:r w:rsidRPr="00433908">
        <w:t>The Empirical Evidence</w:t>
      </w:r>
      <w:bookmarkEnd w:id="30"/>
    </w:p>
    <w:p w14:paraId="47CAF9CC" w14:textId="77777777" w:rsidR="00D52AEF" w:rsidRPr="00433908" w:rsidRDefault="00D52AEF" w:rsidP="00D52AEF">
      <w:pPr>
        <w:jc w:val="both"/>
        <w:rPr>
          <w:rFonts w:asciiTheme="majorBidi" w:hAnsiTheme="majorBidi" w:cstheme="majorBidi"/>
        </w:rPr>
      </w:pPr>
    </w:p>
    <w:p w14:paraId="77510696" w14:textId="004EF53F" w:rsidR="009D5609" w:rsidRPr="00433908" w:rsidRDefault="009D5609" w:rsidP="001B478B">
      <w:pPr>
        <w:jc w:val="both"/>
        <w:rPr>
          <w:rFonts w:asciiTheme="majorBidi" w:hAnsiTheme="majorBidi" w:cstheme="majorBidi"/>
        </w:rPr>
      </w:pPr>
      <w:r w:rsidRPr="00433908">
        <w:rPr>
          <w:rFonts w:asciiTheme="majorBidi" w:hAnsiTheme="majorBidi" w:cstheme="majorBidi"/>
        </w:rPr>
        <w:t>As mentioned, a</w:t>
      </w:r>
      <w:r w:rsidR="001B478B">
        <w:rPr>
          <w:rFonts w:asciiTheme="majorBidi" w:hAnsiTheme="majorBidi" w:cstheme="majorBidi"/>
        </w:rPr>
        <w:t xml:space="preserve">n influential empirical research by Azar et al. </w:t>
      </w:r>
      <w:r w:rsidRPr="00433908">
        <w:rPr>
          <w:rFonts w:asciiTheme="majorBidi" w:hAnsiTheme="majorBidi" w:cstheme="majorBidi"/>
        </w:rPr>
        <w:t xml:space="preserve">has found empirical evidence supporting the hypothesis that </w:t>
      </w:r>
      <w:r w:rsidR="00314501" w:rsidRPr="00433908">
        <w:rPr>
          <w:rFonts w:asciiTheme="majorBidi" w:hAnsiTheme="majorBidi" w:cstheme="majorBidi"/>
        </w:rPr>
        <w:t xml:space="preserve">institutional investors’ </w:t>
      </w:r>
      <w:r w:rsidRPr="00433908">
        <w:rPr>
          <w:rFonts w:asciiTheme="majorBidi" w:hAnsiTheme="majorBidi" w:cstheme="majorBidi"/>
        </w:rPr>
        <w:t>cross</w:t>
      </w:r>
      <w:r w:rsidR="00314501" w:rsidRPr="00433908">
        <w:rPr>
          <w:rFonts w:asciiTheme="majorBidi" w:hAnsiTheme="majorBidi" w:cstheme="majorBidi"/>
          <w:rtl/>
        </w:rPr>
        <w:t xml:space="preserve"> </w:t>
      </w:r>
      <w:r w:rsidR="00314501" w:rsidRPr="00433908">
        <w:rPr>
          <w:rFonts w:asciiTheme="majorBidi" w:hAnsiTheme="majorBidi" w:cstheme="majorBidi"/>
        </w:rPr>
        <w:t xml:space="preserve">ownership </w:t>
      </w:r>
      <w:r w:rsidRPr="00433908">
        <w:rPr>
          <w:rFonts w:asciiTheme="majorBidi" w:hAnsiTheme="majorBidi" w:cstheme="majorBidi"/>
        </w:rPr>
        <w:t>dampen</w:t>
      </w:r>
      <w:r w:rsidR="00314501" w:rsidRPr="00433908">
        <w:rPr>
          <w:rFonts w:asciiTheme="majorBidi" w:hAnsiTheme="majorBidi" w:cstheme="majorBidi"/>
        </w:rPr>
        <w:t>s</w:t>
      </w:r>
      <w:r w:rsidRPr="00433908">
        <w:rPr>
          <w:rFonts w:asciiTheme="majorBidi" w:hAnsiTheme="majorBidi" w:cstheme="majorBidi"/>
        </w:rPr>
        <w:t xml:space="preserve"> competition. Azar </w:t>
      </w:r>
      <w:r w:rsidR="00DC47C4" w:rsidRPr="00433908">
        <w:rPr>
          <w:rFonts w:asciiTheme="majorBidi" w:hAnsiTheme="majorBidi" w:cstheme="majorBidi"/>
        </w:rPr>
        <w:t>et al</w:t>
      </w:r>
      <w:r w:rsidR="002F1FE4" w:rsidRPr="00433908">
        <w:rPr>
          <w:rFonts w:asciiTheme="majorBidi" w:hAnsiTheme="majorBidi" w:cstheme="majorBidi"/>
        </w:rPr>
        <w:t>.</w:t>
      </w:r>
      <w:r w:rsidRPr="00433908">
        <w:rPr>
          <w:rFonts w:asciiTheme="majorBidi" w:hAnsiTheme="majorBidi" w:cstheme="majorBidi"/>
        </w:rPr>
        <w:t>,</w:t>
      </w:r>
      <w:r w:rsidR="00A91CC4" w:rsidRPr="00433908">
        <w:rPr>
          <w:rStyle w:val="FootnoteReference"/>
          <w:rFonts w:asciiTheme="majorBidi" w:hAnsiTheme="majorBidi" w:cstheme="majorBidi"/>
        </w:rPr>
        <w:footnoteReference w:id="113"/>
      </w:r>
      <w:r w:rsidRPr="00433908">
        <w:rPr>
          <w:rFonts w:asciiTheme="majorBidi" w:hAnsiTheme="majorBidi" w:cstheme="majorBidi"/>
        </w:rPr>
        <w:t xml:space="preserve"> analyzing the airline industry, identify a positive effect of common ownership on ticket prices. </w:t>
      </w:r>
      <w:r w:rsidR="00E75D0B" w:rsidRPr="00433908">
        <w:rPr>
          <w:rFonts w:asciiTheme="majorBidi" w:hAnsiTheme="majorBidi" w:cstheme="majorBidi"/>
        </w:rPr>
        <w:t>They use a measurement of concentration that takes into account the network cash flow and control rights that constitute the airlines’ shareholders</w:t>
      </w:r>
      <w:r w:rsidR="00CC14AA" w:rsidRPr="00433908">
        <w:rPr>
          <w:rFonts w:asciiTheme="majorBidi" w:hAnsiTheme="majorBidi" w:cstheme="majorBidi"/>
        </w:rPr>
        <w:t>’</w:t>
      </w:r>
      <w:r w:rsidR="00E75D0B" w:rsidRPr="00433908">
        <w:rPr>
          <w:rFonts w:asciiTheme="majorBidi" w:hAnsiTheme="majorBidi" w:cstheme="majorBidi"/>
        </w:rPr>
        <w:t xml:space="preserve"> economic interests, the “MHHI”</w:t>
      </w:r>
      <w:r w:rsidR="00D52AEF" w:rsidRPr="00433908">
        <w:rPr>
          <w:rFonts w:asciiTheme="majorBidi" w:hAnsiTheme="majorBidi" w:cstheme="majorBidi"/>
        </w:rPr>
        <w:t>.</w:t>
      </w:r>
      <w:bookmarkStart w:id="31" w:name="_Ref492839455"/>
      <w:r w:rsidR="00B42F88" w:rsidRPr="00433908">
        <w:rPr>
          <w:rStyle w:val="FootnoteReference"/>
          <w:rFonts w:asciiTheme="majorBidi" w:hAnsiTheme="majorBidi" w:cstheme="majorBidi"/>
        </w:rPr>
        <w:footnoteReference w:id="114"/>
      </w:r>
      <w:bookmarkEnd w:id="31"/>
      <w:r w:rsidR="00E75D0B" w:rsidRPr="00433908">
        <w:rPr>
          <w:rFonts w:asciiTheme="majorBidi" w:hAnsiTheme="majorBidi" w:cstheme="majorBidi"/>
        </w:rPr>
        <w:t xml:space="preserve"> </w:t>
      </w:r>
      <w:r w:rsidR="00464E66" w:rsidRPr="00433908">
        <w:rPr>
          <w:rFonts w:asciiTheme="majorBidi" w:hAnsiTheme="majorBidi" w:cstheme="majorBidi"/>
        </w:rPr>
        <w:t xml:space="preserve">Azar </w:t>
      </w:r>
      <w:r w:rsidR="00DC47C4" w:rsidRPr="00433908">
        <w:rPr>
          <w:rFonts w:asciiTheme="majorBidi" w:hAnsiTheme="majorBidi" w:cstheme="majorBidi"/>
        </w:rPr>
        <w:t>et al.</w:t>
      </w:r>
      <w:r w:rsidR="00464E66" w:rsidRPr="00433908">
        <w:rPr>
          <w:rFonts w:asciiTheme="majorBidi" w:hAnsiTheme="majorBidi" w:cstheme="majorBidi"/>
        </w:rPr>
        <w:t xml:space="preserve"> use a measurement of the effect of common ownership (“MHHI</w:t>
      </w:r>
      <w:r w:rsidR="00E87761" w:rsidRPr="00433908">
        <w:rPr>
          <w:rFonts w:asciiTheme="majorBidi" w:hAnsiTheme="majorBidi" w:cstheme="majorBidi"/>
        </w:rPr>
        <w:t>∆</w:t>
      </w:r>
      <w:r w:rsidR="00464E66" w:rsidRPr="00433908">
        <w:rPr>
          <w:rFonts w:asciiTheme="majorBidi" w:hAnsiTheme="majorBidi" w:cstheme="majorBidi"/>
        </w:rPr>
        <w:t xml:space="preserve">”), </w:t>
      </w:r>
      <w:r w:rsidR="00353331" w:rsidRPr="00433908">
        <w:rPr>
          <w:rFonts w:asciiTheme="majorBidi" w:hAnsiTheme="majorBidi" w:cstheme="majorBidi"/>
        </w:rPr>
        <w:t xml:space="preserve">developed by </w:t>
      </w:r>
      <w:proofErr w:type="spellStart"/>
      <w:r w:rsidR="00353331" w:rsidRPr="00433908">
        <w:rPr>
          <w:rFonts w:asciiTheme="majorBidi" w:hAnsiTheme="majorBidi" w:cstheme="majorBidi"/>
        </w:rPr>
        <w:t>O’brien</w:t>
      </w:r>
      <w:proofErr w:type="spellEnd"/>
      <w:r w:rsidR="00353331" w:rsidRPr="00433908">
        <w:rPr>
          <w:rFonts w:asciiTheme="majorBidi" w:hAnsiTheme="majorBidi" w:cstheme="majorBidi"/>
        </w:rPr>
        <w:t xml:space="preserve"> and Salop. They</w:t>
      </w:r>
      <w:r w:rsidR="00464E66" w:rsidRPr="00433908">
        <w:rPr>
          <w:rFonts w:asciiTheme="majorBidi" w:hAnsiTheme="majorBidi" w:cstheme="majorBidi"/>
        </w:rPr>
        <w:t xml:space="preserve"> </w:t>
      </w:r>
      <w:r w:rsidRPr="00433908">
        <w:rPr>
          <w:rFonts w:asciiTheme="majorBidi" w:hAnsiTheme="majorBidi" w:cstheme="majorBidi"/>
        </w:rPr>
        <w:t>exploit BlackRock’s acquisition of Barclays Global I</w:t>
      </w:r>
      <w:r w:rsidR="00353331" w:rsidRPr="00433908">
        <w:rPr>
          <w:rFonts w:asciiTheme="majorBidi" w:hAnsiTheme="majorBidi" w:cstheme="majorBidi"/>
        </w:rPr>
        <w:t>nvestors to confirm the results, and</w:t>
      </w:r>
      <w:r w:rsidR="00464E66" w:rsidRPr="00433908">
        <w:rPr>
          <w:rFonts w:asciiTheme="majorBidi" w:hAnsiTheme="majorBidi" w:cstheme="majorBidi"/>
        </w:rPr>
        <w:t xml:space="preserve"> </w:t>
      </w:r>
      <w:r w:rsidR="00E75D0B" w:rsidRPr="00433908">
        <w:rPr>
          <w:rFonts w:asciiTheme="majorBidi" w:hAnsiTheme="majorBidi" w:cstheme="majorBidi"/>
        </w:rPr>
        <w:t>find that ticket prices are approximately 3</w:t>
      </w:r>
      <w:r w:rsidR="00E45004">
        <w:rPr>
          <w:rFonts w:asciiTheme="majorBidi" w:hAnsiTheme="majorBidi" w:cstheme="majorBidi"/>
        </w:rPr>
        <w:t>%</w:t>
      </w:r>
      <w:r w:rsidR="00E75D0B" w:rsidRPr="00433908">
        <w:rPr>
          <w:rFonts w:asciiTheme="majorBidi" w:hAnsiTheme="majorBidi" w:cstheme="majorBidi"/>
        </w:rPr>
        <w:t>-5% higher on the average US airline route than would be the case under separate ownership.</w:t>
      </w:r>
    </w:p>
    <w:p w14:paraId="243A4CD7" w14:textId="77777777" w:rsidR="00BD075E" w:rsidRDefault="00BD075E" w:rsidP="00BD075E">
      <w:pPr>
        <w:jc w:val="both"/>
        <w:rPr>
          <w:rFonts w:asciiTheme="majorBidi" w:hAnsiTheme="majorBidi" w:cstheme="majorBidi"/>
        </w:rPr>
      </w:pPr>
    </w:p>
    <w:p w14:paraId="2C64EE10" w14:textId="7023127A" w:rsidR="00D52AEF" w:rsidRPr="00433908" w:rsidRDefault="00A02F3C" w:rsidP="00BD075E">
      <w:pPr>
        <w:jc w:val="both"/>
        <w:rPr>
          <w:rFonts w:asciiTheme="majorBidi" w:hAnsiTheme="majorBidi" w:cstheme="majorBidi"/>
        </w:rPr>
      </w:pPr>
      <w:r w:rsidRPr="00433908">
        <w:rPr>
          <w:rFonts w:asciiTheme="majorBidi" w:hAnsiTheme="majorBidi" w:cstheme="majorBidi"/>
        </w:rPr>
        <w:t>Th</w:t>
      </w:r>
      <w:r w:rsidR="004E2D67">
        <w:rPr>
          <w:rFonts w:asciiTheme="majorBidi" w:hAnsiTheme="majorBidi" w:cstheme="majorBidi"/>
        </w:rPr>
        <w:t>is would seem to challenge the theoretical argument advanced in this Paper. However, Azar et al.’s methodology has</w:t>
      </w:r>
      <w:r w:rsidRPr="00433908">
        <w:rPr>
          <w:rFonts w:asciiTheme="majorBidi" w:hAnsiTheme="majorBidi" w:cstheme="majorBidi"/>
        </w:rPr>
        <w:t xml:space="preserve"> been challenged by </w:t>
      </w:r>
      <w:r w:rsidR="00BD075E">
        <w:rPr>
          <w:rFonts w:asciiTheme="majorBidi" w:hAnsiTheme="majorBidi" w:cstheme="majorBidi"/>
        </w:rPr>
        <w:t>several subsequent writers.</w:t>
      </w:r>
      <w:r w:rsidR="004E2D67">
        <w:rPr>
          <w:rStyle w:val="FootnoteReference"/>
          <w:rFonts w:asciiTheme="majorBidi" w:hAnsiTheme="majorBidi" w:cstheme="majorBidi"/>
        </w:rPr>
        <w:footnoteReference w:id="115"/>
      </w:r>
    </w:p>
    <w:p w14:paraId="6BA28E8D" w14:textId="77777777" w:rsidR="00BD075E" w:rsidRDefault="00BD075E" w:rsidP="00BD075E">
      <w:pPr>
        <w:jc w:val="both"/>
        <w:rPr>
          <w:rFonts w:asciiTheme="majorBidi" w:hAnsiTheme="majorBidi" w:cstheme="majorBidi"/>
        </w:rPr>
      </w:pPr>
    </w:p>
    <w:p w14:paraId="4C2871B2" w14:textId="29ECEF50" w:rsidR="00BD075E" w:rsidRPr="001B752C" w:rsidRDefault="00C12F1E" w:rsidP="001B752C">
      <w:pPr>
        <w:jc w:val="both"/>
        <w:rPr>
          <w:rFonts w:eastAsia="Times New Roman"/>
        </w:rPr>
      </w:pPr>
      <w:r w:rsidRPr="00433908">
        <w:rPr>
          <w:rFonts w:asciiTheme="majorBidi" w:hAnsiTheme="majorBidi" w:cstheme="majorBidi"/>
        </w:rPr>
        <w:t>First</w:t>
      </w:r>
      <w:r w:rsidR="00BD075E">
        <w:rPr>
          <w:rFonts w:asciiTheme="majorBidi" w:hAnsiTheme="majorBidi" w:cstheme="majorBidi"/>
        </w:rPr>
        <w:t>,</w:t>
      </w:r>
      <w:r w:rsidR="00E87761" w:rsidRPr="00433908">
        <w:rPr>
          <w:rFonts w:asciiTheme="majorBidi" w:hAnsiTheme="majorBidi" w:cstheme="majorBidi"/>
        </w:rPr>
        <w:t xml:space="preserve"> the use of MHHI∆, </w:t>
      </w:r>
      <w:r w:rsidR="00F7493D" w:rsidRPr="00433908">
        <w:rPr>
          <w:rFonts w:asciiTheme="majorBidi" w:hAnsiTheme="majorBidi" w:cstheme="majorBidi"/>
        </w:rPr>
        <w:t>as well as any HHI-type measurement (</w:t>
      </w:r>
      <w:r w:rsidR="00E87761" w:rsidRPr="00433908">
        <w:rPr>
          <w:rFonts w:asciiTheme="majorBidi" w:hAnsiTheme="majorBidi" w:cstheme="majorBidi"/>
        </w:rPr>
        <w:t xml:space="preserve">which </w:t>
      </w:r>
      <w:proofErr w:type="spellStart"/>
      <w:r w:rsidR="00F7493D" w:rsidRPr="00433908">
        <w:rPr>
          <w:rFonts w:asciiTheme="majorBidi" w:hAnsiTheme="majorBidi" w:cstheme="majorBidi"/>
        </w:rPr>
        <w:t>Gramlich</w:t>
      </w:r>
      <w:proofErr w:type="spellEnd"/>
      <w:r w:rsidR="00F7493D" w:rsidRPr="00433908">
        <w:rPr>
          <w:rFonts w:asciiTheme="majorBidi" w:hAnsiTheme="majorBidi" w:cstheme="majorBidi"/>
        </w:rPr>
        <w:t xml:space="preserve"> and </w:t>
      </w:r>
      <w:proofErr w:type="spellStart"/>
      <w:r w:rsidR="00F7493D" w:rsidRPr="00433908">
        <w:rPr>
          <w:rFonts w:asciiTheme="majorBidi" w:hAnsiTheme="majorBidi" w:cstheme="majorBidi"/>
        </w:rPr>
        <w:t>Grundl</w:t>
      </w:r>
      <w:proofErr w:type="spellEnd"/>
      <w:r w:rsidR="00F7493D" w:rsidRPr="00433908">
        <w:rPr>
          <w:rFonts w:asciiTheme="majorBidi" w:hAnsiTheme="majorBidi" w:cstheme="majorBidi"/>
        </w:rPr>
        <w:t xml:space="preserve"> d</w:t>
      </w:r>
      <w:r w:rsidR="00876B6F" w:rsidRPr="00433908">
        <w:rPr>
          <w:rFonts w:asciiTheme="majorBidi" w:hAnsiTheme="majorBidi" w:cstheme="majorBidi"/>
        </w:rPr>
        <w:t>e</w:t>
      </w:r>
      <w:r w:rsidR="00F7493D" w:rsidRPr="00433908">
        <w:rPr>
          <w:rFonts w:asciiTheme="majorBidi" w:hAnsiTheme="majorBidi" w:cstheme="majorBidi"/>
        </w:rPr>
        <w:t>note as GHHI – General HHI), suffers from</w:t>
      </w:r>
      <w:r w:rsidR="001B752C">
        <w:rPr>
          <w:rFonts w:asciiTheme="majorBidi" w:hAnsiTheme="majorBidi" w:cstheme="majorBidi"/>
        </w:rPr>
        <w:t xml:space="preserve"> potential endogeneity problems. This is the case </w:t>
      </w:r>
      <w:r w:rsidR="00F7493D" w:rsidRPr="00433908">
        <w:rPr>
          <w:rFonts w:asciiTheme="majorBidi" w:hAnsiTheme="majorBidi" w:cstheme="majorBidi"/>
        </w:rPr>
        <w:t xml:space="preserve">because quantities cleared by the market – which the HHI uses to measure concentration – are a function, </w:t>
      </w:r>
      <w:r w:rsidR="00F7493D" w:rsidRPr="00433908">
        <w:rPr>
          <w:rFonts w:asciiTheme="majorBidi" w:hAnsiTheme="majorBidi" w:cstheme="majorBidi"/>
          <w:i/>
          <w:iCs/>
        </w:rPr>
        <w:t>inter alia</w:t>
      </w:r>
      <w:r w:rsidR="00F7493D" w:rsidRPr="00433908">
        <w:rPr>
          <w:rFonts w:asciiTheme="majorBidi" w:hAnsiTheme="majorBidi" w:cstheme="majorBidi"/>
        </w:rPr>
        <w:t>, of market concentration</w:t>
      </w:r>
      <w:r w:rsidR="00D30A60">
        <w:rPr>
          <w:rFonts w:asciiTheme="majorBidi" w:hAnsiTheme="majorBidi" w:cstheme="majorBidi"/>
        </w:rPr>
        <w:t>,</w:t>
      </w:r>
      <w:r w:rsidR="00F7493D" w:rsidRPr="00433908">
        <w:rPr>
          <w:rStyle w:val="FootnoteReference"/>
          <w:rFonts w:asciiTheme="majorBidi" w:hAnsiTheme="majorBidi" w:cstheme="majorBidi"/>
        </w:rPr>
        <w:footnoteReference w:id="116"/>
      </w:r>
      <w:r w:rsidR="00745513" w:rsidRPr="00433908">
        <w:rPr>
          <w:rFonts w:asciiTheme="majorBidi" w:hAnsiTheme="majorBidi" w:cstheme="majorBidi"/>
        </w:rPr>
        <w:t xml:space="preserve"> </w:t>
      </w:r>
      <w:r w:rsidR="00D30A60">
        <w:rPr>
          <w:rFonts w:asciiTheme="majorBidi" w:hAnsiTheme="majorBidi" w:cstheme="majorBidi"/>
        </w:rPr>
        <w:t>and because ownership shares are not strictly an independent variable. Ownership shares (</w:t>
      </w:r>
      <w:r w:rsidR="001B752C">
        <w:rPr>
          <w:rFonts w:asciiTheme="majorBidi" w:hAnsiTheme="majorBidi" w:cstheme="majorBidi"/>
        </w:rPr>
        <w:t xml:space="preserve">MHHI – </w:t>
      </w:r>
      <w:r w:rsidR="00D30A60">
        <w:rPr>
          <w:rFonts w:asciiTheme="majorBidi" w:hAnsiTheme="majorBidi" w:cstheme="majorBidi"/>
        </w:rPr>
        <w:t xml:space="preserve">the independent variable used by Azar et al.) are dependent, </w:t>
      </w:r>
      <w:r w:rsidR="00D30A60" w:rsidRPr="00D30A60">
        <w:rPr>
          <w:rFonts w:asciiTheme="majorBidi" w:hAnsiTheme="majorBidi" w:cstheme="majorBidi"/>
          <w:i/>
          <w:iCs/>
        </w:rPr>
        <w:t>inter alia</w:t>
      </w:r>
      <w:r w:rsidR="00D30A60">
        <w:rPr>
          <w:rFonts w:asciiTheme="majorBidi" w:hAnsiTheme="majorBidi" w:cstheme="majorBidi"/>
        </w:rPr>
        <w:t xml:space="preserve">, on </w:t>
      </w:r>
      <w:r w:rsidR="001B752C">
        <w:rPr>
          <w:rFonts w:asciiTheme="majorBidi" w:hAnsiTheme="majorBidi" w:cstheme="majorBidi"/>
        </w:rPr>
        <w:t>f</w:t>
      </w:r>
      <w:r w:rsidR="001B752C">
        <w:rPr>
          <w:rFonts w:eastAsia="Times New Roman"/>
        </w:rPr>
        <w:t>actors other than common ownership, which affect both price and MHHI. Therefore, the relationship between price and MHHI may be a function of these factors.</w:t>
      </w:r>
      <w:r w:rsidR="00D30A60">
        <w:rPr>
          <w:rStyle w:val="FootnoteReference"/>
          <w:rFonts w:asciiTheme="majorBidi" w:hAnsiTheme="majorBidi" w:cstheme="majorBidi"/>
        </w:rPr>
        <w:footnoteReference w:id="117"/>
      </w:r>
      <w:r w:rsidR="00D30A60">
        <w:rPr>
          <w:rFonts w:asciiTheme="majorBidi" w:hAnsiTheme="majorBidi" w:cstheme="majorBidi"/>
        </w:rPr>
        <w:t xml:space="preserve"> </w:t>
      </w:r>
      <w:proofErr w:type="spellStart"/>
      <w:r w:rsidR="00745513" w:rsidRPr="00433908">
        <w:rPr>
          <w:rFonts w:asciiTheme="majorBidi" w:hAnsiTheme="majorBidi" w:cstheme="majorBidi"/>
        </w:rPr>
        <w:t>Gramlich</w:t>
      </w:r>
      <w:proofErr w:type="spellEnd"/>
      <w:r w:rsidR="00745513" w:rsidRPr="00433908">
        <w:rPr>
          <w:rFonts w:asciiTheme="majorBidi" w:hAnsiTheme="majorBidi" w:cstheme="majorBidi"/>
        </w:rPr>
        <w:t xml:space="preserve"> and </w:t>
      </w:r>
      <w:proofErr w:type="spellStart"/>
      <w:r w:rsidR="00745513" w:rsidRPr="00433908">
        <w:rPr>
          <w:rFonts w:asciiTheme="majorBidi" w:hAnsiTheme="majorBidi" w:cstheme="majorBidi"/>
        </w:rPr>
        <w:t>Grundl</w:t>
      </w:r>
      <w:proofErr w:type="spellEnd"/>
      <w:r w:rsidR="00745513" w:rsidRPr="00433908">
        <w:rPr>
          <w:rFonts w:asciiTheme="majorBidi" w:hAnsiTheme="majorBidi" w:cstheme="majorBidi"/>
        </w:rPr>
        <w:t xml:space="preserve"> themselves, when controlling for the endogeneity problem, find mixed results.</w:t>
      </w:r>
      <w:r w:rsidR="00F54198" w:rsidRPr="00433908">
        <w:rPr>
          <w:rStyle w:val="FootnoteReference"/>
          <w:rFonts w:asciiTheme="majorBidi" w:hAnsiTheme="majorBidi" w:cstheme="majorBidi"/>
        </w:rPr>
        <w:footnoteReference w:id="118"/>
      </w:r>
    </w:p>
    <w:p w14:paraId="4BD875AF" w14:textId="77777777" w:rsidR="00BD075E" w:rsidRDefault="00BD075E" w:rsidP="001B752C">
      <w:pPr>
        <w:jc w:val="both"/>
        <w:rPr>
          <w:rFonts w:asciiTheme="majorBidi" w:hAnsiTheme="majorBidi" w:cstheme="majorBidi"/>
        </w:rPr>
      </w:pPr>
    </w:p>
    <w:p w14:paraId="3C2EA1C5" w14:textId="77777777" w:rsidR="00BD075E" w:rsidRDefault="00876B6F" w:rsidP="00BD075E">
      <w:pPr>
        <w:jc w:val="both"/>
        <w:rPr>
          <w:rFonts w:asciiTheme="majorBidi" w:hAnsiTheme="majorBidi" w:cstheme="majorBidi"/>
        </w:rPr>
      </w:pPr>
      <w:r w:rsidRPr="00433908">
        <w:rPr>
          <w:rFonts w:asciiTheme="majorBidi" w:hAnsiTheme="majorBidi" w:cstheme="majorBidi"/>
        </w:rPr>
        <w:t xml:space="preserve">Second, Rock and </w:t>
      </w:r>
      <w:proofErr w:type="spellStart"/>
      <w:r w:rsidRPr="00433908">
        <w:rPr>
          <w:rFonts w:asciiTheme="majorBidi" w:hAnsiTheme="majorBidi" w:cstheme="majorBidi"/>
        </w:rPr>
        <w:t>Rubinfeld</w:t>
      </w:r>
      <w:proofErr w:type="spellEnd"/>
      <w:r w:rsidRPr="00433908">
        <w:rPr>
          <w:rFonts w:asciiTheme="majorBidi" w:hAnsiTheme="majorBidi" w:cstheme="majorBidi"/>
        </w:rPr>
        <w:t xml:space="preserve"> argue that the change in concentration in holdings that resulted from BlackRock’s merger with BGI – from around 3% each to 6% – is, from a theoretical perspective, an implausible explanation for the price-increase.</w:t>
      </w:r>
      <w:r w:rsidRPr="00433908">
        <w:rPr>
          <w:rStyle w:val="FootnoteReference"/>
          <w:rFonts w:asciiTheme="majorBidi" w:hAnsiTheme="majorBidi" w:cstheme="majorBidi"/>
        </w:rPr>
        <w:footnoteReference w:id="119"/>
      </w:r>
      <w:r w:rsidRPr="00433908">
        <w:rPr>
          <w:rFonts w:asciiTheme="majorBidi" w:hAnsiTheme="majorBidi" w:cstheme="majorBidi"/>
        </w:rPr>
        <w:t xml:space="preserve"> </w:t>
      </w:r>
      <w:r w:rsidR="00EC1339" w:rsidRPr="00433908">
        <w:rPr>
          <w:rFonts w:asciiTheme="majorBidi" w:hAnsiTheme="majorBidi" w:cstheme="majorBidi"/>
        </w:rPr>
        <w:t>They also discuss additional possible events that may have triggered the price-increase, arguing that these are not controlled f</w:t>
      </w:r>
      <w:r w:rsidR="00BD075E">
        <w:rPr>
          <w:rFonts w:asciiTheme="majorBidi" w:hAnsiTheme="majorBidi" w:cstheme="majorBidi"/>
        </w:rPr>
        <w:t>or in the Azar et al. research.</w:t>
      </w:r>
    </w:p>
    <w:p w14:paraId="0D11F61E" w14:textId="77777777" w:rsidR="00BD075E" w:rsidRDefault="00BD075E" w:rsidP="00BD075E">
      <w:pPr>
        <w:jc w:val="both"/>
        <w:rPr>
          <w:rFonts w:asciiTheme="majorBidi" w:hAnsiTheme="majorBidi" w:cstheme="majorBidi"/>
        </w:rPr>
      </w:pPr>
    </w:p>
    <w:p w14:paraId="076BEA66" w14:textId="0189EFE1" w:rsidR="00C12F1E" w:rsidRPr="00433908" w:rsidRDefault="00EC1339" w:rsidP="00404225">
      <w:pPr>
        <w:jc w:val="both"/>
        <w:rPr>
          <w:rFonts w:asciiTheme="majorBidi" w:hAnsiTheme="majorBidi" w:cstheme="majorBidi"/>
        </w:rPr>
      </w:pPr>
      <w:r w:rsidRPr="00433908">
        <w:rPr>
          <w:rFonts w:asciiTheme="majorBidi" w:hAnsiTheme="majorBidi" w:cstheme="majorBidi"/>
        </w:rPr>
        <w:lastRenderedPageBreak/>
        <w:t xml:space="preserve">Finally, Rock and </w:t>
      </w:r>
      <w:proofErr w:type="spellStart"/>
      <w:r w:rsidRPr="00433908">
        <w:rPr>
          <w:rFonts w:asciiTheme="majorBidi" w:hAnsiTheme="majorBidi" w:cstheme="majorBidi"/>
        </w:rPr>
        <w:t>Rubinfeld</w:t>
      </w:r>
      <w:proofErr w:type="spellEnd"/>
      <w:r w:rsidRPr="00433908">
        <w:rPr>
          <w:rFonts w:asciiTheme="majorBidi" w:hAnsiTheme="majorBidi" w:cstheme="majorBidi"/>
        </w:rPr>
        <w:t xml:space="preserve"> argue that the timing of the ‘natural shock’ – BlackRock’s merger with BGI – coincides with at least two or three other potentially powerful explanations for the price increase. The merger occurred in 2009, a year after Delta’s acquisition of Northwest airlines, and when the adverse effects of the great recession were diminishing. Also, in 2010, one year following the merger, United acquired Continental. Rock and </w:t>
      </w:r>
      <w:proofErr w:type="spellStart"/>
      <w:r w:rsidRPr="00433908">
        <w:rPr>
          <w:rFonts w:asciiTheme="majorBidi" w:hAnsiTheme="majorBidi" w:cstheme="majorBidi"/>
        </w:rPr>
        <w:t>Rubinfeld</w:t>
      </w:r>
      <w:proofErr w:type="spellEnd"/>
      <w:r w:rsidRPr="00433908">
        <w:rPr>
          <w:rFonts w:asciiTheme="majorBidi" w:hAnsiTheme="majorBidi" w:cstheme="majorBidi"/>
        </w:rPr>
        <w:t xml:space="preserve"> suggest that these mergers may have increase</w:t>
      </w:r>
      <w:r w:rsidR="00404225">
        <w:rPr>
          <w:rFonts w:asciiTheme="majorBidi" w:hAnsiTheme="majorBidi" w:cstheme="majorBidi"/>
        </w:rPr>
        <w:t>d</w:t>
      </w:r>
      <w:r w:rsidRPr="00433908">
        <w:rPr>
          <w:rFonts w:asciiTheme="majorBidi" w:hAnsiTheme="majorBidi" w:cstheme="majorBidi"/>
        </w:rPr>
        <w:t xml:space="preserve"> product quality, which in turn might imply that quality-adjusted prices stayed constant or even decreased. Alternatively, even if quality-adjusted prices indeed increased, this could have been a result of increased product-market concentration</w:t>
      </w:r>
      <w:r w:rsidR="00404225">
        <w:rPr>
          <w:rFonts w:asciiTheme="majorBidi" w:hAnsiTheme="majorBidi" w:cstheme="majorBidi"/>
        </w:rPr>
        <w:t xml:space="preserve"> (attributable to mergers within the product market)</w:t>
      </w:r>
      <w:r w:rsidRPr="00433908">
        <w:rPr>
          <w:rFonts w:asciiTheme="majorBidi" w:hAnsiTheme="majorBidi" w:cstheme="majorBidi"/>
        </w:rPr>
        <w:t>, rather than of increased concentration at the shareholder level.</w:t>
      </w:r>
      <w:r w:rsidRPr="00433908">
        <w:rPr>
          <w:rStyle w:val="FootnoteReference"/>
          <w:rFonts w:asciiTheme="majorBidi" w:hAnsiTheme="majorBidi" w:cstheme="majorBidi"/>
        </w:rPr>
        <w:footnoteReference w:id="120"/>
      </w:r>
      <w:r w:rsidRPr="00433908">
        <w:rPr>
          <w:rFonts w:asciiTheme="majorBidi" w:hAnsiTheme="majorBidi" w:cstheme="majorBidi"/>
        </w:rPr>
        <w:t xml:space="preserve"> Ultimately, Rock and </w:t>
      </w:r>
      <w:proofErr w:type="spellStart"/>
      <w:r w:rsidRPr="00433908">
        <w:rPr>
          <w:rFonts w:asciiTheme="majorBidi" w:hAnsiTheme="majorBidi" w:cstheme="majorBidi"/>
        </w:rPr>
        <w:t>Rubinfeld</w:t>
      </w:r>
      <w:proofErr w:type="spellEnd"/>
      <w:r w:rsidRPr="00433908">
        <w:rPr>
          <w:rFonts w:asciiTheme="majorBidi" w:hAnsiTheme="majorBidi" w:cstheme="majorBidi"/>
        </w:rPr>
        <w:t xml:space="preserve"> “find unconvincing Azar et al.’s evidence suggesting that increased ticket prices were due to the BlackRock/BGI merger rather than these alternative, highly plausible, explanations”.</w:t>
      </w:r>
      <w:r w:rsidRPr="00433908">
        <w:rPr>
          <w:rStyle w:val="FootnoteReference"/>
          <w:rFonts w:asciiTheme="majorBidi" w:hAnsiTheme="majorBidi" w:cstheme="majorBidi"/>
        </w:rPr>
        <w:footnoteReference w:id="121"/>
      </w:r>
    </w:p>
    <w:p w14:paraId="008482E2" w14:textId="77777777" w:rsidR="00BD075E" w:rsidRDefault="00BD075E" w:rsidP="00B34105">
      <w:pPr>
        <w:jc w:val="both"/>
        <w:rPr>
          <w:rFonts w:asciiTheme="majorBidi" w:hAnsiTheme="majorBidi" w:cstheme="majorBidi"/>
        </w:rPr>
      </w:pPr>
    </w:p>
    <w:p w14:paraId="23168C15" w14:textId="7C6CC6AA" w:rsidR="00BD075E" w:rsidRPr="00433908" w:rsidRDefault="00BD075E" w:rsidP="00DE0154">
      <w:pPr>
        <w:jc w:val="both"/>
        <w:rPr>
          <w:rFonts w:asciiTheme="majorBidi" w:hAnsiTheme="majorBidi" w:cstheme="majorBidi"/>
        </w:rPr>
      </w:pPr>
      <w:r w:rsidRPr="00433908">
        <w:rPr>
          <w:rFonts w:asciiTheme="majorBidi" w:hAnsiTheme="majorBidi" w:cstheme="majorBidi"/>
        </w:rPr>
        <w:t>F</w:t>
      </w:r>
      <w:r w:rsidR="0039608C">
        <w:rPr>
          <w:rFonts w:asciiTheme="majorBidi" w:hAnsiTheme="majorBidi" w:cstheme="majorBidi"/>
        </w:rPr>
        <w:t>inally, it is to be remembered that Azar et al.</w:t>
      </w:r>
      <w:r w:rsidR="008E3771">
        <w:rPr>
          <w:rFonts w:asciiTheme="majorBidi" w:hAnsiTheme="majorBidi" w:cstheme="majorBidi"/>
        </w:rPr>
        <w:t xml:space="preserve"> do not collect data on</w:t>
      </w:r>
      <w:r w:rsidRPr="00433908">
        <w:rPr>
          <w:rFonts w:asciiTheme="majorBidi" w:hAnsiTheme="majorBidi" w:cstheme="majorBidi"/>
        </w:rPr>
        <w:t xml:space="preserve"> performance-based compensation of management in the industry. In line with current theory, the authors consider industry-linked-performance-based compensation to be one of several mechanisms through which shareholders may cause management to compete less vigorously.</w:t>
      </w:r>
      <w:r w:rsidRPr="00433908">
        <w:rPr>
          <w:rStyle w:val="FootnoteReference"/>
          <w:rFonts w:asciiTheme="majorBidi" w:hAnsiTheme="majorBidi" w:cstheme="majorBidi"/>
        </w:rPr>
        <w:footnoteReference w:id="122"/>
      </w:r>
      <w:r w:rsidRPr="00433908">
        <w:rPr>
          <w:rFonts w:asciiTheme="majorBidi" w:hAnsiTheme="majorBidi" w:cstheme="majorBidi"/>
        </w:rPr>
        <w:t xml:space="preserve"> They therefore do not attempt to limit the analysis to a setting in which industry-performance-based compensation is not observed. </w:t>
      </w:r>
      <w:r w:rsidR="00555C74">
        <w:rPr>
          <w:rFonts w:asciiTheme="majorBidi" w:hAnsiTheme="majorBidi" w:cstheme="majorBidi"/>
        </w:rPr>
        <w:t>Within the framework of industry-performance-based compensation, they do not attempt to distinguish between granting management stock or options (which, as has been shown, will not incentivize unilateral coordination) and other possible mechanisms which may link managerial compensation to industry-performance. Importantly, even if such mechanisms are identified, their prevalence in the industry is a key determinant of their potential to induce unilateral coordination.</w:t>
      </w:r>
      <w:bookmarkStart w:id="32" w:name="_Ref500414118"/>
      <w:r w:rsidR="00555C74" w:rsidRPr="00433908">
        <w:rPr>
          <w:rStyle w:val="FootnoteReference"/>
          <w:rFonts w:asciiTheme="majorBidi" w:hAnsiTheme="majorBidi" w:cstheme="majorBidi"/>
        </w:rPr>
        <w:footnoteReference w:id="123"/>
      </w:r>
      <w:bookmarkEnd w:id="32"/>
    </w:p>
    <w:p w14:paraId="54B6AE7D" w14:textId="7F50DFC7" w:rsidR="00A15E1E" w:rsidRDefault="00A15E1E" w:rsidP="00B34105">
      <w:pPr>
        <w:jc w:val="both"/>
        <w:rPr>
          <w:rFonts w:asciiTheme="majorBidi" w:hAnsiTheme="majorBidi" w:cstheme="majorBidi"/>
        </w:rPr>
      </w:pPr>
      <w:r>
        <w:rPr>
          <w:rFonts w:asciiTheme="majorBidi" w:hAnsiTheme="majorBidi" w:cstheme="majorBidi"/>
        </w:rPr>
        <w:t>As mentioned, Kennedy et al. attempt to address the issues identified with Azar et al.’s research. They apply a different approach to the same industry, substituting indices of common ownership incentives for concentration measures. Attempting to construct the same dataset, they find no evidence that common ownership raises prices.</w:t>
      </w:r>
      <w:r>
        <w:rPr>
          <w:rStyle w:val="FootnoteReference"/>
          <w:rFonts w:asciiTheme="majorBidi" w:hAnsiTheme="majorBidi" w:cstheme="majorBidi"/>
        </w:rPr>
        <w:footnoteReference w:id="124"/>
      </w:r>
    </w:p>
    <w:p w14:paraId="5E6FB82A" w14:textId="77777777" w:rsidR="00A15E1E" w:rsidRDefault="00A15E1E" w:rsidP="00B34105">
      <w:pPr>
        <w:jc w:val="both"/>
        <w:rPr>
          <w:rFonts w:asciiTheme="majorBidi" w:hAnsiTheme="majorBidi" w:cstheme="majorBidi"/>
        </w:rPr>
      </w:pPr>
    </w:p>
    <w:p w14:paraId="03B1E55B" w14:textId="523F011A" w:rsidR="00EC1339" w:rsidRPr="00433908" w:rsidRDefault="00A15E1E" w:rsidP="00E92CDD">
      <w:pPr>
        <w:jc w:val="both"/>
        <w:rPr>
          <w:rFonts w:asciiTheme="majorBidi" w:hAnsiTheme="majorBidi" w:cstheme="majorBidi"/>
        </w:rPr>
      </w:pPr>
      <w:r>
        <w:rPr>
          <w:rFonts w:asciiTheme="majorBidi" w:hAnsiTheme="majorBidi" w:cstheme="majorBidi"/>
        </w:rPr>
        <w:t xml:space="preserve">The tentative conclusion to be drawn from current </w:t>
      </w:r>
      <w:r w:rsidR="00E92CDD">
        <w:rPr>
          <w:rFonts w:asciiTheme="majorBidi" w:hAnsiTheme="majorBidi" w:cstheme="majorBidi"/>
        </w:rPr>
        <w:t xml:space="preserve">state of the </w:t>
      </w:r>
      <w:r>
        <w:rPr>
          <w:rFonts w:asciiTheme="majorBidi" w:hAnsiTheme="majorBidi" w:cstheme="majorBidi"/>
        </w:rPr>
        <w:t xml:space="preserve">empirical research is that the empirical findings support the theory developed in this Paper. However, this conclusion is, as suggested, tentative, and should be treated cautiously. The </w:t>
      </w:r>
      <w:r w:rsidR="00C26906" w:rsidRPr="00433908">
        <w:rPr>
          <w:rFonts w:asciiTheme="majorBidi" w:hAnsiTheme="majorBidi" w:cstheme="majorBidi"/>
        </w:rPr>
        <w:t xml:space="preserve">empirical </w:t>
      </w:r>
      <w:r>
        <w:rPr>
          <w:rFonts w:asciiTheme="majorBidi" w:hAnsiTheme="majorBidi" w:cstheme="majorBidi"/>
        </w:rPr>
        <w:t>findings are controversial</w:t>
      </w:r>
      <w:r w:rsidR="00C26906" w:rsidRPr="00433908">
        <w:rPr>
          <w:rFonts w:asciiTheme="majorBidi" w:hAnsiTheme="majorBidi" w:cstheme="majorBidi"/>
        </w:rPr>
        <w:t xml:space="preserve">, </w:t>
      </w:r>
      <w:r>
        <w:rPr>
          <w:rFonts w:asciiTheme="majorBidi" w:hAnsiTheme="majorBidi" w:cstheme="majorBidi"/>
        </w:rPr>
        <w:lastRenderedPageBreak/>
        <w:t>and this controversy</w:t>
      </w:r>
      <w:r w:rsidR="00D33FC5" w:rsidRPr="00433908">
        <w:rPr>
          <w:rFonts w:asciiTheme="majorBidi" w:hAnsiTheme="majorBidi" w:cstheme="majorBidi"/>
        </w:rPr>
        <w:t xml:space="preserve"> has attracted quite some attention</w:t>
      </w:r>
      <w:r w:rsidR="004B14CE">
        <w:rPr>
          <w:rFonts w:asciiTheme="majorBidi" w:hAnsiTheme="majorBidi" w:cstheme="majorBidi"/>
        </w:rPr>
        <w:t>,</w:t>
      </w:r>
      <w:r w:rsidR="00C26906" w:rsidRPr="00433908">
        <w:rPr>
          <w:rStyle w:val="FootnoteReference"/>
          <w:rFonts w:asciiTheme="majorBidi" w:hAnsiTheme="majorBidi" w:cstheme="majorBidi"/>
        </w:rPr>
        <w:footnoteReference w:id="125"/>
      </w:r>
      <w:r w:rsidR="00B34105" w:rsidRPr="00433908">
        <w:rPr>
          <w:rFonts w:asciiTheme="majorBidi" w:hAnsiTheme="majorBidi" w:cstheme="majorBidi"/>
        </w:rPr>
        <w:t xml:space="preserve"> resulting in “diametrically opposed results”.</w:t>
      </w:r>
      <w:r w:rsidR="00B34105" w:rsidRPr="00433908">
        <w:rPr>
          <w:rStyle w:val="FootnoteReference"/>
          <w:rFonts w:asciiTheme="majorBidi" w:hAnsiTheme="majorBidi" w:cstheme="majorBidi"/>
        </w:rPr>
        <w:footnoteReference w:id="126"/>
      </w:r>
      <w:r w:rsidR="00B34105" w:rsidRPr="00433908">
        <w:rPr>
          <w:rFonts w:asciiTheme="majorBidi" w:hAnsiTheme="majorBidi" w:cstheme="majorBidi"/>
        </w:rPr>
        <w:t xml:space="preserve"> Ultimately, </w:t>
      </w:r>
      <w:r>
        <w:rPr>
          <w:rFonts w:asciiTheme="majorBidi" w:hAnsiTheme="majorBidi" w:cstheme="majorBidi"/>
        </w:rPr>
        <w:t xml:space="preserve">while there is indeed empirical support for the argument pressed in this Paper, </w:t>
      </w:r>
      <w:r w:rsidR="00B34105" w:rsidRPr="00433908">
        <w:rPr>
          <w:rFonts w:asciiTheme="majorBidi" w:hAnsiTheme="majorBidi" w:cstheme="majorBidi"/>
        </w:rPr>
        <w:t xml:space="preserve">it seems that at present the most compelling conclusion regarding the empirical results is Rock and </w:t>
      </w:r>
      <w:proofErr w:type="spellStart"/>
      <w:r w:rsidR="00B34105" w:rsidRPr="00433908">
        <w:rPr>
          <w:rFonts w:asciiTheme="majorBidi" w:hAnsiTheme="majorBidi" w:cstheme="majorBidi"/>
        </w:rPr>
        <w:t>Rubinfeld’s</w:t>
      </w:r>
      <w:proofErr w:type="spellEnd"/>
      <w:r w:rsidR="00B34105" w:rsidRPr="00433908">
        <w:rPr>
          <w:rFonts w:asciiTheme="majorBidi" w:hAnsiTheme="majorBidi" w:cstheme="majorBidi"/>
        </w:rPr>
        <w:t xml:space="preserve"> conclusion that “there is more work to be done”.</w:t>
      </w:r>
      <w:r w:rsidR="00B34105" w:rsidRPr="00433908">
        <w:rPr>
          <w:rStyle w:val="FootnoteReference"/>
          <w:rFonts w:asciiTheme="majorBidi" w:hAnsiTheme="majorBidi" w:cstheme="majorBidi"/>
        </w:rPr>
        <w:footnoteReference w:id="127"/>
      </w:r>
    </w:p>
    <w:p w14:paraId="04A95281" w14:textId="6361F6A3" w:rsidR="00E75D0B" w:rsidRPr="00433908" w:rsidRDefault="00C92DE0" w:rsidP="00E75D0B">
      <w:pPr>
        <w:jc w:val="both"/>
        <w:rPr>
          <w:rFonts w:asciiTheme="majorBidi" w:hAnsiTheme="majorBidi" w:cstheme="majorBidi"/>
        </w:rPr>
      </w:pPr>
      <w:r w:rsidRPr="00433908">
        <w:rPr>
          <w:rFonts w:asciiTheme="majorBidi" w:hAnsiTheme="majorBidi" w:cstheme="majorBidi"/>
        </w:rPr>
        <w:br w:type="column"/>
      </w:r>
    </w:p>
    <w:p w14:paraId="79951132" w14:textId="326D2057" w:rsidR="009567AB" w:rsidRPr="00433908" w:rsidRDefault="00D52AEF" w:rsidP="00E0538F">
      <w:pPr>
        <w:pStyle w:val="a"/>
        <w:numPr>
          <w:ilvl w:val="0"/>
          <w:numId w:val="14"/>
        </w:numPr>
      </w:pPr>
      <w:r w:rsidRPr="00433908">
        <w:t>Policy Implications</w:t>
      </w:r>
    </w:p>
    <w:p w14:paraId="07A4A62D" w14:textId="77777777" w:rsidR="007408A8" w:rsidRPr="00433908" w:rsidRDefault="007408A8" w:rsidP="00426483">
      <w:pPr>
        <w:jc w:val="both"/>
        <w:rPr>
          <w:rFonts w:asciiTheme="majorBidi" w:hAnsiTheme="majorBidi" w:cstheme="majorBidi"/>
        </w:rPr>
      </w:pPr>
    </w:p>
    <w:p w14:paraId="621771E5" w14:textId="75C34120" w:rsidR="00690730" w:rsidRPr="00433908" w:rsidRDefault="00E75B25" w:rsidP="004D3641">
      <w:pPr>
        <w:jc w:val="both"/>
        <w:rPr>
          <w:rFonts w:asciiTheme="majorBidi" w:hAnsiTheme="majorBidi" w:cstheme="majorBidi"/>
        </w:rPr>
      </w:pPr>
      <w:r w:rsidRPr="00433908">
        <w:rPr>
          <w:rFonts w:asciiTheme="majorBidi" w:hAnsiTheme="majorBidi" w:cstheme="majorBidi"/>
        </w:rPr>
        <w:t xml:space="preserve">Following the </w:t>
      </w:r>
      <w:r w:rsidR="00690730" w:rsidRPr="00433908">
        <w:rPr>
          <w:rFonts w:asciiTheme="majorBidi" w:hAnsiTheme="majorBidi" w:cstheme="majorBidi"/>
        </w:rPr>
        <w:t>now widely-accepted analysis according to which cross</w:t>
      </w:r>
      <w:r w:rsidR="00051329" w:rsidRPr="00433908">
        <w:rPr>
          <w:rFonts w:asciiTheme="majorBidi" w:hAnsiTheme="majorBidi" w:cstheme="majorBidi"/>
        </w:rPr>
        <w:t xml:space="preserve"> </w:t>
      </w:r>
      <w:r w:rsidR="00690730" w:rsidRPr="00433908">
        <w:rPr>
          <w:rFonts w:asciiTheme="majorBidi" w:hAnsiTheme="majorBidi" w:cstheme="majorBidi"/>
        </w:rPr>
        <w:t xml:space="preserve">ownership of firms in oligopolistic product markets spontaneously results in supra-competitive conduct, </w:t>
      </w:r>
      <w:r w:rsidR="00D963BA" w:rsidRPr="00433908">
        <w:rPr>
          <w:rFonts w:asciiTheme="majorBidi" w:hAnsiTheme="majorBidi" w:cstheme="majorBidi"/>
        </w:rPr>
        <w:t xml:space="preserve">antitrust doctrine </w:t>
      </w:r>
      <w:r w:rsidR="00690730" w:rsidRPr="00433908">
        <w:rPr>
          <w:rFonts w:asciiTheme="majorBidi" w:hAnsiTheme="majorBidi" w:cstheme="majorBidi"/>
        </w:rPr>
        <w:t xml:space="preserve">has been called on to prevent </w:t>
      </w:r>
      <w:r w:rsidR="00B10E76" w:rsidRPr="00433908">
        <w:rPr>
          <w:rFonts w:asciiTheme="majorBidi" w:hAnsiTheme="majorBidi" w:cstheme="majorBidi"/>
        </w:rPr>
        <w:t xml:space="preserve">or limit </w:t>
      </w:r>
      <w:r w:rsidR="00690730" w:rsidRPr="00433908">
        <w:rPr>
          <w:rFonts w:asciiTheme="majorBidi" w:hAnsiTheme="majorBidi" w:cstheme="majorBidi"/>
        </w:rPr>
        <w:t>such cross</w:t>
      </w:r>
      <w:r w:rsidR="00BC0A34" w:rsidRPr="00433908">
        <w:rPr>
          <w:rFonts w:asciiTheme="majorBidi" w:hAnsiTheme="majorBidi" w:cstheme="majorBidi"/>
        </w:rPr>
        <w:t xml:space="preserve"> </w:t>
      </w:r>
      <w:r w:rsidR="00690730" w:rsidRPr="00433908">
        <w:rPr>
          <w:rFonts w:asciiTheme="majorBidi" w:hAnsiTheme="majorBidi" w:cstheme="majorBidi"/>
        </w:rPr>
        <w:t>ownership</w:t>
      </w:r>
      <w:r w:rsidR="00BC0A34" w:rsidRPr="00433908">
        <w:rPr>
          <w:rFonts w:asciiTheme="majorBidi" w:hAnsiTheme="majorBidi" w:cstheme="majorBidi"/>
        </w:rPr>
        <w:t xml:space="preserve">. The argument is </w:t>
      </w:r>
      <w:r w:rsidR="00720CC0" w:rsidRPr="00433908">
        <w:rPr>
          <w:rFonts w:asciiTheme="majorBidi" w:hAnsiTheme="majorBidi" w:cstheme="majorBidi"/>
        </w:rPr>
        <w:t xml:space="preserve">that such cross ownership </w:t>
      </w:r>
      <w:r w:rsidR="00BC0A34" w:rsidRPr="00433908">
        <w:rPr>
          <w:rFonts w:asciiTheme="majorBidi" w:hAnsiTheme="majorBidi" w:cstheme="majorBidi"/>
        </w:rPr>
        <w:t xml:space="preserve">should be considered to </w:t>
      </w:r>
      <w:r w:rsidR="00720CC0" w:rsidRPr="00433908">
        <w:rPr>
          <w:rFonts w:asciiTheme="majorBidi" w:hAnsiTheme="majorBidi" w:cstheme="majorBidi"/>
        </w:rPr>
        <w:t>run afoul of section 7 of the Clayton Act</w:t>
      </w:r>
      <w:r w:rsidR="00690730" w:rsidRPr="00433908">
        <w:rPr>
          <w:rFonts w:asciiTheme="majorBidi" w:hAnsiTheme="majorBidi" w:cstheme="majorBidi"/>
        </w:rPr>
        <w:t xml:space="preserve">. </w:t>
      </w:r>
      <w:r w:rsidR="00720CC0" w:rsidRPr="00433908">
        <w:rPr>
          <w:rFonts w:asciiTheme="majorBidi" w:hAnsiTheme="majorBidi" w:cstheme="majorBidi"/>
        </w:rPr>
        <w:t>As mentioned, t</w:t>
      </w:r>
      <w:r w:rsidR="00D963BA" w:rsidRPr="00433908">
        <w:rPr>
          <w:rFonts w:asciiTheme="majorBidi" w:hAnsiTheme="majorBidi" w:cstheme="majorBidi"/>
        </w:rPr>
        <w:t xml:space="preserve">o that end, interpretations and analyses of </w:t>
      </w:r>
      <w:r w:rsidR="0068142B" w:rsidRPr="00433908">
        <w:rPr>
          <w:rFonts w:asciiTheme="majorBidi" w:hAnsiTheme="majorBidi" w:cstheme="majorBidi"/>
        </w:rPr>
        <w:t>the ‘</w:t>
      </w:r>
      <w:r w:rsidR="003D7E81" w:rsidRPr="00433908">
        <w:rPr>
          <w:rFonts w:asciiTheme="majorBidi" w:hAnsiTheme="majorBidi" w:cstheme="majorBidi"/>
        </w:rPr>
        <w:t>investment-only’</w:t>
      </w:r>
      <w:r w:rsidR="00BC58D1" w:rsidRPr="00433908">
        <w:rPr>
          <w:rFonts w:asciiTheme="majorBidi" w:hAnsiTheme="majorBidi" w:cstheme="majorBidi"/>
        </w:rPr>
        <w:t xml:space="preserve"> exemption</w:t>
      </w:r>
      <w:r w:rsidR="00D963BA" w:rsidRPr="00433908">
        <w:rPr>
          <w:rFonts w:asciiTheme="majorBidi" w:hAnsiTheme="majorBidi" w:cstheme="majorBidi"/>
        </w:rPr>
        <w:t xml:space="preserve"> in the HSR have been advanced, arguing that </w:t>
      </w:r>
      <w:r w:rsidR="00720CC0" w:rsidRPr="00433908">
        <w:rPr>
          <w:rFonts w:asciiTheme="majorBidi" w:hAnsiTheme="majorBidi" w:cstheme="majorBidi"/>
        </w:rPr>
        <w:t xml:space="preserve">when the relevant </w:t>
      </w:r>
      <w:r w:rsidR="00C92DE0" w:rsidRPr="00433908">
        <w:rPr>
          <w:rFonts w:asciiTheme="majorBidi" w:hAnsiTheme="majorBidi" w:cstheme="majorBidi"/>
        </w:rPr>
        <w:t xml:space="preserve">transaction-size and firm-size </w:t>
      </w:r>
      <w:r w:rsidR="00720CC0" w:rsidRPr="00433908">
        <w:rPr>
          <w:rFonts w:asciiTheme="majorBidi" w:hAnsiTheme="majorBidi" w:cstheme="majorBidi"/>
        </w:rPr>
        <w:t>thresholds</w:t>
      </w:r>
      <w:r w:rsidR="00BC0A34" w:rsidRPr="00433908">
        <w:rPr>
          <w:rFonts w:asciiTheme="majorBidi" w:hAnsiTheme="majorBidi" w:cstheme="majorBidi"/>
        </w:rPr>
        <w:t xml:space="preserve"> are met</w:t>
      </w:r>
      <w:r w:rsidR="00720CC0" w:rsidRPr="00433908">
        <w:rPr>
          <w:rFonts w:asciiTheme="majorBidi" w:hAnsiTheme="majorBidi" w:cstheme="majorBidi"/>
        </w:rPr>
        <w:t xml:space="preserve">, </w:t>
      </w:r>
      <w:r w:rsidR="00D963BA" w:rsidRPr="00433908">
        <w:rPr>
          <w:rFonts w:asciiTheme="majorBidi" w:hAnsiTheme="majorBidi" w:cstheme="majorBidi"/>
        </w:rPr>
        <w:t>acquisition</w:t>
      </w:r>
      <w:r w:rsidR="00BC0A34" w:rsidRPr="00433908">
        <w:rPr>
          <w:rFonts w:asciiTheme="majorBidi" w:hAnsiTheme="majorBidi" w:cstheme="majorBidi"/>
        </w:rPr>
        <w:t>s</w:t>
      </w:r>
      <w:r w:rsidR="00D963BA" w:rsidRPr="00433908">
        <w:rPr>
          <w:rFonts w:asciiTheme="majorBidi" w:hAnsiTheme="majorBidi" w:cstheme="majorBidi"/>
        </w:rPr>
        <w:t xml:space="preserve"> of oligopolistic firms’ stock by cross</w:t>
      </w:r>
      <w:r w:rsidR="00BC0A34" w:rsidRPr="00433908">
        <w:rPr>
          <w:rFonts w:asciiTheme="majorBidi" w:hAnsiTheme="majorBidi" w:cstheme="majorBidi"/>
        </w:rPr>
        <w:t xml:space="preserve"> </w:t>
      </w:r>
      <w:r w:rsidR="00D963BA" w:rsidRPr="00433908">
        <w:rPr>
          <w:rFonts w:asciiTheme="majorBidi" w:hAnsiTheme="majorBidi" w:cstheme="majorBidi"/>
        </w:rPr>
        <w:t xml:space="preserve">holding investors should </w:t>
      </w:r>
      <w:r w:rsidR="00720CC0" w:rsidRPr="00433908">
        <w:rPr>
          <w:rFonts w:asciiTheme="majorBidi" w:hAnsiTheme="majorBidi" w:cstheme="majorBidi"/>
        </w:rPr>
        <w:t xml:space="preserve">even </w:t>
      </w:r>
      <w:r w:rsidR="00D963BA" w:rsidRPr="00433908">
        <w:rPr>
          <w:rFonts w:asciiTheme="majorBidi" w:hAnsiTheme="majorBidi" w:cstheme="majorBidi"/>
        </w:rPr>
        <w:t xml:space="preserve">be </w:t>
      </w:r>
      <w:r w:rsidR="00720CC0" w:rsidRPr="00433908">
        <w:rPr>
          <w:rFonts w:asciiTheme="majorBidi" w:hAnsiTheme="majorBidi" w:cstheme="majorBidi"/>
        </w:rPr>
        <w:t xml:space="preserve">subject </w:t>
      </w:r>
      <w:r w:rsidR="00D963BA" w:rsidRPr="00433908">
        <w:rPr>
          <w:rFonts w:asciiTheme="majorBidi" w:hAnsiTheme="majorBidi" w:cstheme="majorBidi"/>
        </w:rPr>
        <w:t xml:space="preserve">to </w:t>
      </w:r>
      <w:r w:rsidR="00720CC0" w:rsidRPr="00433908">
        <w:rPr>
          <w:rFonts w:asciiTheme="majorBidi" w:hAnsiTheme="majorBidi" w:cstheme="majorBidi"/>
          <w:i/>
          <w:iCs/>
        </w:rPr>
        <w:t>ex ante</w:t>
      </w:r>
      <w:r w:rsidR="00720CC0" w:rsidRPr="00433908">
        <w:rPr>
          <w:rFonts w:asciiTheme="majorBidi" w:hAnsiTheme="majorBidi" w:cstheme="majorBidi"/>
        </w:rPr>
        <w:t xml:space="preserve"> </w:t>
      </w:r>
      <w:r w:rsidR="00690730" w:rsidRPr="00433908">
        <w:rPr>
          <w:rFonts w:asciiTheme="majorBidi" w:hAnsiTheme="majorBidi" w:cstheme="majorBidi"/>
        </w:rPr>
        <w:t>antitrust scrutiny</w:t>
      </w:r>
      <w:r w:rsidR="000E6896" w:rsidRPr="00433908">
        <w:rPr>
          <w:rFonts w:asciiTheme="majorBidi" w:hAnsiTheme="majorBidi" w:cstheme="majorBidi"/>
        </w:rPr>
        <w:t>.</w:t>
      </w:r>
    </w:p>
    <w:p w14:paraId="5B7355CA" w14:textId="77777777" w:rsidR="00720CC0" w:rsidRPr="00433908" w:rsidRDefault="00720CC0" w:rsidP="00F04ED8">
      <w:pPr>
        <w:jc w:val="both"/>
        <w:rPr>
          <w:rFonts w:asciiTheme="majorBidi" w:hAnsiTheme="majorBidi" w:cstheme="majorBidi"/>
        </w:rPr>
      </w:pPr>
    </w:p>
    <w:p w14:paraId="66B9EA56" w14:textId="367A60CC" w:rsidR="00823117" w:rsidRPr="00433908" w:rsidRDefault="0068142B" w:rsidP="004D3641">
      <w:pPr>
        <w:jc w:val="both"/>
        <w:rPr>
          <w:rFonts w:asciiTheme="majorBidi" w:hAnsiTheme="majorBidi" w:cstheme="majorBidi"/>
        </w:rPr>
      </w:pPr>
      <w:r w:rsidRPr="00433908">
        <w:rPr>
          <w:rFonts w:asciiTheme="majorBidi" w:hAnsiTheme="majorBidi" w:cstheme="majorBidi"/>
        </w:rPr>
        <w:t xml:space="preserve">The analysis presented in this Paper </w:t>
      </w:r>
      <w:r w:rsidR="00690730" w:rsidRPr="00433908">
        <w:rPr>
          <w:rFonts w:asciiTheme="majorBidi" w:hAnsiTheme="majorBidi" w:cstheme="majorBidi"/>
        </w:rPr>
        <w:t xml:space="preserve">does not </w:t>
      </w:r>
      <w:r w:rsidR="00EF13B1">
        <w:rPr>
          <w:rFonts w:asciiTheme="majorBidi" w:hAnsiTheme="majorBidi" w:cstheme="majorBidi"/>
        </w:rPr>
        <w:t>automatically</w:t>
      </w:r>
      <w:r w:rsidR="00AC4174" w:rsidRPr="00433908">
        <w:rPr>
          <w:rFonts w:asciiTheme="majorBidi" w:hAnsiTheme="majorBidi" w:cstheme="majorBidi"/>
        </w:rPr>
        <w:t xml:space="preserve"> imply th</w:t>
      </w:r>
      <w:r w:rsidR="00823117" w:rsidRPr="00433908">
        <w:rPr>
          <w:rFonts w:asciiTheme="majorBidi" w:hAnsiTheme="majorBidi" w:cstheme="majorBidi"/>
        </w:rPr>
        <w:t>e opposite. Although this Paper suggests that cross</w:t>
      </w:r>
      <w:r w:rsidR="00BC0A34" w:rsidRPr="00433908">
        <w:rPr>
          <w:rFonts w:asciiTheme="majorBidi" w:hAnsiTheme="majorBidi" w:cstheme="majorBidi"/>
        </w:rPr>
        <w:t xml:space="preserve"> ownership</w:t>
      </w:r>
      <w:r w:rsidR="00823117" w:rsidRPr="00433908">
        <w:rPr>
          <w:rFonts w:asciiTheme="majorBidi" w:hAnsiTheme="majorBidi" w:cstheme="majorBidi"/>
        </w:rPr>
        <w:t xml:space="preserve"> by institutional investors does not, in and of itself, harm competition, it does not contest the idea that </w:t>
      </w:r>
      <w:r w:rsidR="00AC4174" w:rsidRPr="00433908">
        <w:rPr>
          <w:rFonts w:asciiTheme="majorBidi" w:hAnsiTheme="majorBidi" w:cstheme="majorBidi"/>
        </w:rPr>
        <w:t>cross</w:t>
      </w:r>
      <w:r w:rsidR="00BC0A34" w:rsidRPr="00433908">
        <w:rPr>
          <w:rFonts w:asciiTheme="majorBidi" w:hAnsiTheme="majorBidi" w:cstheme="majorBidi"/>
        </w:rPr>
        <w:t xml:space="preserve"> ownership</w:t>
      </w:r>
      <w:r w:rsidR="00AC4174" w:rsidRPr="00433908">
        <w:rPr>
          <w:rFonts w:asciiTheme="majorBidi" w:hAnsiTheme="majorBidi" w:cstheme="majorBidi"/>
        </w:rPr>
        <w:t xml:space="preserve"> in oligopolistic </w:t>
      </w:r>
      <w:r w:rsidR="00F04ED8" w:rsidRPr="00433908">
        <w:rPr>
          <w:rFonts w:asciiTheme="majorBidi" w:hAnsiTheme="majorBidi" w:cstheme="majorBidi"/>
        </w:rPr>
        <w:t>markets</w:t>
      </w:r>
      <w:r w:rsidR="00AC4174" w:rsidRPr="00433908">
        <w:rPr>
          <w:rFonts w:asciiTheme="majorBidi" w:hAnsiTheme="majorBidi" w:cstheme="majorBidi"/>
        </w:rPr>
        <w:t xml:space="preserve"> </w:t>
      </w:r>
      <w:r w:rsidR="00BC0A34" w:rsidRPr="00433908">
        <w:rPr>
          <w:rFonts w:asciiTheme="majorBidi" w:hAnsiTheme="majorBidi" w:cstheme="majorBidi"/>
        </w:rPr>
        <w:t>is</w:t>
      </w:r>
      <w:r w:rsidR="00AC4174" w:rsidRPr="00433908">
        <w:rPr>
          <w:rFonts w:asciiTheme="majorBidi" w:hAnsiTheme="majorBidi" w:cstheme="majorBidi"/>
        </w:rPr>
        <w:t xml:space="preserve"> </w:t>
      </w:r>
      <w:r w:rsidR="00823117" w:rsidRPr="00433908">
        <w:rPr>
          <w:rFonts w:asciiTheme="majorBidi" w:hAnsiTheme="majorBidi" w:cstheme="majorBidi"/>
        </w:rPr>
        <w:t xml:space="preserve">a setting </w:t>
      </w:r>
      <w:r w:rsidR="000E679D" w:rsidRPr="00433908">
        <w:rPr>
          <w:rFonts w:asciiTheme="majorBidi" w:hAnsiTheme="majorBidi" w:cstheme="majorBidi"/>
        </w:rPr>
        <w:t>in which shareholders may have incentives to chill competition.</w:t>
      </w:r>
      <w:r w:rsidR="00C15989" w:rsidRPr="00433908">
        <w:rPr>
          <w:rFonts w:asciiTheme="majorBidi" w:hAnsiTheme="majorBidi" w:cstheme="majorBidi"/>
        </w:rPr>
        <w:t xml:space="preserve"> </w:t>
      </w:r>
      <w:r w:rsidR="00823117" w:rsidRPr="00433908">
        <w:rPr>
          <w:rFonts w:asciiTheme="majorBidi" w:hAnsiTheme="majorBidi" w:cstheme="majorBidi"/>
        </w:rPr>
        <w:t xml:space="preserve">It could </w:t>
      </w:r>
      <w:r w:rsidR="001E4276" w:rsidRPr="00433908">
        <w:rPr>
          <w:rFonts w:asciiTheme="majorBidi" w:hAnsiTheme="majorBidi" w:cstheme="majorBidi"/>
        </w:rPr>
        <w:t xml:space="preserve">therefore </w:t>
      </w:r>
      <w:r w:rsidR="00823117" w:rsidRPr="00433908">
        <w:rPr>
          <w:rFonts w:asciiTheme="majorBidi" w:hAnsiTheme="majorBidi" w:cstheme="majorBidi"/>
        </w:rPr>
        <w:t xml:space="preserve">be argued that </w:t>
      </w:r>
      <w:r w:rsidR="001E4276" w:rsidRPr="00433908">
        <w:rPr>
          <w:rFonts w:asciiTheme="majorBidi" w:hAnsiTheme="majorBidi" w:cstheme="majorBidi"/>
        </w:rPr>
        <w:t>antitrust law should address stock acquisition that results in cross</w:t>
      </w:r>
      <w:r w:rsidR="00BC0A34" w:rsidRPr="00433908">
        <w:rPr>
          <w:rFonts w:asciiTheme="majorBidi" w:hAnsiTheme="majorBidi" w:cstheme="majorBidi"/>
        </w:rPr>
        <w:t xml:space="preserve"> ownership</w:t>
      </w:r>
      <w:r w:rsidR="001E4276" w:rsidRPr="00433908">
        <w:rPr>
          <w:rFonts w:asciiTheme="majorBidi" w:hAnsiTheme="majorBidi" w:cstheme="majorBidi"/>
        </w:rPr>
        <w:t xml:space="preserve"> in oligopolistic markets.</w:t>
      </w:r>
      <w:r w:rsidR="00BD2C66" w:rsidRPr="00433908">
        <w:rPr>
          <w:rFonts w:asciiTheme="majorBidi" w:hAnsiTheme="majorBidi" w:cstheme="majorBidi"/>
        </w:rPr>
        <w:t xml:space="preserve"> </w:t>
      </w:r>
      <w:r w:rsidR="00855B1A" w:rsidRPr="00433908">
        <w:rPr>
          <w:rFonts w:asciiTheme="majorBidi" w:hAnsiTheme="majorBidi" w:cstheme="majorBidi"/>
        </w:rPr>
        <w:t>Since</w:t>
      </w:r>
      <w:r w:rsidR="00BD2C66" w:rsidRPr="00433908">
        <w:rPr>
          <w:rFonts w:asciiTheme="majorBidi" w:hAnsiTheme="majorBidi" w:cstheme="majorBidi"/>
        </w:rPr>
        <w:t xml:space="preserve"> m</w:t>
      </w:r>
      <w:r w:rsidR="001E4276" w:rsidRPr="00433908">
        <w:rPr>
          <w:rFonts w:asciiTheme="majorBidi" w:hAnsiTheme="majorBidi" w:cstheme="majorBidi"/>
        </w:rPr>
        <w:t xml:space="preserve">erger control is designed to preempt </w:t>
      </w:r>
      <w:r w:rsidR="00855B1A" w:rsidRPr="00433908">
        <w:rPr>
          <w:rFonts w:asciiTheme="majorBidi" w:hAnsiTheme="majorBidi" w:cstheme="majorBidi"/>
        </w:rPr>
        <w:t xml:space="preserve">potential </w:t>
      </w:r>
      <w:r w:rsidR="001E4276" w:rsidRPr="00433908">
        <w:rPr>
          <w:rFonts w:asciiTheme="majorBidi" w:hAnsiTheme="majorBidi" w:cstheme="majorBidi"/>
        </w:rPr>
        <w:t>harm to competition,</w:t>
      </w:r>
      <w:r w:rsidR="00BD2C66" w:rsidRPr="00433908">
        <w:rPr>
          <w:rStyle w:val="FootnoteReference"/>
          <w:rFonts w:asciiTheme="majorBidi" w:hAnsiTheme="majorBidi" w:cstheme="majorBidi"/>
        </w:rPr>
        <w:footnoteReference w:id="128"/>
      </w:r>
      <w:r w:rsidR="001E4276" w:rsidRPr="00433908">
        <w:rPr>
          <w:rFonts w:asciiTheme="majorBidi" w:hAnsiTheme="majorBidi" w:cstheme="majorBidi"/>
        </w:rPr>
        <w:t xml:space="preserve"> </w:t>
      </w:r>
      <w:r w:rsidR="004737C1" w:rsidRPr="00433908">
        <w:rPr>
          <w:rFonts w:asciiTheme="majorBidi" w:hAnsiTheme="majorBidi" w:cstheme="majorBidi"/>
        </w:rPr>
        <w:t xml:space="preserve">the Clayton Act </w:t>
      </w:r>
      <w:r w:rsidR="00AD6864" w:rsidRPr="00433908">
        <w:rPr>
          <w:rFonts w:asciiTheme="majorBidi" w:hAnsiTheme="majorBidi" w:cstheme="majorBidi"/>
        </w:rPr>
        <w:t xml:space="preserve">could </w:t>
      </w:r>
      <w:r w:rsidR="00BC0A34" w:rsidRPr="00433908">
        <w:rPr>
          <w:rFonts w:asciiTheme="majorBidi" w:hAnsiTheme="majorBidi" w:cstheme="majorBidi"/>
        </w:rPr>
        <w:t xml:space="preserve">theoretically be </w:t>
      </w:r>
      <w:r w:rsidR="00AD6864" w:rsidRPr="00433908">
        <w:rPr>
          <w:rFonts w:asciiTheme="majorBidi" w:hAnsiTheme="majorBidi" w:cstheme="majorBidi"/>
        </w:rPr>
        <w:t>appl</w:t>
      </w:r>
      <w:r w:rsidR="001E4276" w:rsidRPr="00433908">
        <w:rPr>
          <w:rFonts w:asciiTheme="majorBidi" w:hAnsiTheme="majorBidi" w:cstheme="majorBidi"/>
        </w:rPr>
        <w:t>i</w:t>
      </w:r>
      <w:r w:rsidR="00AD6864" w:rsidRPr="00433908">
        <w:rPr>
          <w:rFonts w:asciiTheme="majorBidi" w:hAnsiTheme="majorBidi" w:cstheme="majorBidi"/>
        </w:rPr>
        <w:t>ed</w:t>
      </w:r>
      <w:r w:rsidR="001E4276" w:rsidRPr="00433908">
        <w:rPr>
          <w:rFonts w:asciiTheme="majorBidi" w:hAnsiTheme="majorBidi" w:cstheme="majorBidi"/>
        </w:rPr>
        <w:t xml:space="preserve"> to stock acquisition</w:t>
      </w:r>
      <w:r w:rsidR="004D3641">
        <w:rPr>
          <w:rFonts w:asciiTheme="majorBidi" w:hAnsiTheme="majorBidi" w:cstheme="majorBidi"/>
        </w:rPr>
        <w:t>s</w:t>
      </w:r>
      <w:r w:rsidR="001E4276" w:rsidRPr="00433908">
        <w:rPr>
          <w:rFonts w:asciiTheme="majorBidi" w:hAnsiTheme="majorBidi" w:cstheme="majorBidi"/>
        </w:rPr>
        <w:t xml:space="preserve"> that </w:t>
      </w:r>
      <w:r w:rsidR="00AD6864" w:rsidRPr="00433908">
        <w:rPr>
          <w:rFonts w:asciiTheme="majorBidi" w:hAnsiTheme="majorBidi" w:cstheme="majorBidi"/>
        </w:rPr>
        <w:t xml:space="preserve">afford </w:t>
      </w:r>
      <w:r w:rsidR="00356218" w:rsidRPr="00433908">
        <w:rPr>
          <w:rFonts w:asciiTheme="majorBidi" w:hAnsiTheme="majorBidi" w:cstheme="majorBidi"/>
        </w:rPr>
        <w:t xml:space="preserve">shareholders </w:t>
      </w:r>
      <w:r w:rsidR="00AD6864" w:rsidRPr="00433908">
        <w:rPr>
          <w:rFonts w:asciiTheme="majorBidi" w:hAnsiTheme="majorBidi" w:cstheme="majorBidi"/>
        </w:rPr>
        <w:t xml:space="preserve">additional opportunities to </w:t>
      </w:r>
      <w:r w:rsidR="00356218" w:rsidRPr="00433908">
        <w:rPr>
          <w:rFonts w:asciiTheme="majorBidi" w:hAnsiTheme="majorBidi" w:cstheme="majorBidi"/>
        </w:rPr>
        <w:t>inhibit competition</w:t>
      </w:r>
      <w:r w:rsidR="00AD6864" w:rsidRPr="00433908">
        <w:rPr>
          <w:rFonts w:asciiTheme="majorBidi" w:hAnsiTheme="majorBidi" w:cstheme="majorBidi"/>
        </w:rPr>
        <w:t>, whether by delivering information from one firm to the other</w:t>
      </w:r>
      <w:r w:rsidR="00BC0A34" w:rsidRPr="00433908">
        <w:rPr>
          <w:rFonts w:asciiTheme="majorBidi" w:hAnsiTheme="majorBidi" w:cstheme="majorBidi"/>
        </w:rPr>
        <w:t xml:space="preserve">, </w:t>
      </w:r>
      <w:r w:rsidR="00AD6864" w:rsidRPr="00433908">
        <w:rPr>
          <w:rFonts w:asciiTheme="majorBidi" w:hAnsiTheme="majorBidi" w:cstheme="majorBidi"/>
        </w:rPr>
        <w:t>explicitly coordinating between the two</w:t>
      </w:r>
      <w:r w:rsidR="004D3641">
        <w:rPr>
          <w:rFonts w:asciiTheme="majorBidi" w:hAnsiTheme="majorBidi" w:cstheme="majorBidi"/>
        </w:rPr>
        <w:t xml:space="preserve"> firms</w:t>
      </w:r>
      <w:r w:rsidR="00BC0A34" w:rsidRPr="00433908">
        <w:rPr>
          <w:rFonts w:asciiTheme="majorBidi" w:hAnsiTheme="majorBidi" w:cstheme="majorBidi"/>
        </w:rPr>
        <w:t>,</w:t>
      </w:r>
      <w:r w:rsidR="00AD6864" w:rsidRPr="00433908">
        <w:rPr>
          <w:rFonts w:asciiTheme="majorBidi" w:hAnsiTheme="majorBidi" w:cstheme="majorBidi"/>
        </w:rPr>
        <w:t xml:space="preserve"> or by instructing management to </w:t>
      </w:r>
      <w:r w:rsidR="004D3641">
        <w:rPr>
          <w:rFonts w:asciiTheme="majorBidi" w:hAnsiTheme="majorBidi" w:cstheme="majorBidi"/>
        </w:rPr>
        <w:t xml:space="preserve">explicitly </w:t>
      </w:r>
      <w:r w:rsidR="00AD6864" w:rsidRPr="00433908">
        <w:rPr>
          <w:rFonts w:asciiTheme="majorBidi" w:hAnsiTheme="majorBidi" w:cstheme="majorBidi"/>
        </w:rPr>
        <w:t>coordinate</w:t>
      </w:r>
      <w:r w:rsidR="001E4276" w:rsidRPr="00433908">
        <w:rPr>
          <w:rFonts w:asciiTheme="majorBidi" w:hAnsiTheme="majorBidi" w:cstheme="majorBidi"/>
        </w:rPr>
        <w:t>.</w:t>
      </w:r>
    </w:p>
    <w:p w14:paraId="1273B5D7" w14:textId="77777777" w:rsidR="00083695" w:rsidRPr="00433908" w:rsidRDefault="00083695" w:rsidP="005C66C9">
      <w:pPr>
        <w:jc w:val="both"/>
        <w:rPr>
          <w:rFonts w:asciiTheme="majorBidi" w:hAnsiTheme="majorBidi" w:cstheme="majorBidi"/>
        </w:rPr>
      </w:pPr>
    </w:p>
    <w:p w14:paraId="49D1A54E" w14:textId="79A23064" w:rsidR="001E4276" w:rsidRPr="00433908" w:rsidRDefault="00F87DDF" w:rsidP="00BC0A34">
      <w:pPr>
        <w:jc w:val="both"/>
        <w:rPr>
          <w:rFonts w:asciiTheme="majorBidi" w:hAnsiTheme="majorBidi" w:cstheme="majorBidi"/>
        </w:rPr>
      </w:pPr>
      <w:r w:rsidRPr="00433908">
        <w:rPr>
          <w:rFonts w:asciiTheme="majorBidi" w:hAnsiTheme="majorBidi" w:cstheme="majorBidi"/>
        </w:rPr>
        <w:t>The problem, however, is that the application of an</w:t>
      </w:r>
      <w:r w:rsidR="004737C1" w:rsidRPr="00433908">
        <w:rPr>
          <w:rFonts w:asciiTheme="majorBidi" w:hAnsiTheme="majorBidi" w:cstheme="majorBidi"/>
        </w:rPr>
        <w:t>titrust law to passive cross</w:t>
      </w:r>
      <w:r w:rsidR="00BC0A34" w:rsidRPr="00433908">
        <w:rPr>
          <w:rFonts w:asciiTheme="majorBidi" w:hAnsiTheme="majorBidi" w:cstheme="majorBidi"/>
        </w:rPr>
        <w:t xml:space="preserve"> ownership</w:t>
      </w:r>
      <w:r w:rsidR="004737C1" w:rsidRPr="00433908">
        <w:rPr>
          <w:rFonts w:asciiTheme="majorBidi" w:hAnsiTheme="majorBidi" w:cstheme="majorBidi"/>
        </w:rPr>
        <w:t xml:space="preserve"> </w:t>
      </w:r>
      <w:r w:rsidR="00AD6864" w:rsidRPr="00433908">
        <w:rPr>
          <w:rFonts w:asciiTheme="majorBidi" w:hAnsiTheme="majorBidi" w:cstheme="majorBidi"/>
        </w:rPr>
        <w:t xml:space="preserve">has </w:t>
      </w:r>
      <w:r w:rsidRPr="00433908">
        <w:rPr>
          <w:rFonts w:asciiTheme="majorBidi" w:hAnsiTheme="majorBidi" w:cstheme="majorBidi"/>
        </w:rPr>
        <w:t xml:space="preserve">a significant </w:t>
      </w:r>
      <w:r w:rsidR="001E4276" w:rsidRPr="00433908">
        <w:rPr>
          <w:rFonts w:asciiTheme="majorBidi" w:hAnsiTheme="majorBidi" w:cstheme="majorBidi"/>
        </w:rPr>
        <w:t>social cost</w:t>
      </w:r>
      <w:r w:rsidR="003464F3" w:rsidRPr="00433908">
        <w:rPr>
          <w:rFonts w:asciiTheme="majorBidi" w:hAnsiTheme="majorBidi" w:cstheme="majorBidi"/>
        </w:rPr>
        <w:t xml:space="preserve"> on the one hand</w:t>
      </w:r>
      <w:r w:rsidR="001E4276" w:rsidRPr="00433908">
        <w:rPr>
          <w:rFonts w:asciiTheme="majorBidi" w:hAnsiTheme="majorBidi" w:cstheme="majorBidi"/>
        </w:rPr>
        <w:t xml:space="preserve">, and </w:t>
      </w:r>
      <w:r w:rsidR="004737C1" w:rsidRPr="00433908">
        <w:rPr>
          <w:rFonts w:asciiTheme="majorBidi" w:hAnsiTheme="majorBidi" w:cstheme="majorBidi"/>
        </w:rPr>
        <w:t xml:space="preserve">is </w:t>
      </w:r>
      <w:r w:rsidR="00D00766" w:rsidRPr="00433908">
        <w:rPr>
          <w:rFonts w:asciiTheme="majorBidi" w:hAnsiTheme="majorBidi" w:cstheme="majorBidi"/>
        </w:rPr>
        <w:t xml:space="preserve">redundant in </w:t>
      </w:r>
      <w:r w:rsidR="004737C1" w:rsidRPr="00433908">
        <w:rPr>
          <w:rFonts w:asciiTheme="majorBidi" w:hAnsiTheme="majorBidi" w:cstheme="majorBidi"/>
        </w:rPr>
        <w:t>address</w:t>
      </w:r>
      <w:r w:rsidR="00D00766" w:rsidRPr="00433908">
        <w:rPr>
          <w:rFonts w:asciiTheme="majorBidi" w:hAnsiTheme="majorBidi" w:cstheme="majorBidi"/>
        </w:rPr>
        <w:t>ing</w:t>
      </w:r>
      <w:r w:rsidR="004737C1" w:rsidRPr="00433908">
        <w:rPr>
          <w:rFonts w:asciiTheme="majorBidi" w:hAnsiTheme="majorBidi" w:cstheme="majorBidi"/>
        </w:rPr>
        <w:t xml:space="preserve"> the competitive concerns </w:t>
      </w:r>
      <w:r w:rsidR="001E4276" w:rsidRPr="00433908">
        <w:rPr>
          <w:rFonts w:asciiTheme="majorBidi" w:hAnsiTheme="majorBidi" w:cstheme="majorBidi"/>
        </w:rPr>
        <w:t>on the other.</w:t>
      </w:r>
    </w:p>
    <w:p w14:paraId="7C13B2DF" w14:textId="77777777" w:rsidR="00083695" w:rsidRPr="00433908" w:rsidRDefault="00083695" w:rsidP="00083695">
      <w:pPr>
        <w:jc w:val="both"/>
        <w:rPr>
          <w:rFonts w:asciiTheme="majorBidi" w:hAnsiTheme="majorBidi" w:cstheme="majorBidi"/>
        </w:rPr>
      </w:pPr>
    </w:p>
    <w:p w14:paraId="4DB32472" w14:textId="6EE1D18F" w:rsidR="00F87DDF" w:rsidRPr="00433908" w:rsidRDefault="001E4276" w:rsidP="00BC0A34">
      <w:pPr>
        <w:jc w:val="both"/>
        <w:rPr>
          <w:rFonts w:asciiTheme="majorBidi" w:hAnsiTheme="majorBidi" w:cstheme="majorBidi"/>
        </w:rPr>
      </w:pPr>
      <w:r w:rsidRPr="00433908">
        <w:rPr>
          <w:rFonts w:asciiTheme="majorBidi" w:hAnsiTheme="majorBidi" w:cstheme="majorBidi"/>
        </w:rPr>
        <w:t xml:space="preserve">First, on the </w:t>
      </w:r>
      <w:r w:rsidR="00EB6E51" w:rsidRPr="00433908">
        <w:rPr>
          <w:rFonts w:asciiTheme="majorBidi" w:hAnsiTheme="majorBidi" w:cstheme="majorBidi"/>
        </w:rPr>
        <w:t xml:space="preserve">social </w:t>
      </w:r>
      <w:r w:rsidRPr="00433908">
        <w:rPr>
          <w:rFonts w:asciiTheme="majorBidi" w:hAnsiTheme="majorBidi" w:cstheme="majorBidi"/>
        </w:rPr>
        <w:t xml:space="preserve">cost side </w:t>
      </w:r>
      <w:r w:rsidR="00F87DDF" w:rsidRPr="00433908">
        <w:rPr>
          <w:rFonts w:asciiTheme="majorBidi" w:hAnsiTheme="majorBidi" w:cstheme="majorBidi"/>
        </w:rPr>
        <w:t xml:space="preserve">– </w:t>
      </w:r>
      <w:r w:rsidR="00EB6E51" w:rsidRPr="00433908">
        <w:rPr>
          <w:rFonts w:asciiTheme="majorBidi" w:hAnsiTheme="majorBidi" w:cstheme="majorBidi"/>
        </w:rPr>
        <w:t xml:space="preserve">a rule regulating </w:t>
      </w:r>
      <w:r w:rsidR="001D28B8" w:rsidRPr="00433908">
        <w:rPr>
          <w:rFonts w:asciiTheme="majorBidi" w:hAnsiTheme="majorBidi" w:cstheme="majorBidi"/>
        </w:rPr>
        <w:t>institutional investors’ ability to diversify their portfolio will</w:t>
      </w:r>
      <w:r w:rsidR="005C66C9" w:rsidRPr="00433908">
        <w:rPr>
          <w:rFonts w:asciiTheme="majorBidi" w:hAnsiTheme="majorBidi" w:cstheme="majorBidi"/>
        </w:rPr>
        <w:t xml:space="preserve"> impact the degree of </w:t>
      </w:r>
      <w:r w:rsidR="00F87DDF" w:rsidRPr="00433908">
        <w:rPr>
          <w:rFonts w:asciiTheme="majorBidi" w:hAnsiTheme="majorBidi" w:cstheme="majorBidi"/>
        </w:rPr>
        <w:t xml:space="preserve">diversification, </w:t>
      </w:r>
      <w:r w:rsidR="005C66C9" w:rsidRPr="00433908">
        <w:rPr>
          <w:rFonts w:asciiTheme="majorBidi" w:hAnsiTheme="majorBidi" w:cstheme="majorBidi"/>
        </w:rPr>
        <w:t xml:space="preserve">which is an important social tool. It increases institutional investors’ (and through them, retail investors’) exposure to firm-specific idiosyncratic risk. Posner </w:t>
      </w:r>
      <w:r w:rsidR="00DC47C4" w:rsidRPr="00433908">
        <w:rPr>
          <w:rFonts w:asciiTheme="majorBidi" w:hAnsiTheme="majorBidi" w:cstheme="majorBidi"/>
        </w:rPr>
        <w:t>et al.</w:t>
      </w:r>
      <w:r w:rsidR="005C66C9" w:rsidRPr="00433908">
        <w:rPr>
          <w:rFonts w:asciiTheme="majorBidi" w:hAnsiTheme="majorBidi" w:cstheme="majorBidi"/>
        </w:rPr>
        <w:t xml:space="preserve"> have</w:t>
      </w:r>
      <w:r w:rsidR="00D00766" w:rsidRPr="00433908">
        <w:rPr>
          <w:rFonts w:asciiTheme="majorBidi" w:hAnsiTheme="majorBidi" w:cstheme="majorBidi"/>
        </w:rPr>
        <w:t xml:space="preserve"> </w:t>
      </w:r>
      <w:r w:rsidR="005C66C9" w:rsidRPr="00433908">
        <w:rPr>
          <w:rFonts w:asciiTheme="majorBidi" w:hAnsiTheme="majorBidi" w:cstheme="majorBidi"/>
        </w:rPr>
        <w:t xml:space="preserve">proposed limiting institutional investors’ holdings in oligopolistic </w:t>
      </w:r>
      <w:r w:rsidR="00E7552C" w:rsidRPr="00433908">
        <w:rPr>
          <w:rFonts w:asciiTheme="majorBidi" w:hAnsiTheme="majorBidi" w:cstheme="majorBidi"/>
        </w:rPr>
        <w:t>industries</w:t>
      </w:r>
      <w:r w:rsidR="005C66C9" w:rsidRPr="00433908">
        <w:rPr>
          <w:rFonts w:asciiTheme="majorBidi" w:hAnsiTheme="majorBidi" w:cstheme="majorBidi"/>
        </w:rPr>
        <w:t xml:space="preserve"> by either allowing institutional investors to </w:t>
      </w:r>
      <w:r w:rsidR="00BC0A34" w:rsidRPr="00433908">
        <w:rPr>
          <w:rFonts w:asciiTheme="majorBidi" w:hAnsiTheme="majorBidi" w:cstheme="majorBidi"/>
        </w:rPr>
        <w:t>own</w:t>
      </w:r>
      <w:r w:rsidR="005C66C9" w:rsidRPr="00433908">
        <w:rPr>
          <w:rFonts w:asciiTheme="majorBidi" w:hAnsiTheme="majorBidi" w:cstheme="majorBidi"/>
        </w:rPr>
        <w:t xml:space="preserve"> stock of only one firm in an oligopoly, or by limiting the holdings in each of the firms</w:t>
      </w:r>
      <w:r w:rsidR="005103E7" w:rsidRPr="00433908">
        <w:rPr>
          <w:rFonts w:asciiTheme="majorBidi" w:hAnsiTheme="majorBidi" w:cstheme="majorBidi"/>
        </w:rPr>
        <w:t xml:space="preserve"> to</w:t>
      </w:r>
      <w:r w:rsidR="00356218" w:rsidRPr="00433908">
        <w:rPr>
          <w:rFonts w:asciiTheme="majorBidi" w:hAnsiTheme="majorBidi" w:cstheme="majorBidi"/>
        </w:rPr>
        <w:t xml:space="preserve"> a total of</w:t>
      </w:r>
      <w:r w:rsidR="005103E7" w:rsidRPr="00433908">
        <w:rPr>
          <w:rFonts w:asciiTheme="majorBidi" w:hAnsiTheme="majorBidi" w:cstheme="majorBidi"/>
        </w:rPr>
        <w:t xml:space="preserve"> 1% of </w:t>
      </w:r>
      <w:r w:rsidR="00356218" w:rsidRPr="00433908">
        <w:rPr>
          <w:rFonts w:asciiTheme="majorBidi" w:hAnsiTheme="majorBidi" w:cstheme="majorBidi"/>
        </w:rPr>
        <w:t>the value of the industry</w:t>
      </w:r>
      <w:r w:rsidR="005C66C9" w:rsidRPr="00433908">
        <w:rPr>
          <w:rFonts w:asciiTheme="majorBidi" w:hAnsiTheme="majorBidi" w:cstheme="majorBidi"/>
        </w:rPr>
        <w:t>.</w:t>
      </w:r>
      <w:r w:rsidR="00855B1A" w:rsidRPr="00433908">
        <w:rPr>
          <w:rStyle w:val="FootnoteReference"/>
          <w:rFonts w:asciiTheme="majorBidi" w:hAnsiTheme="majorBidi" w:cstheme="majorBidi"/>
        </w:rPr>
        <w:footnoteReference w:id="129"/>
      </w:r>
      <w:r w:rsidR="004372F9" w:rsidRPr="00433908">
        <w:rPr>
          <w:rFonts w:asciiTheme="majorBidi" w:hAnsiTheme="majorBidi" w:cstheme="majorBidi"/>
        </w:rPr>
        <w:t xml:space="preserve"> The first of these clearly </w:t>
      </w:r>
      <w:r w:rsidR="00FE5ABF" w:rsidRPr="00433908">
        <w:rPr>
          <w:rFonts w:asciiTheme="majorBidi" w:hAnsiTheme="majorBidi" w:cstheme="majorBidi"/>
        </w:rPr>
        <w:t xml:space="preserve">results in reduced diversification. The second limits the total amount any institutional investor may invest in a specific </w:t>
      </w:r>
      <w:r w:rsidR="003464F3" w:rsidRPr="00433908">
        <w:rPr>
          <w:rFonts w:asciiTheme="majorBidi" w:hAnsiTheme="majorBidi" w:cstheme="majorBidi"/>
        </w:rPr>
        <w:t xml:space="preserve">(oligopolistic) </w:t>
      </w:r>
      <w:r w:rsidR="00FE5ABF" w:rsidRPr="00433908">
        <w:rPr>
          <w:rFonts w:asciiTheme="majorBidi" w:hAnsiTheme="majorBidi" w:cstheme="majorBidi"/>
        </w:rPr>
        <w:t xml:space="preserve">industry, </w:t>
      </w:r>
      <w:r w:rsidR="00D00766" w:rsidRPr="00433908">
        <w:rPr>
          <w:rFonts w:asciiTheme="majorBidi" w:hAnsiTheme="majorBidi" w:cstheme="majorBidi"/>
        </w:rPr>
        <w:t xml:space="preserve">which </w:t>
      </w:r>
      <w:r w:rsidR="00855B1A" w:rsidRPr="00433908">
        <w:rPr>
          <w:rFonts w:asciiTheme="majorBidi" w:hAnsiTheme="majorBidi" w:cstheme="majorBidi"/>
        </w:rPr>
        <w:t xml:space="preserve">imposes </w:t>
      </w:r>
      <w:r w:rsidR="00D00766" w:rsidRPr="00433908">
        <w:rPr>
          <w:rFonts w:asciiTheme="majorBidi" w:hAnsiTheme="majorBidi" w:cstheme="majorBidi"/>
        </w:rPr>
        <w:t xml:space="preserve">a social cost </w:t>
      </w:r>
      <w:r w:rsidR="00855B1A" w:rsidRPr="00433908">
        <w:rPr>
          <w:rFonts w:asciiTheme="majorBidi" w:hAnsiTheme="majorBidi" w:cstheme="majorBidi"/>
        </w:rPr>
        <w:t xml:space="preserve">borne by </w:t>
      </w:r>
      <w:r w:rsidR="00D00766" w:rsidRPr="00433908">
        <w:rPr>
          <w:rFonts w:asciiTheme="majorBidi" w:hAnsiTheme="majorBidi" w:cstheme="majorBidi"/>
        </w:rPr>
        <w:t xml:space="preserve">both sides </w:t>
      </w:r>
      <w:r w:rsidR="009E2CA5" w:rsidRPr="00433908">
        <w:rPr>
          <w:rFonts w:asciiTheme="majorBidi" w:hAnsiTheme="majorBidi" w:cstheme="majorBidi"/>
        </w:rPr>
        <w:t>of the investment transaction:</w:t>
      </w:r>
      <w:r w:rsidR="00D00766" w:rsidRPr="00433908">
        <w:rPr>
          <w:rFonts w:asciiTheme="majorBidi" w:hAnsiTheme="majorBidi" w:cstheme="majorBidi"/>
        </w:rPr>
        <w:t xml:space="preserve"> institutional investors are forced to invest significantly larger portions of their portfolio in less appealing </w:t>
      </w:r>
      <w:r w:rsidR="003464F3" w:rsidRPr="00433908">
        <w:rPr>
          <w:rFonts w:asciiTheme="majorBidi" w:hAnsiTheme="majorBidi" w:cstheme="majorBidi"/>
        </w:rPr>
        <w:t>opportunities</w:t>
      </w:r>
      <w:r w:rsidR="00D00766" w:rsidRPr="00433908">
        <w:rPr>
          <w:rFonts w:asciiTheme="majorBidi" w:hAnsiTheme="majorBidi" w:cstheme="majorBidi"/>
        </w:rPr>
        <w:t>, and oligopolistic-product-market firms are denied access to capital which would otherwise have been forthcoming.</w:t>
      </w:r>
      <w:r w:rsidR="00855B1A" w:rsidRPr="00433908">
        <w:rPr>
          <w:rFonts w:asciiTheme="majorBidi" w:hAnsiTheme="majorBidi" w:cstheme="majorBidi"/>
        </w:rPr>
        <w:t xml:space="preserve"> Posner et al. acknowledge that their proposal has a negative impact on diversification.</w:t>
      </w:r>
      <w:r w:rsidR="00CC1E82" w:rsidRPr="00433908">
        <w:rPr>
          <w:rStyle w:val="FootnoteReference"/>
          <w:rFonts w:asciiTheme="majorBidi" w:hAnsiTheme="majorBidi" w:cstheme="majorBidi"/>
        </w:rPr>
        <w:footnoteReference w:id="130"/>
      </w:r>
      <w:r w:rsidR="00855B1A" w:rsidRPr="00433908">
        <w:rPr>
          <w:rFonts w:asciiTheme="majorBidi" w:hAnsiTheme="majorBidi" w:cstheme="majorBidi"/>
        </w:rPr>
        <w:t xml:space="preserve"> They </w:t>
      </w:r>
      <w:r w:rsidR="00CC1E82" w:rsidRPr="00433908">
        <w:rPr>
          <w:rFonts w:asciiTheme="majorBidi" w:hAnsiTheme="majorBidi" w:cstheme="majorBidi"/>
        </w:rPr>
        <w:t>argue</w:t>
      </w:r>
      <w:r w:rsidR="00855B1A" w:rsidRPr="00433908">
        <w:rPr>
          <w:rFonts w:asciiTheme="majorBidi" w:hAnsiTheme="majorBidi" w:cstheme="majorBidi"/>
        </w:rPr>
        <w:t xml:space="preserve"> that th</w:t>
      </w:r>
      <w:r w:rsidR="00CC1E82" w:rsidRPr="00433908">
        <w:rPr>
          <w:rFonts w:asciiTheme="majorBidi" w:hAnsiTheme="majorBidi" w:cstheme="majorBidi"/>
        </w:rPr>
        <w:t>e size of the effect on diver</w:t>
      </w:r>
      <w:r w:rsidR="00855B1A" w:rsidRPr="00433908">
        <w:rPr>
          <w:rFonts w:asciiTheme="majorBidi" w:hAnsiTheme="majorBidi" w:cstheme="majorBidi"/>
        </w:rPr>
        <w:t>s</w:t>
      </w:r>
      <w:r w:rsidR="00CC1E82" w:rsidRPr="00433908">
        <w:rPr>
          <w:rFonts w:asciiTheme="majorBidi" w:hAnsiTheme="majorBidi" w:cstheme="majorBidi"/>
        </w:rPr>
        <w:t>ification would be limited</w:t>
      </w:r>
      <w:r w:rsidR="00F73789" w:rsidRPr="00433908">
        <w:rPr>
          <w:rFonts w:asciiTheme="majorBidi" w:hAnsiTheme="majorBidi" w:cstheme="majorBidi"/>
        </w:rPr>
        <w:t>,</w:t>
      </w:r>
      <w:r w:rsidR="00FD5420" w:rsidRPr="00433908">
        <w:rPr>
          <w:rFonts w:asciiTheme="majorBidi" w:hAnsiTheme="majorBidi" w:cstheme="majorBidi"/>
        </w:rPr>
        <w:t xml:space="preserve"> </w:t>
      </w:r>
      <w:r w:rsidR="00F73789" w:rsidRPr="00433908">
        <w:rPr>
          <w:rFonts w:asciiTheme="majorBidi" w:hAnsiTheme="majorBidi" w:cstheme="majorBidi"/>
        </w:rPr>
        <w:t>r</w:t>
      </w:r>
      <w:r w:rsidR="00FD5420" w:rsidRPr="00433908">
        <w:rPr>
          <w:rFonts w:asciiTheme="majorBidi" w:hAnsiTheme="majorBidi" w:cstheme="majorBidi"/>
        </w:rPr>
        <w:t>elying on one Article on the topic</w:t>
      </w:r>
      <w:r w:rsidR="00FD5420" w:rsidRPr="00433908">
        <w:rPr>
          <w:rStyle w:val="FootnoteReference"/>
          <w:rFonts w:asciiTheme="majorBidi" w:hAnsiTheme="majorBidi" w:cstheme="majorBidi"/>
        </w:rPr>
        <w:footnoteReference w:id="131"/>
      </w:r>
      <w:r w:rsidR="00FD5420" w:rsidRPr="00433908">
        <w:rPr>
          <w:rFonts w:asciiTheme="majorBidi" w:hAnsiTheme="majorBidi" w:cstheme="majorBidi"/>
        </w:rPr>
        <w:t xml:space="preserve"> </w:t>
      </w:r>
      <w:r w:rsidR="00BC0A34" w:rsidRPr="00433908">
        <w:rPr>
          <w:rFonts w:asciiTheme="majorBidi" w:hAnsiTheme="majorBidi" w:cstheme="majorBidi"/>
        </w:rPr>
        <w:t xml:space="preserve">which </w:t>
      </w:r>
      <w:r w:rsidR="00FD5420" w:rsidRPr="00433908">
        <w:rPr>
          <w:rFonts w:asciiTheme="majorBidi" w:hAnsiTheme="majorBidi" w:cstheme="majorBidi"/>
        </w:rPr>
        <w:t>explain</w:t>
      </w:r>
      <w:r w:rsidR="00BC0A34" w:rsidRPr="00433908">
        <w:rPr>
          <w:rFonts w:asciiTheme="majorBidi" w:hAnsiTheme="majorBidi" w:cstheme="majorBidi"/>
        </w:rPr>
        <w:t>s</w:t>
      </w:r>
      <w:r w:rsidR="00FD5420" w:rsidRPr="00433908">
        <w:rPr>
          <w:rFonts w:asciiTheme="majorBidi" w:hAnsiTheme="majorBidi" w:cstheme="majorBidi"/>
        </w:rPr>
        <w:t xml:space="preserve"> that a </w:t>
      </w:r>
      <w:r w:rsidR="004740C8" w:rsidRPr="00433908">
        <w:rPr>
          <w:rFonts w:asciiTheme="majorBidi" w:hAnsiTheme="majorBidi" w:cstheme="majorBidi"/>
        </w:rPr>
        <w:t xml:space="preserve">reduction of more than </w:t>
      </w:r>
      <w:r w:rsidR="00FD5420" w:rsidRPr="00433908">
        <w:rPr>
          <w:rFonts w:asciiTheme="majorBidi" w:hAnsiTheme="majorBidi" w:cstheme="majorBidi"/>
        </w:rPr>
        <w:t xml:space="preserve">90% in the standard deviation of a portfolio </w:t>
      </w:r>
      <w:r w:rsidR="004740C8" w:rsidRPr="00433908">
        <w:rPr>
          <w:rFonts w:asciiTheme="majorBidi" w:hAnsiTheme="majorBidi" w:cstheme="majorBidi"/>
        </w:rPr>
        <w:t xml:space="preserve">can be achieved by randomly selecting one stock from each industry. </w:t>
      </w:r>
      <w:r w:rsidR="008257ED" w:rsidRPr="00433908">
        <w:rPr>
          <w:rFonts w:asciiTheme="majorBidi" w:hAnsiTheme="majorBidi" w:cstheme="majorBidi"/>
        </w:rPr>
        <w:t xml:space="preserve">They further explain that the actual effect of their proposal on diversification may be even less </w:t>
      </w:r>
      <w:r w:rsidR="00AF62E5" w:rsidRPr="00433908">
        <w:rPr>
          <w:rFonts w:asciiTheme="majorBidi" w:hAnsiTheme="majorBidi" w:cstheme="majorBidi"/>
        </w:rPr>
        <w:t>pronounced, due to a host of reasons.</w:t>
      </w:r>
      <w:r w:rsidR="00AF62E5" w:rsidRPr="00433908">
        <w:rPr>
          <w:rStyle w:val="FootnoteReference"/>
          <w:rFonts w:asciiTheme="majorBidi" w:hAnsiTheme="majorBidi" w:cstheme="majorBidi"/>
        </w:rPr>
        <w:footnoteReference w:id="132"/>
      </w:r>
      <w:r w:rsidR="00AF62E5" w:rsidRPr="00433908">
        <w:rPr>
          <w:rFonts w:asciiTheme="majorBidi" w:hAnsiTheme="majorBidi" w:cstheme="majorBidi"/>
        </w:rPr>
        <w:t xml:space="preserve"> </w:t>
      </w:r>
      <w:r w:rsidR="004740C8" w:rsidRPr="00433908">
        <w:rPr>
          <w:rFonts w:asciiTheme="majorBidi" w:hAnsiTheme="majorBidi" w:cstheme="majorBidi"/>
        </w:rPr>
        <w:t xml:space="preserve">But </w:t>
      </w:r>
      <w:r w:rsidR="00AF62E5" w:rsidRPr="00433908">
        <w:rPr>
          <w:rFonts w:asciiTheme="majorBidi" w:hAnsiTheme="majorBidi" w:cstheme="majorBidi"/>
        </w:rPr>
        <w:t xml:space="preserve">even if the effect on </w:t>
      </w:r>
      <w:r w:rsidR="00AF62E5" w:rsidRPr="00433908">
        <w:rPr>
          <w:rFonts w:asciiTheme="majorBidi" w:hAnsiTheme="majorBidi" w:cstheme="majorBidi"/>
        </w:rPr>
        <w:lastRenderedPageBreak/>
        <w:t>diversification is limited, it nonetheless exists. The diversification and discretion of the investors through whom the vast majority of investors are exposed to the stock market, is curtailed. And this will affect near</w:t>
      </w:r>
      <w:r w:rsidR="00BC0A34" w:rsidRPr="00433908">
        <w:rPr>
          <w:rFonts w:asciiTheme="majorBidi" w:hAnsiTheme="majorBidi" w:cstheme="majorBidi"/>
        </w:rPr>
        <w:t>ly $20 trillion of investments.</w:t>
      </w:r>
    </w:p>
    <w:p w14:paraId="43E198A9" w14:textId="77777777" w:rsidR="003464F3" w:rsidRPr="00433908" w:rsidRDefault="003464F3" w:rsidP="003464F3">
      <w:pPr>
        <w:jc w:val="both"/>
        <w:rPr>
          <w:rFonts w:asciiTheme="majorBidi" w:hAnsiTheme="majorBidi" w:cstheme="majorBidi"/>
        </w:rPr>
      </w:pPr>
    </w:p>
    <w:p w14:paraId="079A4630" w14:textId="458C6EFB" w:rsidR="004613FB" w:rsidRDefault="003464F3" w:rsidP="00887E7A">
      <w:pPr>
        <w:jc w:val="both"/>
        <w:rPr>
          <w:rFonts w:asciiTheme="majorBidi" w:hAnsiTheme="majorBidi" w:cstheme="majorBidi"/>
        </w:rPr>
      </w:pPr>
      <w:r w:rsidRPr="00433908">
        <w:rPr>
          <w:rFonts w:asciiTheme="majorBidi" w:hAnsiTheme="majorBidi" w:cstheme="majorBidi"/>
        </w:rPr>
        <w:t xml:space="preserve">Second, on the advantage side of applying </w:t>
      </w:r>
      <w:r w:rsidR="009611AD" w:rsidRPr="00433908">
        <w:rPr>
          <w:rFonts w:asciiTheme="majorBidi" w:hAnsiTheme="majorBidi" w:cstheme="majorBidi"/>
        </w:rPr>
        <w:t xml:space="preserve">the Clayton Act </w:t>
      </w:r>
      <w:r w:rsidRPr="00433908">
        <w:rPr>
          <w:rFonts w:asciiTheme="majorBidi" w:hAnsiTheme="majorBidi" w:cstheme="majorBidi"/>
        </w:rPr>
        <w:t>to this setting</w:t>
      </w:r>
      <w:r w:rsidR="009611AD" w:rsidRPr="00433908">
        <w:rPr>
          <w:rFonts w:asciiTheme="majorBidi" w:hAnsiTheme="majorBidi" w:cstheme="majorBidi"/>
        </w:rPr>
        <w:t xml:space="preserve"> – virtually nothing can </w:t>
      </w:r>
      <w:r w:rsidR="00887E7A">
        <w:rPr>
          <w:rFonts w:asciiTheme="majorBidi" w:hAnsiTheme="majorBidi" w:cstheme="majorBidi"/>
        </w:rPr>
        <w:t xml:space="preserve">from </w:t>
      </w:r>
      <w:r w:rsidR="00F0612A" w:rsidRPr="00433908">
        <w:rPr>
          <w:rFonts w:asciiTheme="majorBidi" w:hAnsiTheme="majorBidi" w:cstheme="majorBidi"/>
        </w:rPr>
        <w:t xml:space="preserve">such </w:t>
      </w:r>
      <w:r w:rsidR="009611AD" w:rsidRPr="00433908">
        <w:rPr>
          <w:rFonts w:asciiTheme="majorBidi" w:hAnsiTheme="majorBidi" w:cstheme="majorBidi"/>
        </w:rPr>
        <w:t xml:space="preserve">application. </w:t>
      </w:r>
      <w:r w:rsidR="00E02830">
        <w:rPr>
          <w:rFonts w:asciiTheme="majorBidi" w:hAnsiTheme="majorBidi" w:cstheme="majorBidi"/>
        </w:rPr>
        <w:t xml:space="preserve">As cross </w:t>
      </w:r>
      <w:proofErr w:type="gramStart"/>
      <w:r w:rsidR="00E02830">
        <w:rPr>
          <w:rFonts w:asciiTheme="majorBidi" w:hAnsiTheme="majorBidi" w:cstheme="majorBidi"/>
        </w:rPr>
        <w:t>ownership</w:t>
      </w:r>
      <w:proofErr w:type="gramEnd"/>
      <w:r w:rsidR="00E02830">
        <w:rPr>
          <w:rFonts w:asciiTheme="majorBidi" w:hAnsiTheme="majorBidi" w:cstheme="majorBidi"/>
        </w:rPr>
        <w:t xml:space="preserve"> itself does not affect the incentives of management, no spontaneous anti-competitive </w:t>
      </w:r>
      <w:r w:rsidR="00AB1D4E">
        <w:rPr>
          <w:rFonts w:asciiTheme="majorBidi" w:hAnsiTheme="majorBidi" w:cstheme="majorBidi"/>
        </w:rPr>
        <w:t xml:space="preserve">conduct </w:t>
      </w:r>
      <w:r w:rsidR="00E02830">
        <w:rPr>
          <w:rFonts w:asciiTheme="majorBidi" w:hAnsiTheme="majorBidi" w:cstheme="majorBidi"/>
        </w:rPr>
        <w:t xml:space="preserve">can be expected to </w:t>
      </w:r>
      <w:r w:rsidR="00AB1D4E">
        <w:rPr>
          <w:rFonts w:asciiTheme="majorBidi" w:hAnsiTheme="majorBidi" w:cstheme="majorBidi"/>
        </w:rPr>
        <w:t>ensue.</w:t>
      </w:r>
      <w:r w:rsidR="00E02830">
        <w:rPr>
          <w:rFonts w:asciiTheme="majorBidi" w:hAnsiTheme="majorBidi" w:cstheme="majorBidi"/>
        </w:rPr>
        <w:t xml:space="preserve"> </w:t>
      </w:r>
      <w:r w:rsidR="00AB1D4E">
        <w:rPr>
          <w:rFonts w:asciiTheme="majorBidi" w:hAnsiTheme="majorBidi" w:cstheme="majorBidi"/>
        </w:rPr>
        <w:t>C</w:t>
      </w:r>
      <w:r w:rsidR="00E02830">
        <w:rPr>
          <w:rFonts w:asciiTheme="majorBidi" w:hAnsiTheme="majorBidi" w:cstheme="majorBidi"/>
        </w:rPr>
        <w:t xml:space="preserve">ompetition </w:t>
      </w:r>
      <w:r w:rsidR="00AB1D4E">
        <w:rPr>
          <w:rFonts w:asciiTheme="majorBidi" w:hAnsiTheme="majorBidi" w:cstheme="majorBidi"/>
        </w:rPr>
        <w:t xml:space="preserve">may be inhibited </w:t>
      </w:r>
      <w:r w:rsidR="00E02830">
        <w:rPr>
          <w:rFonts w:asciiTheme="majorBidi" w:hAnsiTheme="majorBidi" w:cstheme="majorBidi"/>
        </w:rPr>
        <w:t xml:space="preserve">only </w:t>
      </w:r>
      <w:r w:rsidR="00AB1D4E">
        <w:rPr>
          <w:rFonts w:asciiTheme="majorBidi" w:hAnsiTheme="majorBidi" w:cstheme="majorBidi"/>
        </w:rPr>
        <w:t>t</w:t>
      </w:r>
      <w:r w:rsidR="00E7552C" w:rsidRPr="00433908">
        <w:rPr>
          <w:rFonts w:asciiTheme="majorBidi" w:hAnsiTheme="majorBidi" w:cstheme="majorBidi"/>
        </w:rPr>
        <w:t>hrough explicit coordination</w:t>
      </w:r>
      <w:r w:rsidR="00E02830">
        <w:rPr>
          <w:rFonts w:asciiTheme="majorBidi" w:hAnsiTheme="majorBidi" w:cstheme="majorBidi"/>
        </w:rPr>
        <w:t xml:space="preserve"> at the managerial level</w:t>
      </w:r>
      <w:r w:rsidR="00E7552C" w:rsidRPr="00433908">
        <w:rPr>
          <w:rFonts w:asciiTheme="majorBidi" w:hAnsiTheme="majorBidi" w:cstheme="majorBidi"/>
        </w:rPr>
        <w:t xml:space="preserve">. </w:t>
      </w:r>
      <w:r w:rsidR="00AB1D4E">
        <w:rPr>
          <w:rFonts w:asciiTheme="majorBidi" w:hAnsiTheme="majorBidi" w:cstheme="majorBidi"/>
        </w:rPr>
        <w:t>Such</w:t>
      </w:r>
      <w:r w:rsidR="00E7552C" w:rsidRPr="00433908">
        <w:rPr>
          <w:rFonts w:asciiTheme="majorBidi" w:hAnsiTheme="majorBidi" w:cstheme="majorBidi"/>
        </w:rPr>
        <w:t xml:space="preserve"> coordination </w:t>
      </w:r>
      <w:r w:rsidR="00E02830">
        <w:rPr>
          <w:rFonts w:asciiTheme="majorBidi" w:hAnsiTheme="majorBidi" w:cstheme="majorBidi"/>
        </w:rPr>
        <w:t xml:space="preserve">already </w:t>
      </w:r>
      <w:r w:rsidR="00E7552C" w:rsidRPr="00433908">
        <w:rPr>
          <w:rFonts w:asciiTheme="majorBidi" w:hAnsiTheme="majorBidi" w:cstheme="majorBidi"/>
        </w:rPr>
        <w:t>runs afoul o</w:t>
      </w:r>
      <w:r w:rsidR="009611AD" w:rsidRPr="00433908">
        <w:rPr>
          <w:rFonts w:asciiTheme="majorBidi" w:hAnsiTheme="majorBidi" w:cstheme="majorBidi"/>
        </w:rPr>
        <w:t xml:space="preserve">f section 1 of the Sherman Act </w:t>
      </w:r>
      <w:r w:rsidR="009611AD" w:rsidRPr="00433908">
        <w:rPr>
          <w:rFonts w:asciiTheme="majorBidi" w:hAnsiTheme="majorBidi" w:cstheme="majorBidi"/>
          <w:i/>
          <w:iCs/>
        </w:rPr>
        <w:t>and</w:t>
      </w:r>
      <w:r w:rsidR="004613FB" w:rsidRPr="00433908">
        <w:rPr>
          <w:rFonts w:asciiTheme="majorBidi" w:hAnsiTheme="majorBidi" w:cstheme="majorBidi"/>
        </w:rPr>
        <w:t xml:space="preserve"> </w:t>
      </w:r>
      <w:r w:rsidR="00AB1D4E">
        <w:rPr>
          <w:rFonts w:asciiTheme="majorBidi" w:hAnsiTheme="majorBidi" w:cstheme="majorBidi"/>
        </w:rPr>
        <w:t xml:space="preserve">of </w:t>
      </w:r>
      <w:r w:rsidR="004613FB" w:rsidRPr="00EF13B1">
        <w:rPr>
          <w:rFonts w:asciiTheme="majorBidi" w:hAnsiTheme="majorBidi" w:cstheme="majorBidi"/>
        </w:rPr>
        <w:t>corporate law.</w:t>
      </w:r>
    </w:p>
    <w:p w14:paraId="7A808F53" w14:textId="77777777" w:rsidR="003B5C6D" w:rsidRDefault="003B5C6D" w:rsidP="00834E10">
      <w:pPr>
        <w:jc w:val="both"/>
        <w:rPr>
          <w:rFonts w:asciiTheme="majorBidi" w:hAnsiTheme="majorBidi" w:cstheme="majorBidi"/>
        </w:rPr>
      </w:pPr>
    </w:p>
    <w:p w14:paraId="58C45B64" w14:textId="3AC16993" w:rsidR="009611AD" w:rsidRPr="00433908" w:rsidRDefault="00834E10" w:rsidP="00E0329F">
      <w:pPr>
        <w:jc w:val="both"/>
        <w:rPr>
          <w:rFonts w:asciiTheme="majorBidi" w:hAnsiTheme="majorBidi" w:cstheme="majorBidi"/>
        </w:rPr>
      </w:pPr>
      <w:r>
        <w:rPr>
          <w:rFonts w:asciiTheme="majorBidi" w:hAnsiTheme="majorBidi" w:cstheme="majorBidi"/>
        </w:rPr>
        <w:t xml:space="preserve">As explained, each institutional investor has opposing preferences with </w:t>
      </w:r>
      <w:r w:rsidR="003B5C6D">
        <w:rPr>
          <w:rFonts w:asciiTheme="majorBidi" w:hAnsiTheme="majorBidi" w:cstheme="majorBidi"/>
        </w:rPr>
        <w:t xml:space="preserve">respect to the unilaterally coordinating </w:t>
      </w:r>
      <w:r w:rsidR="00E0329F">
        <w:rPr>
          <w:rFonts w:asciiTheme="majorBidi" w:hAnsiTheme="majorBidi" w:cstheme="majorBidi"/>
        </w:rPr>
        <w:t>firm. Therefore,</w:t>
      </w:r>
      <w:r w:rsidR="003B5C6D">
        <w:rPr>
          <w:rFonts w:asciiTheme="majorBidi" w:hAnsiTheme="majorBidi" w:cstheme="majorBidi"/>
        </w:rPr>
        <w:t xml:space="preserve"> institutional investors would need to coordinate amongst themselves in order to agree on which firm would unilaterally coordinate. This kind of agreement would itself be an antitrust offense. </w:t>
      </w:r>
      <w:r>
        <w:rPr>
          <w:rFonts w:asciiTheme="majorBidi" w:hAnsiTheme="majorBidi" w:cstheme="majorBidi"/>
        </w:rPr>
        <w:t xml:space="preserve">Even assuming </w:t>
      </w:r>
      <w:r w:rsidR="003B5C6D">
        <w:rPr>
          <w:rFonts w:asciiTheme="majorBidi" w:hAnsiTheme="majorBidi" w:cstheme="majorBidi"/>
        </w:rPr>
        <w:t>such an agreement w</w:t>
      </w:r>
      <w:r w:rsidR="004C5E2E">
        <w:rPr>
          <w:rFonts w:asciiTheme="majorBidi" w:hAnsiTheme="majorBidi" w:cstheme="majorBidi"/>
        </w:rPr>
        <w:t>ere</w:t>
      </w:r>
      <w:r w:rsidR="003B5C6D">
        <w:rPr>
          <w:rFonts w:asciiTheme="majorBidi" w:hAnsiTheme="majorBidi" w:cstheme="majorBidi"/>
        </w:rPr>
        <w:t xml:space="preserve"> reached</w:t>
      </w:r>
      <w:r w:rsidR="009611AD" w:rsidRPr="00433908">
        <w:rPr>
          <w:rFonts w:asciiTheme="majorBidi" w:hAnsiTheme="majorBidi" w:cstheme="majorBidi"/>
        </w:rPr>
        <w:t xml:space="preserve">, </w:t>
      </w:r>
      <w:r w:rsidR="003B5C6D">
        <w:rPr>
          <w:rFonts w:asciiTheme="majorBidi" w:hAnsiTheme="majorBidi" w:cstheme="majorBidi"/>
        </w:rPr>
        <w:t xml:space="preserve">institutional investors would then </w:t>
      </w:r>
      <w:r w:rsidR="009611AD" w:rsidRPr="00433908">
        <w:rPr>
          <w:rFonts w:asciiTheme="majorBidi" w:hAnsiTheme="majorBidi" w:cstheme="majorBidi"/>
        </w:rPr>
        <w:t>need to communicate their instructions to management, which could not know how to</w:t>
      </w:r>
      <w:r w:rsidR="00F0612A" w:rsidRPr="00433908">
        <w:rPr>
          <w:rFonts w:asciiTheme="majorBidi" w:hAnsiTheme="majorBidi" w:cstheme="majorBidi"/>
        </w:rPr>
        <w:t xml:space="preserve"> act until instructed. </w:t>
      </w:r>
      <w:r w:rsidR="00C01F9C" w:rsidRPr="00433908">
        <w:rPr>
          <w:rFonts w:asciiTheme="majorBidi" w:hAnsiTheme="majorBidi" w:cstheme="majorBidi"/>
        </w:rPr>
        <w:t>Instruction to management to prefer a course of action that benefits the c</w:t>
      </w:r>
      <w:r w:rsidR="003B5C6D">
        <w:rPr>
          <w:rFonts w:asciiTheme="majorBidi" w:hAnsiTheme="majorBidi" w:cstheme="majorBidi"/>
        </w:rPr>
        <w:t xml:space="preserve">ross </w:t>
      </w:r>
      <w:r w:rsidR="00BC0A34" w:rsidRPr="00433908">
        <w:rPr>
          <w:rFonts w:asciiTheme="majorBidi" w:hAnsiTheme="majorBidi" w:cstheme="majorBidi"/>
        </w:rPr>
        <w:t xml:space="preserve">owning </w:t>
      </w:r>
      <w:r w:rsidR="00C01F9C" w:rsidRPr="00433908">
        <w:rPr>
          <w:rFonts w:asciiTheme="majorBidi" w:hAnsiTheme="majorBidi" w:cstheme="majorBidi"/>
        </w:rPr>
        <w:t xml:space="preserve">shareholder at the expense of the firm is disallowed by corporate law. </w:t>
      </w:r>
      <w:r w:rsidR="00F0612A" w:rsidRPr="00433908">
        <w:rPr>
          <w:rFonts w:asciiTheme="majorBidi" w:hAnsiTheme="majorBidi" w:cstheme="majorBidi"/>
        </w:rPr>
        <w:t xml:space="preserve">Managers who complied with the instructions would be </w:t>
      </w:r>
      <w:r w:rsidR="00FD6156" w:rsidRPr="00433908">
        <w:rPr>
          <w:rFonts w:asciiTheme="majorBidi" w:hAnsiTheme="majorBidi" w:cstheme="majorBidi"/>
        </w:rPr>
        <w:t>intentionally inflicting harm on the corporation,</w:t>
      </w:r>
      <w:r w:rsidR="00FD6156" w:rsidRPr="00433908">
        <w:rPr>
          <w:rStyle w:val="FootnoteReference"/>
          <w:rFonts w:asciiTheme="majorBidi" w:hAnsiTheme="majorBidi" w:cstheme="majorBidi"/>
        </w:rPr>
        <w:footnoteReference w:id="133"/>
      </w:r>
      <w:r w:rsidR="00FD6156" w:rsidRPr="00433908">
        <w:rPr>
          <w:rFonts w:asciiTheme="majorBidi" w:hAnsiTheme="majorBidi" w:cstheme="majorBidi"/>
        </w:rPr>
        <w:t xml:space="preserve"> thereby </w:t>
      </w:r>
      <w:r w:rsidR="00F0612A" w:rsidRPr="00433908">
        <w:rPr>
          <w:rFonts w:asciiTheme="majorBidi" w:hAnsiTheme="majorBidi" w:cstheme="majorBidi"/>
        </w:rPr>
        <w:t>breaching their own fiduciary duties.</w:t>
      </w:r>
      <w:r w:rsidR="00F0612A" w:rsidRPr="00433908">
        <w:rPr>
          <w:rStyle w:val="FootnoteReference"/>
          <w:rFonts w:asciiTheme="majorBidi" w:hAnsiTheme="majorBidi" w:cstheme="majorBidi"/>
        </w:rPr>
        <w:footnoteReference w:id="134"/>
      </w:r>
    </w:p>
    <w:p w14:paraId="14B5967F" w14:textId="77777777" w:rsidR="00EF13B1" w:rsidRDefault="00EF13B1" w:rsidP="004613FB">
      <w:pPr>
        <w:jc w:val="both"/>
        <w:rPr>
          <w:rFonts w:asciiTheme="majorBidi" w:hAnsiTheme="majorBidi" w:cstheme="majorBidi"/>
        </w:rPr>
      </w:pPr>
    </w:p>
    <w:p w14:paraId="7D8DDC79" w14:textId="14C18B27" w:rsidR="00A9583E" w:rsidRPr="00433908" w:rsidRDefault="00C01F9C" w:rsidP="004C5E2E">
      <w:pPr>
        <w:jc w:val="both"/>
        <w:rPr>
          <w:rFonts w:asciiTheme="majorBidi" w:hAnsiTheme="majorBidi" w:cstheme="majorBidi"/>
        </w:rPr>
      </w:pPr>
      <w:r w:rsidRPr="00433908">
        <w:rPr>
          <w:rFonts w:asciiTheme="majorBidi" w:hAnsiTheme="majorBidi" w:cstheme="majorBidi"/>
        </w:rPr>
        <w:t xml:space="preserve">It is important to note, that in this context corporate law would prohibit compliance with such instructions </w:t>
      </w:r>
      <w:r w:rsidRPr="00433908">
        <w:rPr>
          <w:rFonts w:asciiTheme="majorBidi" w:hAnsiTheme="majorBidi" w:cstheme="majorBidi"/>
          <w:i/>
          <w:iCs/>
        </w:rPr>
        <w:t>regardless</w:t>
      </w:r>
      <w:r w:rsidRPr="00433908">
        <w:rPr>
          <w:rFonts w:asciiTheme="majorBidi" w:hAnsiTheme="majorBidi" w:cstheme="majorBidi"/>
        </w:rPr>
        <w:t xml:space="preserve"> of antitrust law. </w:t>
      </w:r>
      <w:r w:rsidR="0036011E" w:rsidRPr="00433908">
        <w:rPr>
          <w:rFonts w:asciiTheme="majorBidi" w:hAnsiTheme="majorBidi" w:cstheme="majorBidi"/>
        </w:rPr>
        <w:t>In other circumstances, anti</w:t>
      </w:r>
      <w:r w:rsidR="00DD5274" w:rsidRPr="00433908">
        <w:rPr>
          <w:rFonts w:asciiTheme="majorBidi" w:hAnsiTheme="majorBidi" w:cstheme="majorBidi"/>
        </w:rPr>
        <w:t xml:space="preserve">-competitive conduct benefits </w:t>
      </w:r>
      <w:r w:rsidR="0036011E" w:rsidRPr="00433908">
        <w:rPr>
          <w:rFonts w:asciiTheme="majorBidi" w:hAnsiTheme="majorBidi" w:cstheme="majorBidi"/>
          <w:i/>
          <w:iCs/>
        </w:rPr>
        <w:t>all</w:t>
      </w:r>
      <w:r w:rsidR="0036011E" w:rsidRPr="00433908">
        <w:rPr>
          <w:rFonts w:asciiTheme="majorBidi" w:hAnsiTheme="majorBidi" w:cstheme="majorBidi"/>
        </w:rPr>
        <w:t xml:space="preserve"> coordinating firms</w:t>
      </w:r>
      <w:r w:rsidR="00DD5274" w:rsidRPr="00433908">
        <w:rPr>
          <w:rFonts w:asciiTheme="majorBidi" w:hAnsiTheme="majorBidi" w:cstheme="majorBidi"/>
        </w:rPr>
        <w:t>, and – as a derivative – all of their shareholders</w:t>
      </w:r>
      <w:r w:rsidR="0036011E" w:rsidRPr="00433908">
        <w:rPr>
          <w:rFonts w:asciiTheme="majorBidi" w:hAnsiTheme="majorBidi" w:cstheme="majorBidi"/>
        </w:rPr>
        <w:t xml:space="preserve">. Therefore, absent an antitrust prohibition, corporate law should not only allow, but in fact encourage anti-competitive conduct. Absent a prohibition, corporate law would applaud even the formation of cartels. </w:t>
      </w:r>
      <w:r w:rsidR="00A9583E" w:rsidRPr="00433908">
        <w:rPr>
          <w:rFonts w:asciiTheme="majorBidi" w:hAnsiTheme="majorBidi" w:cstheme="majorBidi"/>
        </w:rPr>
        <w:t xml:space="preserve">It is only antitrust law’s condemnation of cartels and other anti-competitive business practices that makes them </w:t>
      </w:r>
      <w:r w:rsidR="004613FB" w:rsidRPr="00433908">
        <w:rPr>
          <w:rFonts w:asciiTheme="majorBidi" w:hAnsiTheme="majorBidi" w:cstheme="majorBidi"/>
        </w:rPr>
        <w:t>problematic from a corporate-law perspective</w:t>
      </w:r>
      <w:r w:rsidR="004C5E2E">
        <w:rPr>
          <w:rFonts w:asciiTheme="majorBidi" w:hAnsiTheme="majorBidi" w:cstheme="majorBidi"/>
        </w:rPr>
        <w:t>.</w:t>
      </w:r>
    </w:p>
    <w:p w14:paraId="155B4FA5" w14:textId="77777777" w:rsidR="00EF13B1" w:rsidRDefault="00EF13B1" w:rsidP="00BC0A34">
      <w:pPr>
        <w:jc w:val="both"/>
        <w:rPr>
          <w:rFonts w:asciiTheme="majorBidi" w:hAnsiTheme="majorBidi" w:cstheme="majorBidi"/>
        </w:rPr>
      </w:pPr>
    </w:p>
    <w:p w14:paraId="31C9A278" w14:textId="2AAF9F00" w:rsidR="007706EA" w:rsidRPr="00433908" w:rsidRDefault="0036011E" w:rsidP="00BC0A34">
      <w:pPr>
        <w:jc w:val="both"/>
        <w:rPr>
          <w:rFonts w:asciiTheme="majorBidi" w:hAnsiTheme="majorBidi" w:cstheme="majorBidi"/>
        </w:rPr>
      </w:pPr>
      <w:r w:rsidRPr="00433908">
        <w:rPr>
          <w:rFonts w:asciiTheme="majorBidi" w:hAnsiTheme="majorBidi" w:cstheme="majorBidi"/>
        </w:rPr>
        <w:t>B</w:t>
      </w:r>
      <w:r w:rsidR="00A9583E" w:rsidRPr="00433908">
        <w:rPr>
          <w:rFonts w:asciiTheme="majorBidi" w:hAnsiTheme="majorBidi" w:cstheme="majorBidi"/>
        </w:rPr>
        <w:t>y contrast, in the current setting</w:t>
      </w:r>
      <w:r w:rsidRPr="00433908">
        <w:rPr>
          <w:rFonts w:asciiTheme="majorBidi" w:hAnsiTheme="majorBidi" w:cstheme="majorBidi"/>
        </w:rPr>
        <w:t xml:space="preserve"> </w:t>
      </w:r>
      <w:r w:rsidR="00FD6156" w:rsidRPr="00433908">
        <w:rPr>
          <w:rFonts w:asciiTheme="majorBidi" w:hAnsiTheme="majorBidi" w:cstheme="majorBidi"/>
        </w:rPr>
        <w:t>the vast majority of the unilaterally coordinating firms’</w:t>
      </w:r>
      <w:r w:rsidRPr="00433908">
        <w:rPr>
          <w:rFonts w:asciiTheme="majorBidi" w:hAnsiTheme="majorBidi" w:cstheme="majorBidi"/>
        </w:rPr>
        <w:t xml:space="preserve"> stakeholders lose fr</w:t>
      </w:r>
      <w:r w:rsidR="00DD5274" w:rsidRPr="00433908">
        <w:rPr>
          <w:rFonts w:asciiTheme="majorBidi" w:hAnsiTheme="majorBidi" w:cstheme="majorBidi"/>
        </w:rPr>
        <w:t>om the anti-competitive conduct. A</w:t>
      </w:r>
      <w:r w:rsidRPr="00433908">
        <w:rPr>
          <w:rFonts w:asciiTheme="majorBidi" w:hAnsiTheme="majorBidi" w:cstheme="majorBidi"/>
        </w:rPr>
        <w:t>s mentioned</w:t>
      </w:r>
      <w:r w:rsidR="00DD5274" w:rsidRPr="00433908">
        <w:rPr>
          <w:rFonts w:asciiTheme="majorBidi" w:hAnsiTheme="majorBidi" w:cstheme="majorBidi"/>
        </w:rPr>
        <w:t>, unilateral shareholding is simply</w:t>
      </w:r>
      <w:r w:rsidR="00FE5B69" w:rsidRPr="00433908">
        <w:rPr>
          <w:rFonts w:asciiTheme="majorBidi" w:hAnsiTheme="majorBidi" w:cstheme="majorBidi"/>
        </w:rPr>
        <w:t xml:space="preserve"> a form of t</w:t>
      </w:r>
      <w:r w:rsidRPr="00433908">
        <w:rPr>
          <w:rFonts w:asciiTheme="majorBidi" w:hAnsiTheme="majorBidi" w:cstheme="majorBidi"/>
        </w:rPr>
        <w:t xml:space="preserve">unneling. </w:t>
      </w:r>
      <w:r w:rsidR="00BC0A34" w:rsidRPr="00433908">
        <w:rPr>
          <w:rFonts w:asciiTheme="majorBidi" w:hAnsiTheme="majorBidi" w:cstheme="majorBidi"/>
        </w:rPr>
        <w:t>With the exception of the cross owning</w:t>
      </w:r>
      <w:r w:rsidR="00ED5152" w:rsidRPr="00433908">
        <w:rPr>
          <w:rFonts w:asciiTheme="majorBidi" w:hAnsiTheme="majorBidi" w:cstheme="majorBidi"/>
        </w:rPr>
        <w:t xml:space="preserve"> shareholder (or shareholders), </w:t>
      </w:r>
      <w:r w:rsidR="007706EA" w:rsidRPr="00433908">
        <w:rPr>
          <w:rFonts w:asciiTheme="majorBidi" w:hAnsiTheme="majorBidi" w:cstheme="majorBidi"/>
        </w:rPr>
        <w:t>whose holdings in the unilaterally coordinating firm must be relatively small (otherwise unilateral coordination w</w:t>
      </w:r>
      <w:r w:rsidR="00BC0A34" w:rsidRPr="00433908">
        <w:rPr>
          <w:rFonts w:asciiTheme="majorBidi" w:hAnsiTheme="majorBidi" w:cstheme="majorBidi"/>
        </w:rPr>
        <w:t>ill</w:t>
      </w:r>
      <w:r w:rsidR="007706EA" w:rsidRPr="00433908">
        <w:rPr>
          <w:rFonts w:asciiTheme="majorBidi" w:hAnsiTheme="majorBidi" w:cstheme="majorBidi"/>
        </w:rPr>
        <w:t xml:space="preserve"> </w:t>
      </w:r>
      <w:r w:rsidR="00FD6156" w:rsidRPr="00433908">
        <w:rPr>
          <w:rFonts w:asciiTheme="majorBidi" w:hAnsiTheme="majorBidi" w:cstheme="majorBidi"/>
        </w:rPr>
        <w:t>have</w:t>
      </w:r>
      <w:r w:rsidR="007706EA" w:rsidRPr="00433908">
        <w:rPr>
          <w:rFonts w:asciiTheme="majorBidi" w:hAnsiTheme="majorBidi" w:cstheme="majorBidi"/>
        </w:rPr>
        <w:t xml:space="preserve"> </w:t>
      </w:r>
      <w:r w:rsidR="00FD6156" w:rsidRPr="00433908">
        <w:rPr>
          <w:rFonts w:asciiTheme="majorBidi" w:hAnsiTheme="majorBidi" w:cstheme="majorBidi"/>
        </w:rPr>
        <w:t xml:space="preserve">been </w:t>
      </w:r>
      <w:r w:rsidR="007706EA" w:rsidRPr="00433908">
        <w:rPr>
          <w:rFonts w:asciiTheme="majorBidi" w:hAnsiTheme="majorBidi" w:cstheme="majorBidi"/>
        </w:rPr>
        <w:t>unprofitable), a</w:t>
      </w:r>
      <w:r w:rsidRPr="00433908">
        <w:rPr>
          <w:rFonts w:asciiTheme="majorBidi" w:hAnsiTheme="majorBidi" w:cstheme="majorBidi"/>
        </w:rPr>
        <w:t xml:space="preserve">ll shareholders of the unilaterally coordinating firm </w:t>
      </w:r>
      <w:r w:rsidR="007706EA" w:rsidRPr="00433908">
        <w:rPr>
          <w:rFonts w:asciiTheme="majorBidi" w:hAnsiTheme="majorBidi" w:cstheme="majorBidi"/>
          <w:i/>
          <w:iCs/>
        </w:rPr>
        <w:t>lose</w:t>
      </w:r>
      <w:r w:rsidR="007706EA" w:rsidRPr="00433908">
        <w:rPr>
          <w:rFonts w:asciiTheme="majorBidi" w:hAnsiTheme="majorBidi" w:cstheme="majorBidi"/>
        </w:rPr>
        <w:t xml:space="preserve"> from this unilateral coordination. Corporate law already p</w:t>
      </w:r>
      <w:r w:rsidR="00DD5274" w:rsidRPr="00433908">
        <w:rPr>
          <w:rFonts w:asciiTheme="majorBidi" w:hAnsiTheme="majorBidi" w:cstheme="majorBidi"/>
        </w:rPr>
        <w:t>rohibits such conduct, which is</w:t>
      </w:r>
      <w:r w:rsidR="007706EA" w:rsidRPr="00433908">
        <w:rPr>
          <w:rFonts w:asciiTheme="majorBidi" w:hAnsiTheme="majorBidi" w:cstheme="majorBidi"/>
        </w:rPr>
        <w:t xml:space="preserve"> an egregious breach of management’s fiduciary duties.</w:t>
      </w:r>
    </w:p>
    <w:p w14:paraId="367FB9E6" w14:textId="77777777" w:rsidR="00C01F9C" w:rsidRPr="00433908" w:rsidRDefault="00C01F9C" w:rsidP="00C01F9C">
      <w:pPr>
        <w:jc w:val="both"/>
        <w:rPr>
          <w:rFonts w:asciiTheme="majorBidi" w:hAnsiTheme="majorBidi" w:cstheme="majorBidi"/>
        </w:rPr>
      </w:pPr>
    </w:p>
    <w:p w14:paraId="00BD41C1" w14:textId="77777777" w:rsidR="00E0329F" w:rsidRDefault="00BC0A34" w:rsidP="00006792">
      <w:pPr>
        <w:jc w:val="both"/>
        <w:rPr>
          <w:rFonts w:asciiTheme="majorBidi" w:hAnsiTheme="majorBidi" w:cstheme="majorBidi"/>
        </w:rPr>
      </w:pPr>
      <w:r w:rsidRPr="00433908">
        <w:rPr>
          <w:rFonts w:asciiTheme="majorBidi" w:hAnsiTheme="majorBidi" w:cstheme="majorBidi"/>
        </w:rPr>
        <w:t xml:space="preserve">Thus, </w:t>
      </w:r>
      <w:r w:rsidR="003B5C6D">
        <w:rPr>
          <w:rFonts w:asciiTheme="majorBidi" w:hAnsiTheme="majorBidi" w:cstheme="majorBidi"/>
        </w:rPr>
        <w:t xml:space="preserve">the channel </w:t>
      </w:r>
      <w:r w:rsidR="00C01F9C" w:rsidRPr="00433908">
        <w:rPr>
          <w:rFonts w:asciiTheme="majorBidi" w:hAnsiTheme="majorBidi" w:cstheme="majorBidi"/>
        </w:rPr>
        <w:t>through which shareholders’ incentive</w:t>
      </w:r>
      <w:r w:rsidR="004C5E2E">
        <w:rPr>
          <w:rFonts w:asciiTheme="majorBidi" w:hAnsiTheme="majorBidi" w:cstheme="majorBidi"/>
        </w:rPr>
        <w:t>s</w:t>
      </w:r>
      <w:r w:rsidR="00C01F9C" w:rsidRPr="00433908">
        <w:rPr>
          <w:rFonts w:asciiTheme="majorBidi" w:hAnsiTheme="majorBidi" w:cstheme="majorBidi"/>
        </w:rPr>
        <w:t xml:space="preserve"> may be transformed into action </w:t>
      </w:r>
      <w:r w:rsidR="003B5C6D">
        <w:rPr>
          <w:rFonts w:asciiTheme="majorBidi" w:hAnsiTheme="majorBidi" w:cstheme="majorBidi"/>
        </w:rPr>
        <w:t xml:space="preserve">is </w:t>
      </w:r>
      <w:r w:rsidR="00006792">
        <w:rPr>
          <w:rFonts w:asciiTheme="majorBidi" w:hAnsiTheme="majorBidi" w:cstheme="majorBidi"/>
        </w:rPr>
        <w:t>addressed</w:t>
      </w:r>
      <w:r w:rsidR="00C01F9C" w:rsidRPr="00433908">
        <w:rPr>
          <w:rFonts w:asciiTheme="majorBidi" w:hAnsiTheme="majorBidi" w:cstheme="majorBidi"/>
        </w:rPr>
        <w:t xml:space="preserve"> by section 1 </w:t>
      </w:r>
      <w:r w:rsidR="003B5C6D">
        <w:rPr>
          <w:rFonts w:asciiTheme="majorBidi" w:hAnsiTheme="majorBidi" w:cstheme="majorBidi"/>
        </w:rPr>
        <w:t>of the Sherman Act</w:t>
      </w:r>
      <w:r w:rsidR="00C01F9C" w:rsidRPr="00433908">
        <w:rPr>
          <w:rFonts w:asciiTheme="majorBidi" w:hAnsiTheme="majorBidi" w:cstheme="majorBidi"/>
        </w:rPr>
        <w:t xml:space="preserve"> and by corporate law. There is little value in an additional piece of antitrust legislation (the Clayton Act) that may be applied to the situation</w:t>
      </w:r>
      <w:r w:rsidR="003B5C6D">
        <w:rPr>
          <w:rFonts w:asciiTheme="majorBidi" w:hAnsiTheme="majorBidi" w:cstheme="majorBidi"/>
        </w:rPr>
        <w:t xml:space="preserve"> in an attempt to block acquisitions of stock</w:t>
      </w:r>
      <w:r w:rsidR="00E0329F">
        <w:rPr>
          <w:rFonts w:asciiTheme="majorBidi" w:hAnsiTheme="majorBidi" w:cstheme="majorBidi"/>
        </w:rPr>
        <w:t>.</w:t>
      </w:r>
    </w:p>
    <w:p w14:paraId="71CD9168" w14:textId="77777777" w:rsidR="00E0329F" w:rsidRDefault="00E0329F" w:rsidP="00006792">
      <w:pPr>
        <w:jc w:val="both"/>
        <w:rPr>
          <w:rFonts w:asciiTheme="majorBidi" w:hAnsiTheme="majorBidi" w:cstheme="majorBidi"/>
        </w:rPr>
      </w:pPr>
    </w:p>
    <w:p w14:paraId="1C92D07A" w14:textId="779031A5" w:rsidR="008B17DF" w:rsidRPr="00433908" w:rsidRDefault="00C01F9C" w:rsidP="00006792">
      <w:pPr>
        <w:jc w:val="both"/>
        <w:rPr>
          <w:rFonts w:asciiTheme="majorBidi" w:hAnsiTheme="majorBidi" w:cstheme="majorBidi"/>
        </w:rPr>
      </w:pPr>
      <w:r w:rsidRPr="00433908">
        <w:rPr>
          <w:rFonts w:asciiTheme="majorBidi" w:hAnsiTheme="majorBidi" w:cstheme="majorBidi"/>
        </w:rPr>
        <w:t xml:space="preserve">If there were no downside to applying the Clayton Act to the situation, its application would be neither beneficial nor harmful. But given the social cost of forcing institutional investors to less lucrative investments or to undiversified portfolios, </w:t>
      </w:r>
      <w:r w:rsidR="00FD6156" w:rsidRPr="00433908">
        <w:rPr>
          <w:rFonts w:asciiTheme="majorBidi" w:hAnsiTheme="majorBidi" w:cstheme="majorBidi"/>
        </w:rPr>
        <w:t xml:space="preserve">the benefit of an additional piece of legislation that may be cited to address conduct that is already prohibited </w:t>
      </w:r>
      <w:r w:rsidRPr="00433908">
        <w:rPr>
          <w:rFonts w:asciiTheme="majorBidi" w:hAnsiTheme="majorBidi" w:cstheme="majorBidi"/>
        </w:rPr>
        <w:t xml:space="preserve">seems </w:t>
      </w:r>
      <w:r w:rsidR="00FD6156" w:rsidRPr="00433908">
        <w:rPr>
          <w:rFonts w:asciiTheme="majorBidi" w:hAnsiTheme="majorBidi" w:cstheme="majorBidi"/>
        </w:rPr>
        <w:t xml:space="preserve">extremely </w:t>
      </w:r>
      <w:r w:rsidR="00FD6156" w:rsidRPr="00433908">
        <w:rPr>
          <w:rFonts w:asciiTheme="majorBidi" w:hAnsiTheme="majorBidi" w:cstheme="majorBidi"/>
        </w:rPr>
        <w:lastRenderedPageBreak/>
        <w:t xml:space="preserve">small. It is </w:t>
      </w:r>
      <w:r w:rsidRPr="00433908">
        <w:rPr>
          <w:rFonts w:asciiTheme="majorBidi" w:hAnsiTheme="majorBidi" w:cstheme="majorBidi"/>
        </w:rPr>
        <w:t xml:space="preserve">far better to steer clear from unnecessarily regulating </w:t>
      </w:r>
      <w:r w:rsidR="00FD6156" w:rsidRPr="00433908">
        <w:rPr>
          <w:rFonts w:asciiTheme="majorBidi" w:hAnsiTheme="majorBidi" w:cstheme="majorBidi"/>
        </w:rPr>
        <w:t>institutional investors’ strategy, diversification, and discretion</w:t>
      </w:r>
      <w:r w:rsidRPr="00433908">
        <w:rPr>
          <w:rFonts w:asciiTheme="majorBidi" w:hAnsiTheme="majorBidi" w:cstheme="majorBidi"/>
        </w:rPr>
        <w:t>.</w:t>
      </w:r>
    </w:p>
    <w:p w14:paraId="7EDF2AAE" w14:textId="77777777" w:rsidR="00CB5820" w:rsidRDefault="00CB5820" w:rsidP="00FD6156">
      <w:pPr>
        <w:jc w:val="both"/>
        <w:rPr>
          <w:rFonts w:asciiTheme="majorBidi" w:hAnsiTheme="majorBidi" w:cstheme="majorBidi"/>
        </w:rPr>
      </w:pPr>
    </w:p>
    <w:p w14:paraId="6DA4571C" w14:textId="25FE4E00" w:rsidR="00C52D1E" w:rsidRPr="00433908" w:rsidRDefault="00BC0A34" w:rsidP="00BC0A34">
      <w:pPr>
        <w:jc w:val="both"/>
        <w:rPr>
          <w:rFonts w:asciiTheme="majorBidi" w:hAnsiTheme="majorBidi" w:cstheme="majorBidi"/>
          <w:rtl/>
        </w:rPr>
      </w:pPr>
      <w:r w:rsidRPr="00433908">
        <w:rPr>
          <w:rFonts w:asciiTheme="majorBidi" w:hAnsiTheme="majorBidi" w:cstheme="majorBidi"/>
        </w:rPr>
        <w:t>The conclusion to be drawn from the analysis presented in this Paper is therefore that a</w:t>
      </w:r>
      <w:r w:rsidR="00CB5820" w:rsidRPr="00433908">
        <w:rPr>
          <w:rFonts w:asciiTheme="majorBidi" w:hAnsiTheme="majorBidi" w:cstheme="majorBidi"/>
        </w:rPr>
        <w:t xml:space="preserve">ntitrust law should thus not be </w:t>
      </w:r>
      <w:r w:rsidR="00E3310F" w:rsidRPr="00433908">
        <w:rPr>
          <w:rFonts w:asciiTheme="majorBidi" w:hAnsiTheme="majorBidi" w:cstheme="majorBidi"/>
        </w:rPr>
        <w:t xml:space="preserve">harnessed to prohibit </w:t>
      </w:r>
      <w:r w:rsidR="00CB5820" w:rsidRPr="00433908">
        <w:rPr>
          <w:rFonts w:asciiTheme="majorBidi" w:hAnsiTheme="majorBidi" w:cstheme="majorBidi"/>
        </w:rPr>
        <w:t>passive cross</w:t>
      </w:r>
      <w:r w:rsidRPr="00433908">
        <w:rPr>
          <w:rFonts w:asciiTheme="majorBidi" w:hAnsiTheme="majorBidi" w:cstheme="majorBidi"/>
        </w:rPr>
        <w:t xml:space="preserve"> ownership</w:t>
      </w:r>
      <w:r w:rsidR="00CB5820" w:rsidRPr="00433908">
        <w:rPr>
          <w:rFonts w:asciiTheme="majorBidi" w:hAnsiTheme="majorBidi" w:cstheme="majorBidi"/>
        </w:rPr>
        <w:t xml:space="preserve"> by </w:t>
      </w:r>
      <w:r w:rsidR="00EF13B1">
        <w:rPr>
          <w:rFonts w:asciiTheme="majorBidi" w:hAnsiTheme="majorBidi" w:cstheme="majorBidi"/>
        </w:rPr>
        <w:t xml:space="preserve">non-controlling </w:t>
      </w:r>
      <w:r w:rsidR="00CB5820" w:rsidRPr="00433908">
        <w:rPr>
          <w:rFonts w:asciiTheme="majorBidi" w:hAnsiTheme="majorBidi" w:cstheme="majorBidi"/>
        </w:rPr>
        <w:t>institutional investors.</w:t>
      </w:r>
    </w:p>
    <w:sectPr w:rsidR="00C52D1E" w:rsidRPr="00433908" w:rsidSect="00A53163">
      <w:footerReference w:type="even" r:id="rId9"/>
      <w:footerReference w:type="default" r:id="rId10"/>
      <w:pgSz w:w="11900" w:h="16840"/>
      <w:pgMar w:top="1191" w:right="1440" w:bottom="1440" w:left="1440"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9B88A" w14:textId="77777777" w:rsidR="00D4040B" w:rsidRDefault="00D4040B" w:rsidP="00D02D68">
      <w:r>
        <w:separator/>
      </w:r>
    </w:p>
  </w:endnote>
  <w:endnote w:type="continuationSeparator" w:id="0">
    <w:p w14:paraId="400CA62A" w14:textId="77777777" w:rsidR="00D4040B" w:rsidRDefault="00D4040B" w:rsidP="00D0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David">
    <w:altName w:val="Didot"/>
    <w:charset w:val="B1"/>
    <w:family w:val="swiss"/>
    <w:pitch w:val="variable"/>
    <w:sig w:usb0="00001801" w:usb1="00000000" w:usb2="00000000" w:usb3="00000000" w:csb0="00000020"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0BCCF" w14:textId="77777777" w:rsidR="00510A7E" w:rsidRDefault="00510A7E" w:rsidP="002A114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50D9D0" w14:textId="77777777" w:rsidR="00510A7E" w:rsidRDefault="00510A7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73785" w14:textId="77777777" w:rsidR="00510A7E" w:rsidRDefault="00510A7E" w:rsidP="002A114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B2FCA">
      <w:rPr>
        <w:rStyle w:val="PageNumber"/>
        <w:noProof/>
      </w:rPr>
      <w:t>2</w:t>
    </w:r>
    <w:r>
      <w:rPr>
        <w:rStyle w:val="PageNumber"/>
      </w:rPr>
      <w:fldChar w:fldCharType="end"/>
    </w:r>
  </w:p>
  <w:p w14:paraId="2BB1AFEF" w14:textId="77777777" w:rsidR="00510A7E" w:rsidRDefault="00510A7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3EB67" w14:textId="77777777" w:rsidR="00D4040B" w:rsidRDefault="00D4040B" w:rsidP="00D02D68">
      <w:r>
        <w:separator/>
      </w:r>
    </w:p>
  </w:footnote>
  <w:footnote w:type="continuationSeparator" w:id="0">
    <w:p w14:paraId="0C497B53" w14:textId="77777777" w:rsidR="00D4040B" w:rsidRDefault="00D4040B" w:rsidP="00D02D68">
      <w:r>
        <w:continuationSeparator/>
      </w:r>
    </w:p>
  </w:footnote>
  <w:footnote w:id="1">
    <w:p w14:paraId="4CF3A4CC" w14:textId="0EED963D" w:rsidR="00510A7E" w:rsidRPr="00431BAC" w:rsidRDefault="00510A7E" w:rsidP="00805A4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tl/>
        </w:rPr>
        <w:t>†</w:t>
      </w:r>
      <w:r w:rsidRPr="00431BAC">
        <w:rPr>
          <w:rFonts w:asciiTheme="majorBidi" w:hAnsiTheme="majorBidi" w:cstheme="majorBidi"/>
          <w:sz w:val="20"/>
          <w:szCs w:val="20"/>
        </w:rPr>
        <w:t xml:space="preserve"> Assistant Professor, Hebrew University Faculty of Law. I am greatly indebted to Edward Rock, Jesse Fried, </w:t>
      </w:r>
      <w:proofErr w:type="spellStart"/>
      <w:r w:rsidRPr="00431BAC">
        <w:rPr>
          <w:rFonts w:asciiTheme="majorBidi" w:hAnsiTheme="majorBidi" w:cstheme="majorBidi"/>
          <w:sz w:val="20"/>
          <w:szCs w:val="20"/>
        </w:rPr>
        <w:t>Assaf</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Hamdani</w:t>
      </w:r>
      <w:proofErr w:type="spellEnd"/>
      <w:r w:rsidRPr="00431BAC">
        <w:rPr>
          <w:rFonts w:asciiTheme="majorBidi" w:hAnsiTheme="majorBidi" w:cstheme="majorBidi"/>
          <w:sz w:val="20"/>
          <w:szCs w:val="20"/>
        </w:rPr>
        <w:t xml:space="preserve">, participants of the Israeli Law and Economics Association 2017 Annual Conference </w:t>
      </w:r>
      <w:r>
        <w:rPr>
          <w:rFonts w:asciiTheme="majorBidi" w:hAnsiTheme="majorBidi" w:cstheme="majorBidi"/>
          <w:sz w:val="20"/>
          <w:szCs w:val="20"/>
        </w:rPr>
        <w:t xml:space="preserve">and participants of the American Bars Association/New York University 2018 Annual Conference </w:t>
      </w:r>
      <w:r w:rsidRPr="00431BAC">
        <w:rPr>
          <w:rFonts w:asciiTheme="majorBidi" w:hAnsiTheme="majorBidi" w:cstheme="majorBidi"/>
          <w:sz w:val="20"/>
          <w:szCs w:val="20"/>
        </w:rPr>
        <w:t xml:space="preserve">for </w:t>
      </w:r>
      <w:r>
        <w:rPr>
          <w:rFonts w:asciiTheme="majorBidi" w:hAnsiTheme="majorBidi" w:cstheme="majorBidi"/>
          <w:sz w:val="20"/>
          <w:szCs w:val="20"/>
        </w:rPr>
        <w:t xml:space="preserve">extremely </w:t>
      </w:r>
      <w:r w:rsidRPr="00431BAC">
        <w:rPr>
          <w:rFonts w:asciiTheme="majorBidi" w:hAnsiTheme="majorBidi" w:cstheme="majorBidi"/>
          <w:sz w:val="20"/>
          <w:szCs w:val="20"/>
        </w:rPr>
        <w:t>helpful comments, discussions and suggestions.</w:t>
      </w:r>
    </w:p>
  </w:footnote>
  <w:footnote w:id="2">
    <w:p w14:paraId="575A5D28" w14:textId="169EF5D5"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Investment Company Fact Book, A Review of Trends an Activities in the Investment Company Industry, 2017, Investment Company Institute, 57</w:t>
      </w:r>
      <w:r w:rsidRPr="00431BAC">
        <w:rPr>
          <w:rFonts w:asciiTheme="majorBidi" w:hAnsiTheme="majorBidi" w:cstheme="majorBidi"/>
          <w:sz w:val="20"/>
          <w:szCs w:val="20"/>
          <w:vertAlign w:val="superscript"/>
        </w:rPr>
        <w:t>th</w:t>
      </w:r>
      <w:r w:rsidRPr="00431BAC">
        <w:rPr>
          <w:rFonts w:asciiTheme="majorBidi" w:hAnsiTheme="majorBidi" w:cstheme="majorBidi"/>
          <w:sz w:val="20"/>
          <w:szCs w:val="20"/>
        </w:rPr>
        <w:t xml:space="preserve"> Ed., at 25 (hereinafter: ICI Report); Eric A. Posner, Fiona M. Scott Morton &amp; E. Glen Weyl, </w:t>
      </w:r>
      <w:r w:rsidRPr="00431BAC">
        <w:rPr>
          <w:rFonts w:asciiTheme="majorBidi" w:hAnsiTheme="majorBidi" w:cstheme="majorBidi"/>
          <w:i/>
          <w:iCs/>
          <w:sz w:val="20"/>
          <w:szCs w:val="20"/>
        </w:rPr>
        <w:t>A Proposal to Limit the Anti-Competitive Power of Institutional Investors</w:t>
      </w:r>
      <w:r w:rsidRPr="00431BAC">
        <w:rPr>
          <w:rFonts w:asciiTheme="majorBidi" w:hAnsiTheme="majorBidi" w:cstheme="majorBidi"/>
          <w:sz w:val="20"/>
          <w:szCs w:val="20"/>
        </w:rPr>
        <w:t xml:space="preserve">, Antitrust L.J. 14-16, 28 (Forthcoming), at 5; Marshall E. Blume &amp; Donald B. </w:t>
      </w:r>
      <w:proofErr w:type="spellStart"/>
      <w:r w:rsidRPr="00431BAC">
        <w:rPr>
          <w:rFonts w:asciiTheme="majorBidi" w:hAnsiTheme="majorBidi" w:cstheme="majorBidi"/>
          <w:sz w:val="20"/>
          <w:szCs w:val="20"/>
        </w:rPr>
        <w:t>Keim</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The Changing Nature of Institutional Stock Investing (Forthcoming)</w:t>
      </w:r>
      <w:r w:rsidRPr="00431BAC">
        <w:rPr>
          <w:rFonts w:asciiTheme="majorBidi" w:hAnsiTheme="majorBidi" w:cstheme="majorBidi"/>
          <w:sz w:val="20"/>
          <w:szCs w:val="20"/>
        </w:rPr>
        <w:t xml:space="preserve">, available at: &lt; </w:t>
      </w:r>
      <w:hyperlink r:id="rId1" w:history="1">
        <w:r w:rsidRPr="00431BAC">
          <w:rPr>
            <w:rStyle w:val="Hyperlink"/>
            <w:rFonts w:asciiTheme="majorBidi" w:hAnsiTheme="majorBidi" w:cstheme="majorBidi"/>
            <w:sz w:val="20"/>
            <w:szCs w:val="20"/>
          </w:rPr>
          <w:t>https://faculty.wharton.upenn.edu/wp-content/uploads/2015/06/ChangingInstitutionPreferences_12Nov2014_CFR.pdf</w:t>
        </w:r>
      </w:hyperlink>
      <w:r w:rsidRPr="00431BAC">
        <w:rPr>
          <w:rFonts w:asciiTheme="majorBidi" w:hAnsiTheme="majorBidi" w:cstheme="majorBidi"/>
          <w:sz w:val="20"/>
          <w:szCs w:val="20"/>
        </w:rPr>
        <w:t xml:space="preserve">&gt;, at 4; </w:t>
      </w:r>
      <w:proofErr w:type="spellStart"/>
      <w:r w:rsidRPr="00431BAC">
        <w:rPr>
          <w:rFonts w:asciiTheme="majorBidi" w:hAnsiTheme="majorBidi" w:cstheme="majorBidi"/>
          <w:sz w:val="20"/>
          <w:szCs w:val="20"/>
        </w:rPr>
        <w:t>Eliott</w:t>
      </w:r>
      <w:proofErr w:type="spellEnd"/>
      <w:r w:rsidRPr="00431BAC">
        <w:rPr>
          <w:rFonts w:asciiTheme="majorBidi" w:hAnsiTheme="majorBidi" w:cstheme="majorBidi"/>
          <w:sz w:val="20"/>
          <w:szCs w:val="20"/>
        </w:rPr>
        <w:t xml:space="preserve"> J. Weiss and John S. Beckerman, </w:t>
      </w:r>
      <w:r w:rsidRPr="00431BAC">
        <w:rPr>
          <w:rFonts w:asciiTheme="majorBidi" w:hAnsiTheme="majorBidi" w:cstheme="majorBidi"/>
          <w:i/>
          <w:iCs/>
          <w:sz w:val="20"/>
          <w:szCs w:val="20"/>
        </w:rPr>
        <w:t>Let the Money Do the Monitoring: How Institutional Investors Can Reduce Agency Costs in Securities Class Actions</w:t>
      </w:r>
      <w:r w:rsidRPr="00431BAC">
        <w:rPr>
          <w:rFonts w:asciiTheme="majorBidi" w:hAnsiTheme="majorBidi" w:cstheme="majorBidi"/>
          <w:sz w:val="20"/>
          <w:szCs w:val="20"/>
        </w:rPr>
        <w:t xml:space="preserve">, 104 Yale L.J. 2053 at 2056 (1994 – 1995), </w:t>
      </w:r>
      <w:proofErr w:type="spellStart"/>
      <w:r w:rsidRPr="00431BAC">
        <w:rPr>
          <w:rFonts w:asciiTheme="majorBidi" w:hAnsiTheme="majorBidi" w:cstheme="majorBidi"/>
          <w:sz w:val="20"/>
          <w:szCs w:val="20"/>
        </w:rPr>
        <w:t>Manesh</w:t>
      </w:r>
      <w:proofErr w:type="spellEnd"/>
      <w:r w:rsidRPr="00431BAC">
        <w:rPr>
          <w:rFonts w:asciiTheme="majorBidi" w:hAnsiTheme="majorBidi" w:cstheme="majorBidi"/>
          <w:sz w:val="20"/>
          <w:szCs w:val="20"/>
        </w:rPr>
        <w:t xml:space="preserve"> S. Patel, </w:t>
      </w:r>
      <w:r w:rsidRPr="00431BAC">
        <w:rPr>
          <w:rFonts w:asciiTheme="majorBidi" w:hAnsiTheme="majorBidi" w:cstheme="majorBidi"/>
          <w:i/>
          <w:iCs/>
          <w:sz w:val="20"/>
          <w:szCs w:val="20"/>
        </w:rPr>
        <w:t>Common Ownership, Institutional Investors, And Antitrust</w:t>
      </w:r>
      <w:r w:rsidRPr="00431BAC">
        <w:rPr>
          <w:rFonts w:asciiTheme="majorBidi" w:hAnsiTheme="majorBidi" w:cstheme="majorBidi"/>
          <w:sz w:val="20"/>
          <w:szCs w:val="20"/>
        </w:rPr>
        <w:t xml:space="preserve">, 15 Antitrust L.J. (Forthcoming), at 3; Jose Azar, Martin C. </w:t>
      </w:r>
      <w:proofErr w:type="spellStart"/>
      <w:r w:rsidRPr="00431BAC">
        <w:rPr>
          <w:rFonts w:asciiTheme="majorBidi" w:hAnsiTheme="majorBidi" w:cstheme="majorBidi"/>
          <w:sz w:val="20"/>
          <w:szCs w:val="20"/>
        </w:rPr>
        <w:t>Schmalz</w:t>
      </w:r>
      <w:proofErr w:type="spellEnd"/>
      <w:r w:rsidRPr="00431BAC">
        <w:rPr>
          <w:rFonts w:asciiTheme="majorBidi" w:hAnsiTheme="majorBidi" w:cstheme="majorBidi"/>
          <w:sz w:val="20"/>
          <w:szCs w:val="20"/>
        </w:rPr>
        <w:t xml:space="preserve">, and </w:t>
      </w:r>
      <w:proofErr w:type="spellStart"/>
      <w:r w:rsidRPr="00431BAC">
        <w:rPr>
          <w:rFonts w:asciiTheme="majorBidi" w:hAnsiTheme="majorBidi" w:cstheme="majorBidi"/>
          <w:sz w:val="20"/>
          <w:szCs w:val="20"/>
        </w:rPr>
        <w:t>Isavel</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Tecu</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Anti-Competitive Effects of Common Ownership</w:t>
      </w:r>
      <w:r w:rsidRPr="00431BAC">
        <w:rPr>
          <w:rFonts w:asciiTheme="majorBidi" w:hAnsiTheme="majorBidi" w:cstheme="majorBidi"/>
          <w:sz w:val="20"/>
          <w:szCs w:val="20"/>
        </w:rPr>
        <w:t xml:space="preserve">, at 2 -3 (citing Investment Company Fact Book, Investment Company Institute); </w:t>
      </w:r>
      <w:proofErr w:type="spellStart"/>
      <w:r w:rsidRPr="00431BAC">
        <w:rPr>
          <w:rFonts w:asciiTheme="majorBidi" w:hAnsiTheme="majorBidi" w:cstheme="majorBidi"/>
          <w:sz w:val="20"/>
          <w:szCs w:val="20"/>
        </w:rPr>
        <w:t>Einer</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Horizontal Shareholding (Essay)</w:t>
      </w:r>
      <w:r w:rsidRPr="00431BAC">
        <w:rPr>
          <w:rFonts w:asciiTheme="majorBidi" w:hAnsiTheme="majorBidi" w:cstheme="majorBidi"/>
          <w:sz w:val="20"/>
          <w:szCs w:val="20"/>
        </w:rPr>
        <w:t xml:space="preserve"> 129 Harvard L.R. 1267 (2016), 1277 – 1278. </w:t>
      </w:r>
    </w:p>
  </w:footnote>
  <w:footnote w:id="3">
    <w:p w14:paraId="194DFA72" w14:textId="2B4184C8"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ICI Report, </w:t>
      </w:r>
      <w:r w:rsidRPr="00431BAC">
        <w:rPr>
          <w:rFonts w:asciiTheme="majorBidi" w:hAnsiTheme="majorBidi" w:cstheme="majorBidi"/>
          <w:i/>
          <w:iCs/>
          <w:sz w:val="20"/>
          <w:szCs w:val="20"/>
        </w:rPr>
        <w:t>id.</w:t>
      </w:r>
      <w:r w:rsidRPr="00431BAC">
        <w:rPr>
          <w:rFonts w:asciiTheme="majorBidi" w:hAnsiTheme="majorBidi" w:cstheme="majorBidi"/>
          <w:sz w:val="20"/>
          <w:szCs w:val="20"/>
        </w:rPr>
        <w:t>, at 24 – 25 &amp; 27. The constant trend has shown two dips, in 2008 and in 2011. Both resulted in an almost immediate bounce back in the subsequent years.</w:t>
      </w:r>
    </w:p>
  </w:footnote>
  <w:footnote w:id="4">
    <w:p w14:paraId="266AB296" w14:textId="3A6AC07D"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Posner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2.</w:t>
      </w:r>
    </w:p>
  </w:footnote>
  <w:footnote w:id="5">
    <w:p w14:paraId="293D8F11" w14:textId="2C673CF9" w:rsidR="00510A7E" w:rsidRPr="00431BAC" w:rsidRDefault="00510A7E" w:rsidP="00DE4136">
      <w:pPr>
        <w:pStyle w:val="FootnoteText"/>
        <w:jc w:val="both"/>
        <w:rPr>
          <w:rFonts w:asciiTheme="majorBidi" w:hAnsiTheme="majorBidi" w:cstheme="majorBidi"/>
          <w:noProof/>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Patel,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w:t>
      </w:r>
    </w:p>
  </w:footnote>
  <w:footnote w:id="6">
    <w:p w14:paraId="0290259E" w14:textId="5E32264E" w:rsidR="00510A7E" w:rsidRPr="00431BAC" w:rsidRDefault="00510A7E" w:rsidP="00DE4136">
      <w:pPr>
        <w:pStyle w:val="FootnoteText"/>
        <w:jc w:val="both"/>
        <w:rPr>
          <w:rFonts w:asciiTheme="majorBidi" w:hAnsiTheme="majorBidi" w:cstheme="majorBidi"/>
          <w:sz w:val="20"/>
          <w:szCs w:val="20"/>
        </w:rPr>
      </w:pPr>
      <w:r w:rsidRPr="00431BAC">
        <w:rPr>
          <w:rFonts w:asciiTheme="majorBidi" w:hAnsiTheme="majorBidi" w:cstheme="majorBidi"/>
          <w:sz w:val="20"/>
          <w:szCs w:val="20"/>
          <w:vertAlign w:val="superscript"/>
        </w:rPr>
        <w:footnoteRef/>
      </w:r>
      <w:r w:rsidRPr="00431BAC">
        <w:rPr>
          <w:rFonts w:asciiTheme="majorBidi" w:hAnsiTheme="majorBidi" w:cstheme="majorBidi"/>
          <w:sz w:val="20"/>
          <w:szCs w:val="20"/>
        </w:rPr>
        <w:t xml:space="preserve"> Harry Markowitz, Portfolio Selection, 7(1) Journal of Finance 77 (1952).</w:t>
      </w:r>
    </w:p>
  </w:footnote>
  <w:footnote w:id="7">
    <w:p w14:paraId="1AC58DBA" w14:textId="23CAD20B"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Dov</w:t>
      </w:r>
      <w:proofErr w:type="spellEnd"/>
      <w:r w:rsidRPr="00431BAC">
        <w:rPr>
          <w:rFonts w:asciiTheme="majorBidi" w:hAnsiTheme="majorBidi" w:cstheme="majorBidi"/>
          <w:sz w:val="20"/>
          <w:szCs w:val="20"/>
        </w:rPr>
        <w:t xml:space="preserve"> </w:t>
      </w:r>
      <w:r w:rsidRPr="00431BAC">
        <w:rPr>
          <w:rFonts w:asciiTheme="majorBidi" w:hAnsiTheme="majorBidi" w:cstheme="majorBidi"/>
          <w:color w:val="000000" w:themeColor="text1"/>
          <w:sz w:val="20"/>
          <w:szCs w:val="20"/>
        </w:rPr>
        <w:t xml:space="preserve">Solomon, </w:t>
      </w:r>
      <w:r w:rsidRPr="00431BAC">
        <w:rPr>
          <w:rFonts w:asciiTheme="majorBidi" w:hAnsiTheme="majorBidi" w:cstheme="majorBidi"/>
          <w:i/>
          <w:iCs/>
          <w:color w:val="000000" w:themeColor="text1"/>
          <w:sz w:val="20"/>
          <w:szCs w:val="20"/>
        </w:rPr>
        <w:t xml:space="preserve">Rational Shareholder Indifference: How to Awake </w:t>
      </w:r>
      <w:proofErr w:type="gramStart"/>
      <w:r w:rsidRPr="00431BAC">
        <w:rPr>
          <w:rFonts w:asciiTheme="majorBidi" w:hAnsiTheme="majorBidi" w:cstheme="majorBidi"/>
          <w:i/>
          <w:iCs/>
          <w:color w:val="000000" w:themeColor="text1"/>
          <w:sz w:val="20"/>
          <w:szCs w:val="20"/>
        </w:rPr>
        <w:t>Investors?</w:t>
      </w:r>
      <w:r w:rsidRPr="00431BAC">
        <w:rPr>
          <w:rFonts w:asciiTheme="majorBidi" w:hAnsiTheme="majorBidi" w:cstheme="majorBidi"/>
          <w:color w:val="000000" w:themeColor="text1"/>
          <w:sz w:val="20"/>
          <w:szCs w:val="20"/>
        </w:rPr>
        <w:t>,</w:t>
      </w:r>
      <w:proofErr w:type="gramEnd"/>
      <w:r w:rsidRPr="00431BAC">
        <w:rPr>
          <w:rFonts w:asciiTheme="majorBidi" w:hAnsiTheme="majorBidi" w:cstheme="majorBidi"/>
          <w:color w:val="000000" w:themeColor="text1"/>
          <w:sz w:val="20"/>
          <w:szCs w:val="20"/>
        </w:rPr>
        <w:t xml:space="preserve"> 39 </w:t>
      </w:r>
      <w:proofErr w:type="spellStart"/>
      <w:r w:rsidRPr="00431BAC">
        <w:rPr>
          <w:rFonts w:asciiTheme="majorBidi" w:hAnsiTheme="majorBidi" w:cstheme="majorBidi"/>
          <w:color w:val="000000" w:themeColor="text1"/>
          <w:sz w:val="20"/>
          <w:szCs w:val="20"/>
        </w:rPr>
        <w:t>Iyunei</w:t>
      </w:r>
      <w:proofErr w:type="spellEnd"/>
      <w:r w:rsidRPr="00431BAC">
        <w:rPr>
          <w:rFonts w:asciiTheme="majorBidi" w:hAnsiTheme="majorBidi" w:cstheme="majorBidi"/>
          <w:color w:val="000000" w:themeColor="text1"/>
          <w:sz w:val="20"/>
          <w:szCs w:val="20"/>
        </w:rPr>
        <w:t xml:space="preserve"> </w:t>
      </w:r>
      <w:proofErr w:type="spellStart"/>
      <w:r w:rsidRPr="00431BAC">
        <w:rPr>
          <w:rFonts w:asciiTheme="majorBidi" w:hAnsiTheme="majorBidi" w:cstheme="majorBidi"/>
          <w:color w:val="000000" w:themeColor="text1"/>
          <w:sz w:val="20"/>
          <w:szCs w:val="20"/>
        </w:rPr>
        <w:t>Mishpat</w:t>
      </w:r>
      <w:proofErr w:type="spellEnd"/>
      <w:r w:rsidRPr="00431BAC">
        <w:rPr>
          <w:rFonts w:asciiTheme="majorBidi" w:hAnsiTheme="majorBidi" w:cstheme="majorBidi"/>
          <w:color w:val="000000" w:themeColor="text1"/>
          <w:sz w:val="20"/>
          <w:szCs w:val="20"/>
        </w:rPr>
        <w:t xml:space="preserve"> 317 (2016).</w:t>
      </w:r>
    </w:p>
  </w:footnote>
  <w:footnote w:id="8">
    <w:p w14:paraId="0FD0C381" w14:textId="0F9AF3D4"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Posner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5 – 6.</w:t>
      </w:r>
    </w:p>
  </w:footnote>
  <w:footnote w:id="9">
    <w:p w14:paraId="3EB3ED6D" w14:textId="01FC6C71"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noProof/>
          <w:sz w:val="20"/>
          <w:szCs w:val="20"/>
        </w:rPr>
        <w:t xml:space="preserve">Which Posner et al., </w:t>
      </w:r>
      <w:r w:rsidRPr="00431BAC">
        <w:rPr>
          <w:rFonts w:asciiTheme="majorBidi" w:hAnsiTheme="majorBidi" w:cstheme="majorBidi"/>
          <w:i/>
          <w:iCs/>
          <w:noProof/>
          <w:sz w:val="20"/>
          <w:szCs w:val="20"/>
        </w:rPr>
        <w:t>id.</w:t>
      </w:r>
      <w:r w:rsidRPr="00431BAC">
        <w:rPr>
          <w:rFonts w:asciiTheme="majorBidi" w:hAnsiTheme="majorBidi" w:cstheme="majorBidi"/>
          <w:noProof/>
          <w:sz w:val="20"/>
          <w:szCs w:val="20"/>
        </w:rPr>
        <w:t xml:space="preserve">, estimate account for less than 20% of the US stock market. See Posnet et al., </w:t>
      </w:r>
      <w:r w:rsidRPr="00431BAC">
        <w:rPr>
          <w:rFonts w:asciiTheme="majorBidi" w:hAnsiTheme="majorBidi" w:cstheme="majorBidi"/>
          <w:i/>
          <w:iCs/>
          <w:sz w:val="20"/>
          <w:szCs w:val="20"/>
        </w:rPr>
        <w:t>id.</w:t>
      </w:r>
      <w:r w:rsidRPr="00431BAC">
        <w:rPr>
          <w:rFonts w:asciiTheme="majorBidi" w:hAnsiTheme="majorBidi" w:cstheme="majorBidi"/>
          <w:noProof/>
          <w:sz w:val="20"/>
          <w:szCs w:val="20"/>
        </w:rPr>
        <w:t>, at 5. See at note 12 for an explanation of this estimation.</w:t>
      </w:r>
    </w:p>
  </w:footnote>
  <w:footnote w:id="10">
    <w:p w14:paraId="18D1EF64" w14:textId="46AA9094"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generally Harry Markowitz, </w:t>
      </w:r>
      <w:r w:rsidRPr="00431BAC">
        <w:rPr>
          <w:rFonts w:asciiTheme="majorBidi" w:hAnsiTheme="majorBidi" w:cstheme="majorBidi"/>
          <w:i/>
          <w:iCs/>
          <w:sz w:val="20"/>
          <w:szCs w:val="20"/>
        </w:rPr>
        <w:t>Portfolio Selection</w:t>
      </w:r>
      <w:r w:rsidRPr="00431BAC">
        <w:rPr>
          <w:rFonts w:asciiTheme="majorBidi" w:hAnsiTheme="majorBidi" w:cstheme="majorBidi"/>
          <w:sz w:val="20"/>
          <w:szCs w:val="20"/>
        </w:rPr>
        <w:t>, 7(1) Journal of Finance 77 (1952).</w:t>
      </w:r>
    </w:p>
  </w:footnote>
  <w:footnote w:id="11">
    <w:p w14:paraId="00191A81" w14:textId="4688B78D"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e.g.,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1268.</w:t>
      </w:r>
    </w:p>
  </w:footnote>
  <w:footnote w:id="12">
    <w:p w14:paraId="21881BF8" w14:textId="05F66428"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Posner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5 – 6.</w:t>
      </w:r>
    </w:p>
  </w:footnote>
  <w:footnote w:id="13">
    <w:p w14:paraId="08F21449" w14:textId="291D5ACF"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Jose Azar, </w:t>
      </w:r>
      <w:r w:rsidRPr="00431BAC">
        <w:rPr>
          <w:rFonts w:asciiTheme="majorBidi" w:hAnsiTheme="majorBidi" w:cstheme="majorBidi"/>
          <w:i/>
          <w:iCs/>
          <w:sz w:val="20"/>
          <w:szCs w:val="20"/>
        </w:rPr>
        <w:t>Portfolio diversification, Market Power, and the Theory of the Firm</w:t>
      </w:r>
      <w:r w:rsidRPr="00431BAC">
        <w:rPr>
          <w:rFonts w:asciiTheme="majorBidi" w:hAnsiTheme="majorBidi" w:cstheme="majorBidi"/>
          <w:sz w:val="20"/>
          <w:szCs w:val="20"/>
        </w:rPr>
        <w:t xml:space="preserve"> (January 30, 2017), available at &lt;</w:t>
      </w:r>
      <w:hyperlink r:id="rId2" w:history="1">
        <w:r w:rsidRPr="00431BAC">
          <w:rPr>
            <w:rStyle w:val="Hyperlink"/>
            <w:rFonts w:asciiTheme="majorBidi" w:hAnsiTheme="majorBidi" w:cstheme="majorBidi"/>
            <w:sz w:val="20"/>
            <w:szCs w:val="20"/>
          </w:rPr>
          <w:t>https://papers.ssrn.com/sol3/papers.cfm?abstract_id=2811221</w:t>
        </w:r>
      </w:hyperlink>
      <w:r w:rsidRPr="00431BAC">
        <w:rPr>
          <w:rFonts w:asciiTheme="majorBidi" w:hAnsiTheme="majorBidi" w:cstheme="majorBidi"/>
          <w:sz w:val="20"/>
          <w:szCs w:val="20"/>
        </w:rPr>
        <w:t>&gt;, at 2.</w:t>
      </w:r>
    </w:p>
  </w:footnote>
  <w:footnote w:id="14">
    <w:p w14:paraId="02C2A491" w14:textId="5912CFEB"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The generally-accepted concentration measure is the HHI, which sums the squares of each firm’s market share. Under the US horizontal Merger Guidelines (US Department of Justice and Federal Trade Commission, Horizontal Merger Guidelines, August 19, 2010) (hereinafter: “</w:t>
      </w:r>
      <w:r w:rsidRPr="00431BAC">
        <w:rPr>
          <w:rFonts w:asciiTheme="majorBidi" w:hAnsiTheme="majorBidi" w:cstheme="majorBidi"/>
          <w:b/>
          <w:bCs/>
          <w:i/>
          <w:iCs/>
          <w:sz w:val="20"/>
          <w:szCs w:val="20"/>
        </w:rPr>
        <w:t>HMG</w:t>
      </w:r>
      <w:r w:rsidRPr="00431BAC">
        <w:rPr>
          <w:rFonts w:asciiTheme="majorBidi" w:hAnsiTheme="majorBidi" w:cstheme="majorBidi"/>
          <w:sz w:val="20"/>
          <w:szCs w:val="20"/>
        </w:rPr>
        <w:t>”), an industry with an HHI above 2500 is generally considered highly concentrated (see at 18 – 19).</w:t>
      </w:r>
    </w:p>
  </w:footnote>
  <w:footnote w:id="15">
    <w:p w14:paraId="2188311D" w14:textId="66317D2E"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at note 50, citing Gerard </w:t>
      </w:r>
      <w:proofErr w:type="spellStart"/>
      <w:r w:rsidRPr="00431BAC">
        <w:rPr>
          <w:rFonts w:asciiTheme="majorBidi" w:hAnsiTheme="majorBidi" w:cstheme="majorBidi"/>
          <w:sz w:val="20"/>
          <w:szCs w:val="20"/>
        </w:rPr>
        <w:t>Hoberg</w:t>
      </w:r>
      <w:proofErr w:type="spellEnd"/>
      <w:r w:rsidRPr="00431BAC">
        <w:rPr>
          <w:rFonts w:asciiTheme="majorBidi" w:hAnsiTheme="majorBidi" w:cstheme="majorBidi"/>
          <w:sz w:val="20"/>
          <w:szCs w:val="20"/>
        </w:rPr>
        <w:t xml:space="preserve"> &amp; Gordon Phillips, &lt;</w:t>
      </w:r>
      <w:hyperlink r:id="rId3" w:history="1">
        <w:r w:rsidRPr="00431BAC">
          <w:rPr>
            <w:rStyle w:val="Hyperlink"/>
            <w:rFonts w:asciiTheme="majorBidi" w:hAnsiTheme="majorBidi" w:cstheme="majorBidi"/>
            <w:sz w:val="20"/>
            <w:szCs w:val="20"/>
          </w:rPr>
          <w:t>http://hobergphillips.usc.edu/industryconcen.htm</w:t>
        </w:r>
      </w:hyperlink>
      <w:r w:rsidRPr="00431BAC">
        <w:rPr>
          <w:rFonts w:asciiTheme="majorBidi" w:hAnsiTheme="majorBidi" w:cstheme="majorBidi"/>
          <w:sz w:val="20"/>
          <w:szCs w:val="20"/>
        </w:rPr>
        <w:t>&gt; (but pointing out that industry definitions may be different from antitrust market definitions), The Economist, Business in America – too Much of a Good Thing, March 26</w:t>
      </w:r>
      <w:r w:rsidRPr="00431BAC">
        <w:rPr>
          <w:rFonts w:asciiTheme="majorBidi" w:hAnsiTheme="majorBidi" w:cstheme="majorBidi"/>
          <w:sz w:val="20"/>
          <w:szCs w:val="20"/>
          <w:vertAlign w:val="superscript"/>
        </w:rPr>
        <w:t>th</w:t>
      </w:r>
      <w:r w:rsidRPr="00431BAC">
        <w:rPr>
          <w:rFonts w:asciiTheme="majorBidi" w:hAnsiTheme="majorBidi" w:cstheme="majorBidi"/>
          <w:sz w:val="20"/>
          <w:szCs w:val="20"/>
        </w:rPr>
        <w:t>, 2016, available at &lt;</w:t>
      </w:r>
      <w:hyperlink r:id="rId4" w:history="1">
        <w:r w:rsidRPr="00431BAC">
          <w:rPr>
            <w:rStyle w:val="Hyperlink"/>
            <w:rFonts w:asciiTheme="majorBidi" w:hAnsiTheme="majorBidi" w:cstheme="majorBidi"/>
            <w:sz w:val="20"/>
            <w:szCs w:val="20"/>
          </w:rPr>
          <w:t>https://www.economist.com/news/briefing/21695385-profits-are-too-high-america-needs-giant-dose-competition-too-much-good-thing</w:t>
        </w:r>
      </w:hyperlink>
      <w:r w:rsidRPr="00431BAC">
        <w:rPr>
          <w:rFonts w:asciiTheme="majorBidi" w:hAnsiTheme="majorBidi" w:cstheme="majorBidi"/>
          <w:sz w:val="20"/>
          <w:szCs w:val="20"/>
        </w:rPr>
        <w:t xml:space="preserve">&gt;. </w:t>
      </w:r>
    </w:p>
  </w:footnote>
  <w:footnote w:id="16">
    <w:p w14:paraId="47A2C018" w14:textId="3F7EDE60"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The Economist, Corporate Concentration – The Creep of Consolidation Across America's Corporate Landscape, March 24</w:t>
      </w:r>
      <w:r w:rsidRPr="00431BAC">
        <w:rPr>
          <w:rFonts w:asciiTheme="majorBidi" w:hAnsiTheme="majorBidi" w:cstheme="majorBidi"/>
          <w:sz w:val="20"/>
          <w:szCs w:val="20"/>
          <w:vertAlign w:val="superscript"/>
        </w:rPr>
        <w:t>th</w:t>
      </w:r>
      <w:r w:rsidRPr="00431BAC">
        <w:rPr>
          <w:rFonts w:asciiTheme="majorBidi" w:hAnsiTheme="majorBidi" w:cstheme="majorBidi"/>
          <w:sz w:val="20"/>
          <w:szCs w:val="20"/>
        </w:rPr>
        <w:t xml:space="preserve">, 2016, available at &lt; </w:t>
      </w:r>
      <w:hyperlink r:id="rId5" w:history="1">
        <w:r w:rsidRPr="00431BAC">
          <w:rPr>
            <w:rStyle w:val="Hyperlink"/>
            <w:rFonts w:asciiTheme="majorBidi" w:hAnsiTheme="majorBidi" w:cstheme="majorBidi"/>
            <w:sz w:val="20"/>
            <w:szCs w:val="20"/>
          </w:rPr>
          <w:t>https://www.economist.com/blogs/graphicdetail/2016/03/daily-chart-13</w:t>
        </w:r>
      </w:hyperlink>
      <w:r w:rsidRPr="00431BAC">
        <w:rPr>
          <w:rFonts w:asciiTheme="majorBidi" w:hAnsiTheme="majorBidi" w:cstheme="majorBidi"/>
          <w:sz w:val="20"/>
          <w:szCs w:val="20"/>
        </w:rPr>
        <w:t xml:space="preserve">&gt;. </w:t>
      </w:r>
    </w:p>
  </w:footnote>
  <w:footnote w:id="17">
    <w:p w14:paraId="59E9532E" w14:textId="44CC896C" w:rsidR="00510A7E" w:rsidRPr="00431BAC" w:rsidRDefault="00510A7E" w:rsidP="00DE4136">
      <w:pPr>
        <w:pStyle w:val="FootnoteText"/>
        <w:jc w:val="both"/>
        <w:rPr>
          <w:rFonts w:asciiTheme="majorBidi" w:eastAsia="Times New Roman" w:hAnsiTheme="majorBidi" w:cstheme="majorBidi"/>
          <w:sz w:val="20"/>
          <w:szCs w:val="20"/>
          <w:rtl/>
        </w:rPr>
      </w:pPr>
      <w:r w:rsidRPr="00431BAC">
        <w:rPr>
          <w:rFonts w:asciiTheme="majorBidi" w:hAnsiTheme="majorBidi" w:cstheme="majorBidi"/>
          <w:sz w:val="20"/>
          <w:szCs w:val="20"/>
          <w:vertAlign w:val="superscript"/>
        </w:rPr>
        <w:footnoteRef/>
      </w:r>
      <w:r w:rsidRPr="00431BAC">
        <w:rPr>
          <w:rFonts w:asciiTheme="majorBidi" w:hAnsiTheme="majorBidi" w:cstheme="majorBidi"/>
          <w:sz w:val="20"/>
          <w:szCs w:val="20"/>
        </w:rPr>
        <w:t xml:space="preserve"> 15 U.S.C. §18a.</w:t>
      </w:r>
    </w:p>
  </w:footnote>
  <w:footnote w:id="18">
    <w:p w14:paraId="6948089C" w14:textId="73CAA4E4" w:rsidR="00510A7E" w:rsidRPr="00431BAC" w:rsidRDefault="00510A7E" w:rsidP="00DE4136">
      <w:pPr>
        <w:jc w:val="both"/>
        <w:rPr>
          <w:rFonts w:asciiTheme="majorBidi" w:hAnsiTheme="majorBidi" w:cstheme="majorBidi"/>
          <w:sz w:val="20"/>
          <w:szCs w:val="20"/>
        </w:rPr>
      </w:pPr>
      <w:r w:rsidRPr="00431BAC">
        <w:rPr>
          <w:rFonts w:asciiTheme="majorBidi" w:hAnsiTheme="majorBidi" w:cstheme="majorBidi"/>
          <w:sz w:val="20"/>
          <w:szCs w:val="20"/>
          <w:vertAlign w:val="superscript"/>
        </w:rPr>
        <w:footnoteRef/>
      </w:r>
      <w:r w:rsidRPr="00431BAC">
        <w:rPr>
          <w:rFonts w:asciiTheme="majorBidi" w:hAnsiTheme="majorBidi" w:cstheme="majorBidi"/>
          <w:sz w:val="20"/>
          <w:szCs w:val="20"/>
          <w:vertAlign w:val="superscript"/>
        </w:rPr>
        <w:t xml:space="preserve"> </w:t>
      </w:r>
      <w:r w:rsidRPr="00431BAC">
        <w:rPr>
          <w:rFonts w:asciiTheme="majorBidi" w:hAnsiTheme="majorBidi" w:cstheme="majorBidi"/>
          <w:sz w:val="20"/>
          <w:szCs w:val="20"/>
        </w:rPr>
        <w:t>The size-of-transaction threshold has recently been raised to $323 million, or slightly less than $81 million if either the acquiring or acquired party has annual net sales or total assets of at least $16.2 million and the other party has annual net sales or total assets of at least $161.5 million (the ‘person-size-threshold’).</w:t>
      </w:r>
    </w:p>
  </w:footnote>
  <w:footnote w:id="19">
    <w:p w14:paraId="3D0973D0" w14:textId="753BC036"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15 U.S.C. §18.</w:t>
      </w:r>
    </w:p>
  </w:footnote>
  <w:footnote w:id="20">
    <w:p w14:paraId="5D837AE4" w14:textId="3FEB2CD7"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15 U.S.C. §18a(c)(9). The HSR Rules (Rule 801.1</w:t>
      </w:r>
      <w:proofErr w:type="gramStart"/>
      <w:r w:rsidRPr="00431BAC">
        <w:rPr>
          <w:rFonts w:asciiTheme="majorBidi" w:hAnsiTheme="majorBidi" w:cstheme="majorBidi"/>
          <w:sz w:val="20"/>
          <w:szCs w:val="20"/>
        </w:rPr>
        <w:t>i(</w:t>
      </w:r>
      <w:proofErr w:type="gramEnd"/>
      <w:r w:rsidRPr="00431BAC">
        <w:rPr>
          <w:rFonts w:asciiTheme="majorBidi" w:hAnsiTheme="majorBidi" w:cstheme="majorBidi"/>
          <w:sz w:val="20"/>
          <w:szCs w:val="20"/>
        </w:rPr>
        <w:t>1)) state: “</w:t>
      </w:r>
      <w:r w:rsidRPr="00431BAC">
        <w:rPr>
          <w:rFonts w:asciiTheme="majorBidi" w:eastAsia="Times New Roman" w:hAnsiTheme="majorBidi" w:cstheme="majorBidi"/>
          <w:i/>
          <w:iCs/>
          <w:color w:val="000000"/>
          <w:sz w:val="20"/>
          <w:szCs w:val="20"/>
          <w:shd w:val="clear" w:color="auto" w:fill="FFFFFF"/>
        </w:rPr>
        <w:t>Solely for the purpose of investment.</w:t>
      </w:r>
      <w:r w:rsidRPr="00431BAC">
        <w:rPr>
          <w:rFonts w:asciiTheme="majorBidi" w:eastAsia="Times New Roman" w:hAnsiTheme="majorBidi" w:cstheme="majorBidi"/>
          <w:color w:val="000000"/>
          <w:sz w:val="20"/>
          <w:szCs w:val="20"/>
          <w:shd w:val="clear" w:color="auto" w:fill="FFFFFF"/>
        </w:rPr>
        <w:t> </w:t>
      </w:r>
      <w:r w:rsidRPr="00431BAC">
        <w:rPr>
          <w:rFonts w:asciiTheme="majorBidi" w:hAnsiTheme="majorBidi" w:cstheme="majorBidi"/>
          <w:sz w:val="20"/>
          <w:szCs w:val="20"/>
        </w:rPr>
        <w:t>Voting securities are held or acquired “solely for the purpose of investment” if the person holding or acquiring such voting securities has no intention of participating in the formulation, determination, or direction of the basic business decisions of the issuer”.</w:t>
      </w:r>
    </w:p>
  </w:footnote>
  <w:footnote w:id="21">
    <w:p w14:paraId="5E180EFA" w14:textId="66057690"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Style w:val="FootnoteReference"/>
          <w:rFonts w:asciiTheme="majorBidi" w:hAnsiTheme="majorBidi" w:cstheme="majorBidi"/>
          <w:sz w:val="20"/>
          <w:szCs w:val="20"/>
        </w:rPr>
        <w:t xml:space="preserve"> </w:t>
      </w:r>
      <w:r w:rsidRPr="00431BAC">
        <w:rPr>
          <w:rFonts w:asciiTheme="majorBidi" w:hAnsiTheme="majorBidi" w:cstheme="majorBidi"/>
          <w:sz w:val="20"/>
          <w:szCs w:val="20"/>
        </w:rPr>
        <w:t xml:space="preserve">But see Daniel P.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and Steven C. Salop, </w:t>
      </w:r>
      <w:r w:rsidRPr="00431BAC">
        <w:rPr>
          <w:rFonts w:asciiTheme="majorBidi" w:hAnsiTheme="majorBidi" w:cstheme="majorBidi"/>
          <w:i/>
          <w:iCs/>
          <w:sz w:val="20"/>
          <w:szCs w:val="20"/>
        </w:rPr>
        <w:t>Competitive Effects of Partial Ownership: Financial Interest and Corporate Control</w:t>
      </w:r>
      <w:r w:rsidRPr="00431BAC">
        <w:rPr>
          <w:rFonts w:asciiTheme="majorBidi" w:hAnsiTheme="majorBidi" w:cstheme="majorBidi"/>
          <w:sz w:val="20"/>
          <w:szCs w:val="20"/>
        </w:rPr>
        <w:t xml:space="preserve">, 67 Antitrust L.J. 559 (1999 – 2000), contesting the point made in Phillip </w:t>
      </w:r>
      <w:proofErr w:type="spellStart"/>
      <w:r w:rsidRPr="00431BAC">
        <w:rPr>
          <w:rFonts w:asciiTheme="majorBidi" w:hAnsiTheme="majorBidi" w:cstheme="majorBidi"/>
          <w:sz w:val="20"/>
          <w:szCs w:val="20"/>
        </w:rPr>
        <w:t>Areeda</w:t>
      </w:r>
      <w:proofErr w:type="spellEnd"/>
      <w:r w:rsidRPr="00431BAC">
        <w:rPr>
          <w:rFonts w:asciiTheme="majorBidi" w:hAnsiTheme="majorBidi" w:cstheme="majorBidi"/>
          <w:sz w:val="20"/>
          <w:szCs w:val="20"/>
        </w:rPr>
        <w:t xml:space="preserve"> &amp; Donald F. Turner, Antitrust Law, 1203d at 322 (1980); David </w:t>
      </w:r>
      <w:proofErr w:type="spellStart"/>
      <w:r w:rsidRPr="00431BAC">
        <w:rPr>
          <w:rFonts w:asciiTheme="majorBidi" w:hAnsiTheme="majorBidi" w:cstheme="majorBidi"/>
          <w:sz w:val="20"/>
          <w:szCs w:val="20"/>
        </w:rPr>
        <w:t>Gilo</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The Anticompetitive effect of Passive Investment</w:t>
      </w:r>
      <w:r w:rsidRPr="00431BAC">
        <w:rPr>
          <w:rFonts w:asciiTheme="majorBidi" w:hAnsiTheme="majorBidi" w:cstheme="majorBidi"/>
          <w:sz w:val="20"/>
          <w:szCs w:val="20"/>
        </w:rPr>
        <w:t xml:space="preserve">, 99 Mich. L. Rev. 1 (2000). Note, however, that </w:t>
      </w:r>
      <w:proofErr w:type="spellStart"/>
      <w:r w:rsidRPr="00431BAC">
        <w:rPr>
          <w:rFonts w:asciiTheme="majorBidi" w:hAnsiTheme="majorBidi" w:cstheme="majorBidi"/>
          <w:sz w:val="20"/>
          <w:szCs w:val="20"/>
        </w:rPr>
        <w:t>Gilo</w:t>
      </w:r>
      <w:proofErr w:type="spellEnd"/>
      <w:r w:rsidRPr="00431BAC">
        <w:rPr>
          <w:rFonts w:asciiTheme="majorBidi" w:hAnsiTheme="majorBidi" w:cstheme="majorBidi"/>
          <w:sz w:val="20"/>
          <w:szCs w:val="20"/>
        </w:rPr>
        <w:t xml:space="preserve"> focuses on the anti-competitive effects of passive investments by a single shareholder, that controls one of the firms (see also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and Salop’s analysis of horizontal joint ventures acting independently of their parents’ incentives – at 585).</w:t>
      </w:r>
    </w:p>
  </w:footnote>
  <w:footnote w:id="22">
    <w:p w14:paraId="180E6AE7" w14:textId="3C4100F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 comprehensive account of both the case law and the enforcement policy of the Department of Justice and the federal Trade commission is offered by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Edward B. Rock and Daniel L.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Antitrust for Institutional Investors</w:t>
      </w:r>
      <w:r w:rsidRPr="00431BAC">
        <w:rPr>
          <w:rFonts w:asciiTheme="majorBidi" w:hAnsiTheme="majorBidi" w:cstheme="majorBidi"/>
          <w:sz w:val="20"/>
          <w:szCs w:val="20"/>
        </w:rPr>
        <w:t>, (forthcoming, 2018, Antitrust Law Journal) at 28 – 33). On the ‘investment-only’ exemption see also generally: &lt;</w:t>
      </w:r>
      <w:hyperlink r:id="rId6" w:history="1">
        <w:r w:rsidRPr="00431BAC">
          <w:rPr>
            <w:rStyle w:val="Hyperlink"/>
            <w:rFonts w:asciiTheme="majorBidi" w:hAnsiTheme="majorBidi" w:cstheme="majorBidi"/>
            <w:sz w:val="20"/>
            <w:szCs w:val="20"/>
          </w:rPr>
          <w:t>https://www.ftc.gov/news-events/blogs/competition-matters/2015/08/investment-only-means-just</w:t>
        </w:r>
      </w:hyperlink>
      <w:r w:rsidRPr="00431BAC">
        <w:rPr>
          <w:rStyle w:val="Hyperlink"/>
          <w:rFonts w:asciiTheme="majorBidi" w:hAnsiTheme="majorBidi" w:cstheme="majorBidi"/>
          <w:sz w:val="20"/>
          <w:szCs w:val="20"/>
        </w:rPr>
        <w:t>&gt;</w:t>
      </w:r>
      <w:r w:rsidRPr="00431BAC">
        <w:rPr>
          <w:rFonts w:asciiTheme="majorBidi" w:hAnsiTheme="majorBidi" w:cstheme="majorBidi"/>
          <w:sz w:val="20"/>
          <w:szCs w:val="20"/>
        </w:rPr>
        <w:t>.</w:t>
      </w:r>
    </w:p>
  </w:footnote>
  <w:footnote w:id="23">
    <w:p w14:paraId="761B500A" w14:textId="18A56B20"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and Salop,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568; Azar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31. Posner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15.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1270.</w:t>
      </w:r>
    </w:p>
  </w:footnote>
  <w:footnote w:id="24">
    <w:p w14:paraId="690E0BF6" w14:textId="3E9076D8"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Azar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31; The Economist, Too much of a Good Thing, March 26</w:t>
      </w:r>
      <w:r w:rsidRPr="00431BAC">
        <w:rPr>
          <w:rFonts w:asciiTheme="majorBidi" w:hAnsiTheme="majorBidi" w:cstheme="majorBidi"/>
          <w:sz w:val="20"/>
          <w:szCs w:val="20"/>
          <w:vertAlign w:val="superscript"/>
        </w:rPr>
        <w:t>th</w:t>
      </w:r>
      <w:r w:rsidRPr="00431BAC">
        <w:rPr>
          <w:rFonts w:asciiTheme="majorBidi" w:hAnsiTheme="majorBidi" w:cstheme="majorBidi"/>
          <w:sz w:val="20"/>
          <w:szCs w:val="20"/>
        </w:rPr>
        <w:t>, 2016, available at: &lt;</w:t>
      </w:r>
      <w:hyperlink r:id="rId7" w:history="1">
        <w:r w:rsidRPr="00431BAC">
          <w:rPr>
            <w:rStyle w:val="Hyperlink"/>
            <w:rFonts w:asciiTheme="majorBidi" w:hAnsiTheme="majorBidi" w:cstheme="majorBidi"/>
            <w:sz w:val="20"/>
            <w:szCs w:val="20"/>
          </w:rPr>
          <w:t>https://www.economist.com/news/briefing/21695385-profits-are-too-high-america-needs-giant-dose-competition-too-much-good-thing</w:t>
        </w:r>
      </w:hyperlink>
      <w:r w:rsidRPr="00431BAC">
        <w:rPr>
          <w:rFonts w:asciiTheme="majorBidi" w:hAnsiTheme="majorBidi" w:cstheme="majorBidi"/>
          <w:sz w:val="20"/>
          <w:szCs w:val="20"/>
        </w:rPr>
        <w:t xml:space="preserve">&gt;.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point out that they do not know of any Section 1 violations, but that the argument that coordination has occurred has been raised in litigation (at 3), referring to </w:t>
      </w:r>
      <w:r w:rsidRPr="00431BAC">
        <w:rPr>
          <w:rFonts w:asciiTheme="majorBidi" w:hAnsiTheme="majorBidi" w:cstheme="majorBidi"/>
          <w:i/>
          <w:iCs/>
          <w:sz w:val="20"/>
          <w:szCs w:val="20"/>
        </w:rPr>
        <w:t>Re Domestic Airline Travel Antitrust Litigation</w:t>
      </w:r>
      <w:r w:rsidRPr="00431BAC">
        <w:rPr>
          <w:rFonts w:asciiTheme="majorBidi" w:hAnsiTheme="majorBidi" w:cstheme="majorBidi"/>
          <w:sz w:val="20"/>
          <w:szCs w:val="20"/>
        </w:rPr>
        <w:t>, U.S. District Court, District of Columbia, MDL Docket No. 2656, filed March 25</w:t>
      </w:r>
      <w:r w:rsidRPr="00431BAC">
        <w:rPr>
          <w:rFonts w:asciiTheme="majorBidi" w:hAnsiTheme="majorBidi" w:cstheme="majorBidi"/>
          <w:sz w:val="20"/>
          <w:szCs w:val="20"/>
          <w:vertAlign w:val="superscript"/>
        </w:rPr>
        <w:t>th</w:t>
      </w:r>
      <w:r w:rsidRPr="00431BAC">
        <w:rPr>
          <w:rFonts w:asciiTheme="majorBidi" w:hAnsiTheme="majorBidi" w:cstheme="majorBidi"/>
          <w:sz w:val="20"/>
          <w:szCs w:val="20"/>
        </w:rPr>
        <w:t xml:space="preserve">, 2016.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at 1269 – 1270, argues that communication (although not outright coordination) does occur.</w:t>
      </w:r>
    </w:p>
  </w:footnote>
  <w:footnote w:id="25">
    <w:p w14:paraId="542072E9" w14:textId="1D0B74A8"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15 U.S.C. §§ 1–7. See Posner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19.</w:t>
      </w:r>
    </w:p>
  </w:footnote>
  <w:footnote w:id="26">
    <w:p w14:paraId="66A70BF5" w14:textId="5B871630"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1274.</w:t>
      </w:r>
    </w:p>
  </w:footnote>
  <w:footnote w:id="27">
    <w:p w14:paraId="461E891D" w14:textId="0EE0CD9B"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and Salop,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28">
    <w:p w14:paraId="12975098" w14:textId="7777777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29">
    <w:p w14:paraId="21364E45" w14:textId="6CD584E1"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Style w:val="FootnoteReference"/>
          <w:rFonts w:asciiTheme="majorBidi" w:hAnsiTheme="majorBidi" w:cstheme="majorBidi"/>
          <w:sz w:val="20"/>
          <w:szCs w:val="20"/>
        </w:rPr>
        <w:t xml:space="preserve"> </w:t>
      </w:r>
      <w:r w:rsidRPr="00431BAC">
        <w:rPr>
          <w:rFonts w:asciiTheme="majorBidi" w:hAnsiTheme="majorBidi" w:cstheme="majorBidi"/>
          <w:sz w:val="20"/>
          <w:szCs w:val="20"/>
        </w:rPr>
        <w:t xml:space="preserve">Azar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3.</w:t>
      </w:r>
    </w:p>
  </w:footnote>
  <w:footnote w:id="30">
    <w:p w14:paraId="17D23C8D" w14:textId="1D633458" w:rsidR="00510A7E" w:rsidRPr="00431BAC" w:rsidRDefault="00510A7E" w:rsidP="005D0F7A">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Daniel P.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&amp; Keith </w:t>
      </w:r>
      <w:proofErr w:type="spellStart"/>
      <w:r w:rsidRPr="00431BAC">
        <w:rPr>
          <w:rFonts w:asciiTheme="majorBidi" w:hAnsiTheme="majorBidi" w:cstheme="majorBidi"/>
          <w:sz w:val="20"/>
          <w:szCs w:val="20"/>
        </w:rPr>
        <w:t>Waehrer</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The Competitive Effects of Common Ownership: We Know Less Than We Think</w:t>
      </w:r>
      <w:r w:rsidRPr="00431BAC">
        <w:rPr>
          <w:rFonts w:asciiTheme="majorBidi" w:hAnsiTheme="majorBidi" w:cstheme="majorBidi"/>
          <w:sz w:val="20"/>
          <w:szCs w:val="20"/>
        </w:rPr>
        <w:t>, posted February 22</w:t>
      </w:r>
      <w:r w:rsidRPr="00431BAC">
        <w:rPr>
          <w:rFonts w:asciiTheme="majorBidi" w:hAnsiTheme="majorBidi" w:cstheme="majorBidi"/>
          <w:sz w:val="20"/>
          <w:szCs w:val="20"/>
          <w:vertAlign w:val="superscript"/>
        </w:rPr>
        <w:t>nd</w:t>
      </w:r>
      <w:r w:rsidRPr="00431BAC">
        <w:rPr>
          <w:rFonts w:asciiTheme="majorBidi" w:hAnsiTheme="majorBidi" w:cstheme="majorBidi"/>
          <w:sz w:val="20"/>
          <w:szCs w:val="20"/>
        </w:rPr>
        <w:t>, 2017, available online at: &lt;</w:t>
      </w:r>
      <w:hyperlink r:id="rId8" w:history="1">
        <w:r w:rsidRPr="00431BAC">
          <w:rPr>
            <w:rStyle w:val="Hyperlink"/>
            <w:rFonts w:asciiTheme="majorBidi" w:hAnsiTheme="majorBidi" w:cstheme="majorBidi"/>
            <w:sz w:val="20"/>
            <w:szCs w:val="20"/>
          </w:rPr>
          <w:t>https://papers.ssrn.com/sol3/papers.cfm?abstract_id=2922677</w:t>
        </w:r>
      </w:hyperlink>
      <w:r w:rsidRPr="00431BAC">
        <w:rPr>
          <w:rFonts w:asciiTheme="majorBidi" w:hAnsiTheme="majorBidi" w:cstheme="majorBidi"/>
          <w:sz w:val="20"/>
          <w:szCs w:val="20"/>
        </w:rPr>
        <w:t xml:space="preserve">&gt;. </w:t>
      </w:r>
    </w:p>
  </w:footnote>
  <w:footnote w:id="31">
    <w:p w14:paraId="41990D7B" w14:textId="7C037EDC"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Rock &amp;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w:t>
      </w:r>
      <w:r w:rsidRPr="00431BAC">
        <w:rPr>
          <w:rFonts w:asciiTheme="majorBidi" w:hAnsiTheme="majorBidi" w:cstheme="majorBidi"/>
          <w:i/>
          <w:iCs/>
          <w:sz w:val="20"/>
          <w:szCs w:val="20"/>
        </w:rPr>
        <w:t xml:space="preserve"> 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w:t>
      </w:r>
    </w:p>
  </w:footnote>
  <w:footnote w:id="32">
    <w:p w14:paraId="593323E4" w14:textId="77777777" w:rsidR="00510A7E" w:rsidRPr="00431BAC" w:rsidRDefault="00510A7E" w:rsidP="00ED6156">
      <w:pPr>
        <w:pStyle w:val="Heading1"/>
        <w:spacing w:before="0" w:after="75" w:line="240" w:lineRule="auto"/>
        <w:jc w:val="both"/>
        <w:rPr>
          <w:rFonts w:asciiTheme="majorBidi" w:hAnsiTheme="majorBidi"/>
          <w:b w:val="0"/>
          <w:bCs w:val="0"/>
          <w:sz w:val="20"/>
          <w:szCs w:val="20"/>
        </w:rPr>
      </w:pPr>
      <w:r w:rsidRPr="00431BAC">
        <w:rPr>
          <w:rStyle w:val="FootnoteReference"/>
          <w:rFonts w:asciiTheme="majorBidi" w:hAnsiTheme="majorBidi"/>
          <w:b w:val="0"/>
          <w:bCs w:val="0"/>
          <w:color w:val="000000" w:themeColor="text1"/>
          <w:sz w:val="20"/>
          <w:szCs w:val="20"/>
        </w:rPr>
        <w:footnoteRef/>
      </w:r>
      <w:r w:rsidRPr="00431BAC">
        <w:rPr>
          <w:rFonts w:asciiTheme="majorBidi" w:hAnsiTheme="majorBidi"/>
          <w:color w:val="000000" w:themeColor="text1"/>
          <w:sz w:val="20"/>
          <w:szCs w:val="20"/>
        </w:rPr>
        <w:t xml:space="preserve"> </w:t>
      </w:r>
      <w:r w:rsidRPr="00431BAC">
        <w:rPr>
          <w:rFonts w:asciiTheme="majorBidi" w:eastAsiaTheme="minorHAnsi" w:hAnsiTheme="majorBidi"/>
          <w:b w:val="0"/>
          <w:bCs w:val="0"/>
          <w:color w:val="auto"/>
          <w:sz w:val="20"/>
          <w:szCs w:val="20"/>
          <w:lang w:bidi="he-IL"/>
        </w:rPr>
        <w:t xml:space="preserve">Pauline Kennedy, Daniel P. </w:t>
      </w:r>
      <w:proofErr w:type="spellStart"/>
      <w:r w:rsidRPr="00431BAC">
        <w:rPr>
          <w:rFonts w:asciiTheme="majorBidi" w:eastAsiaTheme="minorHAnsi" w:hAnsiTheme="majorBidi"/>
          <w:b w:val="0"/>
          <w:bCs w:val="0"/>
          <w:color w:val="auto"/>
          <w:sz w:val="20"/>
          <w:szCs w:val="20"/>
          <w:lang w:bidi="he-IL"/>
        </w:rPr>
        <w:t>O’brien</w:t>
      </w:r>
      <w:proofErr w:type="spellEnd"/>
      <w:r w:rsidRPr="00431BAC">
        <w:rPr>
          <w:rFonts w:asciiTheme="majorBidi" w:eastAsiaTheme="minorHAnsi" w:hAnsiTheme="majorBidi"/>
          <w:b w:val="0"/>
          <w:bCs w:val="0"/>
          <w:color w:val="auto"/>
          <w:sz w:val="20"/>
          <w:szCs w:val="20"/>
          <w:lang w:bidi="he-IL"/>
        </w:rPr>
        <w:t xml:space="preserve">, </w:t>
      </w:r>
      <w:proofErr w:type="spellStart"/>
      <w:r w:rsidRPr="00431BAC">
        <w:rPr>
          <w:rFonts w:asciiTheme="majorBidi" w:eastAsiaTheme="minorHAnsi" w:hAnsiTheme="majorBidi"/>
          <w:b w:val="0"/>
          <w:bCs w:val="0"/>
          <w:color w:val="auto"/>
          <w:sz w:val="20"/>
          <w:szCs w:val="20"/>
          <w:lang w:bidi="he-IL"/>
        </w:rPr>
        <w:t>Minjae</w:t>
      </w:r>
      <w:proofErr w:type="spellEnd"/>
      <w:r w:rsidRPr="00431BAC">
        <w:rPr>
          <w:rFonts w:asciiTheme="majorBidi" w:eastAsiaTheme="minorHAnsi" w:hAnsiTheme="majorBidi"/>
          <w:b w:val="0"/>
          <w:bCs w:val="0"/>
          <w:color w:val="auto"/>
          <w:sz w:val="20"/>
          <w:szCs w:val="20"/>
          <w:lang w:bidi="he-IL"/>
        </w:rPr>
        <w:t xml:space="preserve"> Song &amp; Keith </w:t>
      </w:r>
      <w:proofErr w:type="spellStart"/>
      <w:r w:rsidRPr="00431BAC">
        <w:rPr>
          <w:rFonts w:asciiTheme="majorBidi" w:eastAsiaTheme="minorHAnsi" w:hAnsiTheme="majorBidi"/>
          <w:b w:val="0"/>
          <w:bCs w:val="0"/>
          <w:color w:val="auto"/>
          <w:sz w:val="20"/>
          <w:szCs w:val="20"/>
          <w:lang w:bidi="he-IL"/>
        </w:rPr>
        <w:t>Waehrer</w:t>
      </w:r>
      <w:proofErr w:type="spellEnd"/>
      <w:r w:rsidRPr="00431BAC">
        <w:rPr>
          <w:rFonts w:asciiTheme="majorBidi" w:eastAsiaTheme="minorHAnsi" w:hAnsiTheme="majorBidi"/>
          <w:b w:val="0"/>
          <w:bCs w:val="0"/>
          <w:color w:val="auto"/>
          <w:sz w:val="20"/>
          <w:szCs w:val="20"/>
          <w:lang w:bidi="he-IL"/>
        </w:rPr>
        <w:t xml:space="preserve">, </w:t>
      </w:r>
      <w:r w:rsidRPr="00431BAC">
        <w:rPr>
          <w:rFonts w:asciiTheme="majorBidi" w:eastAsiaTheme="minorHAnsi" w:hAnsiTheme="majorBidi"/>
          <w:b w:val="0"/>
          <w:bCs w:val="0"/>
          <w:i/>
          <w:iCs/>
          <w:color w:val="auto"/>
          <w:sz w:val="20"/>
          <w:szCs w:val="20"/>
          <w:lang w:bidi="he-IL"/>
        </w:rPr>
        <w:t>The Competitive Effects of Common Ownership: Economic Foundations and Empirical Evidence</w:t>
      </w:r>
      <w:r w:rsidRPr="00431BAC">
        <w:rPr>
          <w:rFonts w:asciiTheme="majorBidi" w:eastAsiaTheme="minorHAnsi" w:hAnsiTheme="majorBidi"/>
          <w:b w:val="0"/>
          <w:bCs w:val="0"/>
          <w:color w:val="auto"/>
          <w:sz w:val="20"/>
          <w:szCs w:val="20"/>
          <w:lang w:bidi="he-IL"/>
        </w:rPr>
        <w:t>, posted July 26</w:t>
      </w:r>
      <w:r w:rsidRPr="00431BAC">
        <w:rPr>
          <w:rFonts w:asciiTheme="majorBidi" w:eastAsiaTheme="minorHAnsi" w:hAnsiTheme="majorBidi"/>
          <w:b w:val="0"/>
          <w:bCs w:val="0"/>
          <w:color w:val="auto"/>
          <w:sz w:val="20"/>
          <w:szCs w:val="20"/>
          <w:vertAlign w:val="superscript"/>
          <w:lang w:bidi="he-IL"/>
        </w:rPr>
        <w:t>th</w:t>
      </w:r>
      <w:r w:rsidRPr="00431BAC">
        <w:rPr>
          <w:rFonts w:asciiTheme="majorBidi" w:eastAsiaTheme="minorHAnsi" w:hAnsiTheme="majorBidi"/>
          <w:b w:val="0"/>
          <w:bCs w:val="0"/>
          <w:color w:val="auto"/>
          <w:sz w:val="20"/>
          <w:szCs w:val="20"/>
          <w:lang w:bidi="he-IL"/>
        </w:rPr>
        <w:t>, 2017, available online at: &lt;</w:t>
      </w:r>
      <w:hyperlink r:id="rId9" w:history="1">
        <w:r w:rsidRPr="00431BAC">
          <w:rPr>
            <w:rStyle w:val="Hyperlink"/>
            <w:rFonts w:asciiTheme="majorBidi" w:eastAsiaTheme="minorHAnsi" w:hAnsiTheme="majorBidi"/>
            <w:b w:val="0"/>
            <w:bCs w:val="0"/>
            <w:noProof/>
            <w:sz w:val="20"/>
            <w:szCs w:val="20"/>
            <w:lang w:bidi="he-IL"/>
          </w:rPr>
          <w:t>https://papers.ssrn.com/sol3/papers.cfm?abstract_id=3008331</w:t>
        </w:r>
      </w:hyperlink>
      <w:r w:rsidRPr="00431BAC">
        <w:rPr>
          <w:rStyle w:val="Hyperlink"/>
          <w:rFonts w:asciiTheme="majorBidi" w:eastAsiaTheme="minorHAnsi" w:hAnsiTheme="majorBidi"/>
          <w:b w:val="0"/>
          <w:bCs w:val="0"/>
          <w:noProof/>
          <w:color w:val="000000" w:themeColor="text1"/>
          <w:sz w:val="20"/>
          <w:szCs w:val="20"/>
          <w:lang w:bidi="he-IL"/>
        </w:rPr>
        <w:t>&gt;</w:t>
      </w:r>
      <w:r w:rsidRPr="00431BAC">
        <w:rPr>
          <w:rFonts w:asciiTheme="majorBidi" w:hAnsiTheme="majorBidi"/>
          <w:b w:val="0"/>
          <w:bCs w:val="0"/>
          <w:sz w:val="20"/>
          <w:szCs w:val="20"/>
        </w:rPr>
        <w:t xml:space="preserve">. </w:t>
      </w:r>
    </w:p>
  </w:footnote>
  <w:footnote w:id="33">
    <w:p w14:paraId="4C84A35D" w14:textId="7A540407" w:rsidR="00510A7E" w:rsidRPr="00431BAC" w:rsidRDefault="00510A7E" w:rsidP="00BD075E">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Jacob </w:t>
      </w:r>
      <w:proofErr w:type="spellStart"/>
      <w:r w:rsidRPr="00431BAC">
        <w:rPr>
          <w:rFonts w:asciiTheme="majorBidi" w:hAnsiTheme="majorBidi" w:cstheme="majorBidi"/>
          <w:sz w:val="20"/>
          <w:szCs w:val="20"/>
        </w:rPr>
        <w:t>Gramlich</w:t>
      </w:r>
      <w:proofErr w:type="spellEnd"/>
      <w:r w:rsidRPr="00431BAC">
        <w:rPr>
          <w:rFonts w:asciiTheme="majorBidi" w:hAnsiTheme="majorBidi" w:cstheme="majorBidi"/>
          <w:sz w:val="20"/>
          <w:szCs w:val="20"/>
        </w:rPr>
        <w:t xml:space="preserve"> &amp; </w:t>
      </w:r>
      <w:proofErr w:type="spellStart"/>
      <w:r w:rsidRPr="00431BAC">
        <w:rPr>
          <w:rFonts w:asciiTheme="majorBidi" w:hAnsiTheme="majorBidi" w:cstheme="majorBidi"/>
          <w:sz w:val="20"/>
          <w:szCs w:val="20"/>
        </w:rPr>
        <w:t>Serafin</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Grundl</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Estimating the Competitive effects of Common Ownership</w:t>
      </w:r>
      <w:r w:rsidRPr="00431BAC">
        <w:rPr>
          <w:rFonts w:asciiTheme="majorBidi" w:hAnsiTheme="majorBidi" w:cstheme="majorBidi"/>
          <w:sz w:val="20"/>
          <w:szCs w:val="20"/>
        </w:rPr>
        <w:t xml:space="preserve">, Draft, April 21, 2017, Finance and Economics Discussion Series Divisions of Research &amp; Statistics and Monetary Affairs Federal Reserve Board, Washington, D.C., available on SSRN at: &lt; </w:t>
      </w:r>
      <w:hyperlink r:id="rId10" w:history="1">
        <w:r w:rsidRPr="00431BAC">
          <w:rPr>
            <w:rStyle w:val="Hyperlink"/>
            <w:rFonts w:asciiTheme="majorBidi" w:hAnsiTheme="majorBidi" w:cstheme="majorBidi"/>
            <w:sz w:val="20"/>
            <w:szCs w:val="20"/>
          </w:rPr>
          <w:t>https://papers.ssrn.com/sol3/papers.cfm?abstract_id=2940137</w:t>
        </w:r>
      </w:hyperlink>
      <w:r w:rsidRPr="00431BAC">
        <w:rPr>
          <w:rFonts w:asciiTheme="majorBidi" w:hAnsiTheme="majorBidi" w:cstheme="majorBidi"/>
          <w:sz w:val="20"/>
          <w:szCs w:val="20"/>
        </w:rPr>
        <w:t>&gt;.</w:t>
      </w:r>
    </w:p>
  </w:footnote>
  <w:footnote w:id="34">
    <w:p w14:paraId="789654B4" w14:textId="38F802D7" w:rsidR="00510A7E" w:rsidRPr="00431BAC" w:rsidRDefault="00510A7E" w:rsidP="00D47579">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E.g. </w:t>
      </w:r>
      <w:r w:rsidRPr="00431BAC">
        <w:rPr>
          <w:rFonts w:asciiTheme="majorBidi" w:hAnsiTheme="majorBidi" w:cstheme="majorBidi"/>
          <w:noProof/>
          <w:sz w:val="20"/>
          <w:szCs w:val="20"/>
        </w:rPr>
        <w:t xml:space="preserve">Elhague,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w:t>
      </w:r>
      <w:r w:rsidRPr="00431BAC">
        <w:rPr>
          <w:rFonts w:asciiTheme="majorBidi" w:hAnsiTheme="majorBidi" w:cstheme="majorBidi"/>
          <w:noProof/>
          <w:sz w:val="20"/>
          <w:szCs w:val="20"/>
        </w:rPr>
        <w:t xml:space="preserve">Posner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noProof/>
          <w:sz w:val="20"/>
          <w:szCs w:val="20"/>
        </w:rPr>
        <w:t>.</w:t>
      </w:r>
    </w:p>
  </w:footnote>
  <w:footnote w:id="35">
    <w:p w14:paraId="62736004" w14:textId="74C8B7B3"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noProof/>
          <w:sz w:val="20"/>
          <w:szCs w:val="20"/>
        </w:rPr>
        <w:t xml:space="preserve">Elhague,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at 1301 – 1314; </w:t>
      </w:r>
      <w:r w:rsidRPr="00431BAC">
        <w:rPr>
          <w:rFonts w:asciiTheme="majorBidi" w:hAnsiTheme="majorBidi" w:cstheme="majorBidi"/>
          <w:noProof/>
          <w:sz w:val="20"/>
          <w:szCs w:val="20"/>
        </w:rPr>
        <w:t xml:space="preserve">Posner et al.,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w:t>
      </w:r>
      <w:r w:rsidRPr="00431BAC">
        <w:rPr>
          <w:rFonts w:asciiTheme="majorBidi" w:hAnsiTheme="majorBidi" w:cstheme="majorBidi"/>
          <w:noProof/>
          <w:sz w:val="20"/>
          <w:szCs w:val="20"/>
        </w:rPr>
        <w:t>at 8 &amp; 19.</w:t>
      </w:r>
    </w:p>
  </w:footnote>
  <w:footnote w:id="36">
    <w:p w14:paraId="10DA741D" w14:textId="18DD4EA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Kennedy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_Ref504980397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31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note 4, </w:t>
      </w:r>
      <w:r w:rsidRPr="00431BAC">
        <w:rPr>
          <w:rFonts w:asciiTheme="majorBidi" w:hAnsiTheme="majorBidi" w:cstheme="majorBidi"/>
          <w:noProof/>
          <w:sz w:val="20"/>
          <w:szCs w:val="20"/>
        </w:rPr>
        <w:t>Davidoff Solomon, Rise of Institutional Investors Raises Questions of Collusion”, April 12, 2016 available at: &lt;</w:t>
      </w:r>
      <w:r w:rsidRPr="00431BAC">
        <w:rPr>
          <w:rFonts w:asciiTheme="majorBidi" w:hAnsiTheme="majorBidi" w:cstheme="majorBidi"/>
          <w:sz w:val="20"/>
          <w:szCs w:val="20"/>
        </w:rPr>
        <w:t xml:space="preserve"> </w:t>
      </w:r>
      <w:hyperlink r:id="rId11" w:history="1">
        <w:r w:rsidRPr="00431BAC">
          <w:rPr>
            <w:rStyle w:val="Hyperlink"/>
            <w:rFonts w:asciiTheme="majorBidi" w:hAnsiTheme="majorBidi" w:cstheme="majorBidi"/>
            <w:noProof/>
            <w:sz w:val="20"/>
            <w:szCs w:val="20"/>
          </w:rPr>
          <w:t>https://www.nytimes.com/2016/04/13/business/dealbook/rise-of-institutional-investors-raisesquestions-of-collusion.html</w:t>
        </w:r>
      </w:hyperlink>
      <w:r w:rsidRPr="00431BAC">
        <w:rPr>
          <w:rFonts w:asciiTheme="majorBidi" w:hAnsiTheme="majorBidi" w:cstheme="majorBidi"/>
          <w:noProof/>
          <w:sz w:val="20"/>
          <w:szCs w:val="20"/>
        </w:rPr>
        <w:t xml:space="preserve">&gt;, Patel, </w:t>
      </w:r>
      <w:r w:rsidRPr="00431BAC">
        <w:rPr>
          <w:rFonts w:asciiTheme="majorBidi" w:hAnsiTheme="majorBidi" w:cstheme="majorBidi"/>
          <w:i/>
          <w:iCs/>
          <w:noProof/>
          <w:sz w:val="20"/>
          <w:szCs w:val="20"/>
        </w:rPr>
        <w:t>supra</w:t>
      </w:r>
      <w:r w:rsidRPr="00431BAC">
        <w:rPr>
          <w:rFonts w:asciiTheme="majorBidi" w:hAnsiTheme="majorBidi" w:cstheme="majorBidi"/>
          <w:noProof/>
          <w:sz w:val="20"/>
          <w:szCs w:val="20"/>
        </w:rPr>
        <w:t xml:space="preserve"> note </w:t>
      </w:r>
      <w:r w:rsidRPr="00431BAC">
        <w:rPr>
          <w:rFonts w:asciiTheme="majorBidi" w:hAnsiTheme="majorBidi" w:cstheme="majorBidi"/>
          <w:noProof/>
          <w:sz w:val="20"/>
          <w:szCs w:val="20"/>
        </w:rPr>
        <w:fldChar w:fldCharType="begin"/>
      </w:r>
      <w:r w:rsidRPr="00431BAC">
        <w:rPr>
          <w:rFonts w:asciiTheme="majorBidi" w:hAnsiTheme="majorBidi" w:cstheme="majorBidi"/>
          <w:noProof/>
          <w:sz w:val="20"/>
          <w:szCs w:val="20"/>
        </w:rPr>
        <w:instrText xml:space="preserve"> NOTEREF _Ref492384253 \h  \* MERGEFORMAT </w:instrText>
      </w:r>
      <w:r w:rsidRPr="00431BAC">
        <w:rPr>
          <w:rFonts w:asciiTheme="majorBidi" w:hAnsiTheme="majorBidi" w:cstheme="majorBidi"/>
          <w:noProof/>
          <w:sz w:val="20"/>
          <w:szCs w:val="20"/>
        </w:rPr>
      </w:r>
      <w:r w:rsidRPr="00431BAC">
        <w:rPr>
          <w:rFonts w:asciiTheme="majorBidi" w:hAnsiTheme="majorBidi" w:cstheme="majorBidi"/>
          <w:noProof/>
          <w:sz w:val="20"/>
          <w:szCs w:val="20"/>
        </w:rPr>
        <w:fldChar w:fldCharType="separate"/>
      </w:r>
      <w:r>
        <w:rPr>
          <w:rFonts w:asciiTheme="majorBidi" w:hAnsiTheme="majorBidi" w:cstheme="majorBidi"/>
          <w:noProof/>
          <w:sz w:val="20"/>
          <w:szCs w:val="20"/>
        </w:rPr>
        <w:t>1</w:t>
      </w:r>
      <w:r w:rsidRPr="00431BAC">
        <w:rPr>
          <w:rFonts w:asciiTheme="majorBidi" w:hAnsiTheme="majorBidi" w:cstheme="majorBidi"/>
          <w:noProof/>
          <w:sz w:val="20"/>
          <w:szCs w:val="20"/>
        </w:rPr>
        <w:fldChar w:fldCharType="end"/>
      </w:r>
      <w:r w:rsidRPr="00431BAC">
        <w:rPr>
          <w:rFonts w:asciiTheme="majorBidi" w:hAnsiTheme="majorBidi" w:cstheme="majorBidi"/>
          <w:noProof/>
          <w:sz w:val="20"/>
          <w:szCs w:val="20"/>
        </w:rPr>
        <w:t xml:space="preserve">, at 27. Although at least one of these investigations has apparently been abandoned. See Rock &amp; Rubinfeld, </w:t>
      </w:r>
      <w:r w:rsidRPr="00431BAC">
        <w:rPr>
          <w:rFonts w:asciiTheme="majorBidi" w:hAnsiTheme="majorBidi" w:cstheme="majorBidi"/>
          <w:i/>
          <w:iCs/>
          <w:noProof/>
          <w:sz w:val="20"/>
          <w:szCs w:val="20"/>
        </w:rPr>
        <w:t>supra</w:t>
      </w:r>
      <w:r w:rsidRPr="00431BAC">
        <w:rPr>
          <w:rFonts w:asciiTheme="majorBidi" w:hAnsiTheme="majorBidi" w:cstheme="majorBidi"/>
          <w:noProof/>
          <w:sz w:val="20"/>
          <w:szCs w:val="20"/>
        </w:rPr>
        <w:t xml:space="preserve"> note</w:t>
      </w:r>
      <w:r w:rsidRPr="00431BAC">
        <w:rPr>
          <w:rFonts w:asciiTheme="majorBidi" w:hAnsiTheme="majorBidi" w:cstheme="majorBidi"/>
          <w:sz w:val="20"/>
          <w:szCs w:val="20"/>
        </w:rPr>
        <w:t xml:space="preserv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note 46.</w:t>
      </w:r>
    </w:p>
  </w:footnote>
  <w:footnote w:id="37">
    <w:p w14:paraId="37372F10" w14:textId="71AC7DD0" w:rsidR="00510A7E" w:rsidRPr="00431BAC" w:rsidRDefault="00510A7E" w:rsidP="00DE4136">
      <w:pPr>
        <w:pStyle w:val="FootnoteText"/>
        <w:jc w:val="both"/>
        <w:rPr>
          <w:rFonts w:asciiTheme="majorBidi" w:hAnsiTheme="majorBidi" w:cstheme="majorBidi"/>
          <w:noProof/>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noProof/>
          <w:sz w:val="20"/>
          <w:szCs w:val="20"/>
        </w:rPr>
        <w:t xml:space="preserve">Solomon, </w:t>
      </w:r>
      <w:r w:rsidRPr="00431BAC">
        <w:rPr>
          <w:rFonts w:asciiTheme="majorBidi" w:hAnsiTheme="majorBidi" w:cstheme="majorBidi"/>
          <w:i/>
          <w:iCs/>
          <w:noProof/>
          <w:sz w:val="20"/>
          <w:szCs w:val="20"/>
        </w:rPr>
        <w:t>id</w:t>
      </w:r>
      <w:r w:rsidRPr="00431BAC">
        <w:rPr>
          <w:rFonts w:asciiTheme="majorBidi" w:hAnsiTheme="majorBidi" w:cstheme="majorBidi"/>
          <w:noProof/>
          <w:sz w:val="20"/>
          <w:szCs w:val="20"/>
        </w:rPr>
        <w:t>.</w:t>
      </w:r>
    </w:p>
  </w:footnote>
  <w:footnote w:id="38">
    <w:p w14:paraId="57024DDB" w14:textId="198E4280"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Posner et al., </w:t>
      </w:r>
      <w:r w:rsidRPr="00431BAC">
        <w:rPr>
          <w:rFonts w:asciiTheme="majorBidi" w:hAnsiTheme="majorBidi" w:cstheme="majorBidi"/>
          <w:i/>
          <w:iCs/>
          <w:noProof/>
          <w:sz w:val="20"/>
          <w:szCs w:val="20"/>
        </w:rPr>
        <w:t>supra</w:t>
      </w:r>
      <w:r w:rsidRPr="00431BAC">
        <w:rPr>
          <w:rFonts w:asciiTheme="majorBidi" w:hAnsiTheme="majorBidi" w:cstheme="majorBidi"/>
          <w:noProof/>
          <w:sz w:val="20"/>
          <w:szCs w:val="20"/>
        </w:rPr>
        <w:t xml:space="preserve"> note </w:t>
      </w:r>
      <w:r w:rsidRPr="00431BAC">
        <w:rPr>
          <w:rFonts w:asciiTheme="majorBidi" w:hAnsiTheme="majorBidi" w:cstheme="majorBidi"/>
          <w:noProof/>
          <w:sz w:val="20"/>
          <w:szCs w:val="20"/>
        </w:rPr>
        <w:fldChar w:fldCharType="begin"/>
      </w:r>
      <w:r w:rsidRPr="00431BAC">
        <w:rPr>
          <w:rFonts w:asciiTheme="majorBidi" w:hAnsiTheme="majorBidi" w:cstheme="majorBidi"/>
          <w:noProof/>
          <w:sz w:val="20"/>
          <w:szCs w:val="20"/>
        </w:rPr>
        <w:instrText xml:space="preserve"> NOTEREF _Ref492384253 \h  \* MERGEFORMAT </w:instrText>
      </w:r>
      <w:r w:rsidRPr="00431BAC">
        <w:rPr>
          <w:rFonts w:asciiTheme="majorBidi" w:hAnsiTheme="majorBidi" w:cstheme="majorBidi"/>
          <w:noProof/>
          <w:sz w:val="20"/>
          <w:szCs w:val="20"/>
        </w:rPr>
      </w:r>
      <w:r w:rsidRPr="00431BAC">
        <w:rPr>
          <w:rFonts w:asciiTheme="majorBidi" w:hAnsiTheme="majorBidi" w:cstheme="majorBidi"/>
          <w:noProof/>
          <w:sz w:val="20"/>
          <w:szCs w:val="20"/>
        </w:rPr>
        <w:fldChar w:fldCharType="separate"/>
      </w:r>
      <w:r>
        <w:rPr>
          <w:rFonts w:asciiTheme="majorBidi" w:hAnsiTheme="majorBidi" w:cstheme="majorBidi"/>
          <w:noProof/>
          <w:sz w:val="20"/>
          <w:szCs w:val="20"/>
        </w:rPr>
        <w:t>1</w:t>
      </w:r>
      <w:r w:rsidRPr="00431BAC">
        <w:rPr>
          <w:rFonts w:asciiTheme="majorBidi" w:hAnsiTheme="majorBidi" w:cstheme="majorBidi"/>
          <w:noProof/>
          <w:sz w:val="20"/>
          <w:szCs w:val="20"/>
        </w:rPr>
        <w:fldChar w:fldCharType="end"/>
      </w:r>
      <w:r w:rsidRPr="00431BAC">
        <w:rPr>
          <w:rFonts w:asciiTheme="majorBidi" w:hAnsiTheme="majorBidi" w:cstheme="majorBidi"/>
          <w:noProof/>
          <w:sz w:val="20"/>
          <w:szCs w:val="20"/>
        </w:rPr>
        <w:t>,</w:t>
      </w:r>
      <w:r w:rsidRPr="00431BAC">
        <w:rPr>
          <w:rFonts w:asciiTheme="majorBidi" w:hAnsiTheme="majorBidi" w:cstheme="majorBidi"/>
          <w:sz w:val="20"/>
          <w:szCs w:val="20"/>
        </w:rPr>
        <w:t xml:space="preserve"> at 27. See also Rock and </w:t>
      </w:r>
      <w:proofErr w:type="spellStart"/>
      <w:r w:rsidRPr="00431BAC">
        <w:rPr>
          <w:rFonts w:asciiTheme="majorBidi" w:hAnsiTheme="majorBidi" w:cstheme="majorBidi"/>
          <w:sz w:val="20"/>
          <w:szCs w:val="20"/>
        </w:rPr>
        <w:t>Rubinfeld’s</w:t>
      </w:r>
      <w:proofErr w:type="spellEnd"/>
      <w:r w:rsidRPr="00431BAC">
        <w:rPr>
          <w:rFonts w:asciiTheme="majorBidi" w:hAnsiTheme="majorBidi" w:cstheme="majorBidi"/>
          <w:sz w:val="20"/>
          <w:szCs w:val="20"/>
        </w:rPr>
        <w:t xml:space="preserve"> suggestions – Rock &amp;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42 – 49.</w:t>
      </w:r>
    </w:p>
  </w:footnote>
  <w:footnote w:id="39">
    <w:p w14:paraId="439D5230" w14:textId="15CB3D7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w:t>
      </w:r>
      <w:r w:rsidRPr="00431BAC">
        <w:rPr>
          <w:rFonts w:asciiTheme="majorBidi" w:hAnsiTheme="majorBidi" w:cstheme="majorBidi"/>
          <w:sz w:val="20"/>
          <w:szCs w:val="20"/>
          <w:rtl/>
        </w:rPr>
        <w:t xml:space="preserv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_Ref491799009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24</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See also Model Business Corp. Act § 1.40 (18) (1984).</w:t>
      </w:r>
    </w:p>
  </w:footnote>
  <w:footnote w:id="40">
    <w:p w14:paraId="6CBC97FB" w14:textId="2977D111"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George J. Stigler, </w:t>
      </w:r>
      <w:r w:rsidRPr="00431BAC">
        <w:rPr>
          <w:rFonts w:asciiTheme="majorBidi" w:hAnsiTheme="majorBidi" w:cstheme="majorBidi"/>
          <w:i/>
          <w:iCs/>
          <w:sz w:val="20"/>
          <w:szCs w:val="20"/>
        </w:rPr>
        <w:t>A Theory of Oligopoly</w:t>
      </w:r>
      <w:r w:rsidRPr="00431BAC">
        <w:rPr>
          <w:rFonts w:asciiTheme="majorBidi" w:hAnsiTheme="majorBidi" w:cstheme="majorBidi"/>
          <w:sz w:val="20"/>
          <w:szCs w:val="20"/>
        </w:rPr>
        <w:t>, 72 Journal of Political Economy, 44 (1964).</w:t>
      </w:r>
    </w:p>
  </w:footnote>
  <w:footnote w:id="41">
    <w:p w14:paraId="00694D23" w14:textId="39409A6D" w:rsidR="00510A7E" w:rsidRPr="00431BAC" w:rsidRDefault="00510A7E" w:rsidP="009B0573">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Pr>
          <w:rFonts w:asciiTheme="majorBidi" w:hAnsiTheme="majorBidi" w:cstheme="majorBidi"/>
          <w:sz w:val="20"/>
          <w:szCs w:val="20"/>
        </w:rPr>
        <w:fldChar w:fldCharType="begin"/>
      </w:r>
      <w:r>
        <w:rPr>
          <w:rFonts w:asciiTheme="majorBidi" w:hAnsiTheme="majorBidi" w:cstheme="majorBidi"/>
          <w:sz w:val="20"/>
          <w:szCs w:val="20"/>
        </w:rPr>
        <w:instrText xml:space="preserve"> NOTEREF _Ref492565957 \h </w:instrText>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sz w:val="20"/>
          <w:szCs w:val="20"/>
        </w:rPr>
        <w:t>13</w:t>
      </w:r>
      <w:r>
        <w:rPr>
          <w:rFonts w:asciiTheme="majorBidi" w:hAnsiTheme="majorBidi" w:cstheme="majorBidi"/>
          <w:sz w:val="20"/>
          <w:szCs w:val="20"/>
        </w:rPr>
        <w:fldChar w:fldCharType="end"/>
      </w:r>
      <w:r w:rsidRPr="00431BAC">
        <w:rPr>
          <w:rFonts w:asciiTheme="majorBidi" w:hAnsiTheme="majorBidi" w:cstheme="majorBidi"/>
          <w:sz w:val="20"/>
          <w:szCs w:val="20"/>
        </w:rPr>
        <w:t xml:space="preserve">. But see Posner et al.’s point regarding markets with HHI’s that are lower than 2,500, but with relatively high MHHI’s (at 24). On the MHHI see </w:t>
      </w:r>
      <w:r w:rsidRPr="00431BAC">
        <w:rPr>
          <w:rFonts w:asciiTheme="majorBidi" w:hAnsiTheme="majorBidi" w:cstheme="majorBidi"/>
          <w:i/>
          <w:iCs/>
          <w:sz w:val="20"/>
          <w:szCs w:val="20"/>
        </w:rPr>
        <w:t>infra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_Ref492839455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116</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and accompanying text.</w:t>
      </w:r>
    </w:p>
  </w:footnote>
  <w:footnote w:id="42">
    <w:p w14:paraId="3F9D364A" w14:textId="7F09D215" w:rsidR="00510A7E" w:rsidRPr="00431BAC" w:rsidRDefault="00510A7E" w:rsidP="009B0573">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As mentioned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Pr>
          <w:rFonts w:asciiTheme="majorBidi" w:hAnsiTheme="majorBidi" w:cstheme="majorBidi"/>
          <w:sz w:val="20"/>
          <w:szCs w:val="20"/>
        </w:rPr>
        <w:fldChar w:fldCharType="begin"/>
      </w:r>
      <w:r>
        <w:rPr>
          <w:rFonts w:asciiTheme="majorBidi" w:hAnsiTheme="majorBidi" w:cstheme="majorBidi"/>
          <w:sz w:val="20"/>
          <w:szCs w:val="20"/>
        </w:rPr>
        <w:instrText xml:space="preserve"> NOTEREF _Ref492565957 \h </w:instrText>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sz w:val="20"/>
          <w:szCs w:val="20"/>
        </w:rPr>
        <w:t>13</w:t>
      </w:r>
      <w:r>
        <w:rPr>
          <w:rFonts w:asciiTheme="majorBidi" w:hAnsiTheme="majorBidi" w:cstheme="majorBidi"/>
          <w:sz w:val="20"/>
          <w:szCs w:val="20"/>
        </w:rPr>
        <w:fldChar w:fldCharType="end"/>
      </w:r>
      <w:r w:rsidRPr="00431BAC">
        <w:rPr>
          <w:rFonts w:asciiTheme="majorBidi" w:hAnsiTheme="majorBidi" w:cstheme="majorBidi"/>
          <w:sz w:val="20"/>
          <w:szCs w:val="20"/>
        </w:rPr>
        <w:t>), the acceptable measurement of concentration is an HHI, and according to the HMG, industries with HHIs of 2500 and higher are considered highly concentrated. Mathematically, an HHI of over 2500 means that there are four or fewer major firms in the market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1277).</w:t>
      </w:r>
    </w:p>
  </w:footnote>
  <w:footnote w:id="43">
    <w:p w14:paraId="31BCEEA1" w14:textId="737DC13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The different equilibria would depend not only on the number of competitors, but also on the nature of competition in the industry. See generally Jean </w:t>
      </w:r>
      <w:proofErr w:type="spellStart"/>
      <w:r w:rsidRPr="00431BAC">
        <w:rPr>
          <w:rFonts w:asciiTheme="majorBidi" w:hAnsiTheme="majorBidi" w:cstheme="majorBidi"/>
          <w:sz w:val="20"/>
          <w:szCs w:val="20"/>
        </w:rPr>
        <w:t>Tirole</w:t>
      </w:r>
      <w:proofErr w:type="spellEnd"/>
      <w:r w:rsidRPr="00431BAC">
        <w:rPr>
          <w:rFonts w:asciiTheme="majorBidi" w:hAnsiTheme="majorBidi" w:cstheme="majorBidi"/>
          <w:sz w:val="20"/>
          <w:szCs w:val="20"/>
        </w:rPr>
        <w:t>, The Theory of Industrial Organization, MIT Press, Cambridge, MA, 1994 (7</w:t>
      </w:r>
      <w:r w:rsidRPr="00431BAC">
        <w:rPr>
          <w:rFonts w:asciiTheme="majorBidi" w:hAnsiTheme="majorBidi" w:cstheme="majorBidi"/>
          <w:sz w:val="20"/>
          <w:szCs w:val="20"/>
          <w:vertAlign w:val="superscript"/>
        </w:rPr>
        <w:t>th</w:t>
      </w:r>
      <w:r w:rsidRPr="00431BAC">
        <w:rPr>
          <w:rFonts w:asciiTheme="majorBidi" w:hAnsiTheme="majorBidi" w:cstheme="majorBidi"/>
          <w:sz w:val="20"/>
          <w:szCs w:val="20"/>
        </w:rPr>
        <w:t xml:space="preserve"> printing) at </w:t>
      </w:r>
      <w:proofErr w:type="spellStart"/>
      <w:r w:rsidRPr="00431BAC">
        <w:rPr>
          <w:rFonts w:asciiTheme="majorBidi" w:hAnsiTheme="majorBidi" w:cstheme="majorBidi"/>
          <w:sz w:val="20"/>
          <w:szCs w:val="20"/>
        </w:rPr>
        <w:t>ch.</w:t>
      </w:r>
      <w:proofErr w:type="spellEnd"/>
      <w:r w:rsidRPr="00431BAC">
        <w:rPr>
          <w:rFonts w:asciiTheme="majorBidi" w:hAnsiTheme="majorBidi" w:cstheme="majorBidi"/>
          <w:sz w:val="20"/>
          <w:szCs w:val="20"/>
        </w:rPr>
        <w:t xml:space="preserve"> 6.</w:t>
      </w:r>
    </w:p>
  </w:footnote>
  <w:footnote w:id="44">
    <w:p w14:paraId="51DBC0B9" w14:textId="60694EDF"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Bell Atlantic Corp. v. </w:t>
      </w:r>
      <w:proofErr w:type="spellStart"/>
      <w:r w:rsidRPr="00431BAC">
        <w:rPr>
          <w:rFonts w:asciiTheme="majorBidi" w:hAnsiTheme="majorBidi" w:cstheme="majorBidi"/>
          <w:i/>
          <w:iCs/>
          <w:sz w:val="20"/>
          <w:szCs w:val="20"/>
        </w:rPr>
        <w:t>Twombly</w:t>
      </w:r>
      <w:proofErr w:type="spellEnd"/>
      <w:r w:rsidRPr="00431BAC">
        <w:rPr>
          <w:rFonts w:asciiTheme="majorBidi" w:hAnsiTheme="majorBidi" w:cstheme="majorBidi"/>
          <w:sz w:val="20"/>
          <w:szCs w:val="20"/>
        </w:rPr>
        <w:t xml:space="preserve">, 550 U.S. 544 (2007), </w:t>
      </w:r>
      <w:r w:rsidRPr="00431BAC">
        <w:rPr>
          <w:rFonts w:asciiTheme="majorBidi" w:hAnsiTheme="majorBidi" w:cstheme="majorBidi"/>
          <w:i/>
          <w:iCs/>
          <w:sz w:val="20"/>
          <w:szCs w:val="20"/>
        </w:rPr>
        <w:t>Brooke Group Ltd. v. Brown &amp; Williamson Tobacco Corp.</w:t>
      </w:r>
      <w:r w:rsidRPr="00431BAC">
        <w:rPr>
          <w:rFonts w:asciiTheme="majorBidi" w:hAnsiTheme="majorBidi" w:cstheme="majorBidi"/>
          <w:sz w:val="20"/>
          <w:szCs w:val="20"/>
        </w:rPr>
        <w:t xml:space="preserve">, 509 U.S. 209 (1993), </w:t>
      </w:r>
      <w:r w:rsidRPr="00431BAC">
        <w:rPr>
          <w:rFonts w:asciiTheme="majorBidi" w:hAnsiTheme="majorBidi" w:cstheme="majorBidi"/>
          <w:i/>
          <w:iCs/>
          <w:sz w:val="20"/>
          <w:szCs w:val="20"/>
        </w:rPr>
        <w:t xml:space="preserve">In re: Text Messaging Antitrust </w:t>
      </w:r>
      <w:proofErr w:type="spellStart"/>
      <w:r w:rsidRPr="00431BAC">
        <w:rPr>
          <w:rFonts w:asciiTheme="majorBidi" w:hAnsiTheme="majorBidi" w:cstheme="majorBidi"/>
          <w:i/>
          <w:iCs/>
          <w:sz w:val="20"/>
          <w:szCs w:val="20"/>
        </w:rPr>
        <w:t>Litig</w:t>
      </w:r>
      <w:proofErr w:type="spellEnd"/>
      <w:r w:rsidRPr="00431BAC">
        <w:rPr>
          <w:rFonts w:asciiTheme="majorBidi" w:hAnsiTheme="majorBidi" w:cstheme="majorBidi"/>
          <w:i/>
          <w:iCs/>
          <w:sz w:val="20"/>
          <w:szCs w:val="20"/>
        </w:rPr>
        <w:t>.</w:t>
      </w:r>
      <w:r w:rsidRPr="00431BAC">
        <w:rPr>
          <w:rFonts w:asciiTheme="majorBidi" w:hAnsiTheme="majorBidi" w:cstheme="majorBidi"/>
          <w:sz w:val="20"/>
          <w:szCs w:val="20"/>
        </w:rPr>
        <w:t xml:space="preserve">, 782 F.3d 867 (7th Cir. 2015). </w:t>
      </w:r>
    </w:p>
  </w:footnote>
  <w:footnote w:id="45">
    <w:p w14:paraId="744911CC" w14:textId="27371AB4"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Firms in relatively stable oligopolies can be expected to generate supra-competitive profits. If capital markets function perfectly, this should not make the stock of such firms a better investment opportunity. The supra-competitive rents should be reflected in the price at which the oligopolistic firms’ stock is traded, making the stock as lucrative as other firms’ stock in terms of the expected return on the investment. Excessive product-market profits need not imply excessive returns on investment in the firms’ stock. But if there is any element requiring expertize in appraising the value of the stock (</w:t>
      </w:r>
      <w:r w:rsidRPr="00431BAC">
        <w:rPr>
          <w:rFonts w:asciiTheme="majorBidi" w:hAnsiTheme="majorBidi" w:cstheme="majorBidi"/>
          <w:i/>
          <w:iCs/>
          <w:sz w:val="20"/>
          <w:szCs w:val="20"/>
        </w:rPr>
        <w:t>e.g.</w:t>
      </w:r>
      <w:r w:rsidRPr="00431BAC">
        <w:rPr>
          <w:rFonts w:asciiTheme="majorBidi" w:hAnsiTheme="majorBidi" w:cstheme="majorBidi"/>
          <w:sz w:val="20"/>
          <w:szCs w:val="20"/>
        </w:rPr>
        <w:t xml:space="preserve"> the likelihood of regulatory action or inaction, the probability of emerging competition, etc.), institutional investors may be better situated than less sophisticated (certainly lay) investors to identify these opportunities, which may result in over-representation of such firms in institutional investors’ portfolio. On the efficient-market hypothesis see generally Eugene F. </w:t>
      </w:r>
      <w:proofErr w:type="spellStart"/>
      <w:r w:rsidRPr="00431BAC">
        <w:rPr>
          <w:rFonts w:asciiTheme="majorBidi" w:hAnsiTheme="majorBidi" w:cstheme="majorBidi"/>
          <w:sz w:val="20"/>
          <w:szCs w:val="20"/>
        </w:rPr>
        <w:t>Fama</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Efficient Capital Markets: A Review of Theory and Empirical Work</w:t>
      </w:r>
      <w:r w:rsidRPr="00431BAC">
        <w:rPr>
          <w:rFonts w:asciiTheme="majorBidi" w:hAnsiTheme="majorBidi" w:cstheme="majorBidi"/>
          <w:sz w:val="20"/>
          <w:szCs w:val="20"/>
        </w:rPr>
        <w:t>, 25(2) Journal of Finance 383 (1970).</w:t>
      </w:r>
    </w:p>
  </w:footnote>
  <w:footnote w:id="46">
    <w:p w14:paraId="034C49B3" w14:textId="1AD52283"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Ariel </w:t>
      </w:r>
      <w:proofErr w:type="spellStart"/>
      <w:r w:rsidRPr="00431BAC">
        <w:rPr>
          <w:rFonts w:asciiTheme="majorBidi" w:hAnsiTheme="majorBidi" w:cstheme="majorBidi"/>
          <w:sz w:val="20"/>
          <w:szCs w:val="20"/>
        </w:rPr>
        <w:t>Ezrachi</w:t>
      </w:r>
      <w:proofErr w:type="spellEnd"/>
      <w:r w:rsidRPr="00431BAC">
        <w:rPr>
          <w:rFonts w:asciiTheme="majorBidi" w:hAnsiTheme="majorBidi" w:cstheme="majorBidi"/>
          <w:sz w:val="20"/>
          <w:szCs w:val="20"/>
        </w:rPr>
        <w:t xml:space="preserve"> and David </w:t>
      </w:r>
      <w:proofErr w:type="spellStart"/>
      <w:r w:rsidRPr="00431BAC">
        <w:rPr>
          <w:rFonts w:asciiTheme="majorBidi" w:hAnsiTheme="majorBidi" w:cstheme="majorBidi"/>
          <w:sz w:val="20"/>
          <w:szCs w:val="20"/>
        </w:rPr>
        <w:t>Gilo</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EC Competition Law and the Regulation of Passive Investments among Competitors</w:t>
      </w:r>
      <w:r w:rsidRPr="00431BAC">
        <w:rPr>
          <w:rFonts w:asciiTheme="majorBidi" w:hAnsiTheme="majorBidi" w:cstheme="majorBidi"/>
          <w:sz w:val="20"/>
          <w:szCs w:val="20"/>
        </w:rPr>
        <w:t>, 26 Oxford Journal of Legal Studies 327, 329 (2006).</w:t>
      </w:r>
    </w:p>
  </w:footnote>
  <w:footnote w:id="47">
    <w:p w14:paraId="51D89113" w14:textId="0808313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and Salop,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570.</w:t>
      </w:r>
    </w:p>
  </w:footnote>
  <w:footnote w:id="48">
    <w:p w14:paraId="1A47EE33" w14:textId="3335BD32"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9.</w:t>
      </w:r>
    </w:p>
  </w:footnote>
  <w:footnote w:id="49">
    <w:p w14:paraId="4AE938E3" w14:textId="755BC91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Sharing of information would generally be considered a ‘plus factor’, tending to make tacit collusion, otherwise legitimate, actionable. See William E. </w:t>
      </w:r>
      <w:proofErr w:type="spellStart"/>
      <w:r w:rsidRPr="00431BAC">
        <w:rPr>
          <w:rFonts w:asciiTheme="majorBidi" w:hAnsiTheme="majorBidi" w:cstheme="majorBidi"/>
          <w:sz w:val="20"/>
          <w:szCs w:val="20"/>
        </w:rPr>
        <w:t>Kovacic</w:t>
      </w:r>
      <w:proofErr w:type="spellEnd"/>
      <w:r w:rsidRPr="00431BAC">
        <w:rPr>
          <w:rFonts w:asciiTheme="majorBidi" w:hAnsiTheme="majorBidi" w:cstheme="majorBidi"/>
          <w:sz w:val="20"/>
          <w:szCs w:val="20"/>
        </w:rPr>
        <w:t xml:space="preserve"> et al., </w:t>
      </w:r>
      <w:r w:rsidRPr="00431BAC">
        <w:rPr>
          <w:rFonts w:asciiTheme="majorBidi" w:hAnsiTheme="majorBidi" w:cstheme="majorBidi"/>
          <w:i/>
          <w:iCs/>
          <w:sz w:val="20"/>
          <w:szCs w:val="20"/>
        </w:rPr>
        <w:t>Plus Factors and Agreement in Antitrust Law</w:t>
      </w:r>
      <w:r w:rsidRPr="00431BAC">
        <w:rPr>
          <w:rFonts w:asciiTheme="majorBidi" w:hAnsiTheme="majorBidi" w:cstheme="majorBidi"/>
          <w:sz w:val="20"/>
          <w:szCs w:val="20"/>
        </w:rPr>
        <w:t xml:space="preserve">, 110 </w:t>
      </w:r>
      <w:proofErr w:type="spellStart"/>
      <w:r w:rsidRPr="00431BAC">
        <w:rPr>
          <w:rFonts w:asciiTheme="majorBidi" w:hAnsiTheme="majorBidi" w:cstheme="majorBidi"/>
          <w:sz w:val="20"/>
          <w:szCs w:val="20"/>
        </w:rPr>
        <w:t>Mich.L</w:t>
      </w:r>
      <w:proofErr w:type="spellEnd"/>
      <w:r w:rsidRPr="00431BAC">
        <w:rPr>
          <w:rFonts w:asciiTheme="majorBidi" w:hAnsiTheme="majorBidi" w:cstheme="majorBidi"/>
          <w:sz w:val="20"/>
          <w:szCs w:val="20"/>
        </w:rPr>
        <w:t xml:space="preserve">. Rev. 393 (2011 – 2012). </w:t>
      </w:r>
    </w:p>
  </w:footnote>
  <w:footnote w:id="50">
    <w:p w14:paraId="22F12C2A" w14:textId="0B01F458"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Even if the shareholder does not facilitate direct coordination, the mere fact that such a joint shareholder exists may provide both firms with comfort that inexplicit anti-competitive messages are received. Consider, for example, the following example: firm A is considering a price increase that will only be profitable if firm B also raises prices (otherwise firm B will capture all sales). Firm A wants to raise prices, hoping that firm B will follow suit. Under regular circumstances, firm A cannot be sure that firm B will understand that if it does not follow suit </w:t>
      </w:r>
      <w:r>
        <w:rPr>
          <w:rFonts w:asciiTheme="majorBidi" w:hAnsiTheme="majorBidi" w:cstheme="majorBidi"/>
          <w:sz w:val="20"/>
          <w:szCs w:val="20"/>
        </w:rPr>
        <w:t xml:space="preserve">A’s </w:t>
      </w:r>
      <w:r w:rsidRPr="00431BAC">
        <w:rPr>
          <w:rFonts w:asciiTheme="majorBidi" w:hAnsiTheme="majorBidi" w:cstheme="majorBidi"/>
          <w:sz w:val="20"/>
          <w:szCs w:val="20"/>
        </w:rPr>
        <w:t>prices will be lowered. A joint board member (or a joint shareholder who communicates with his representatives on the respective boards) may be helpful in ensuring that the strategy is made known to the competitor, who can then be expected to cooperate even absent an explicit agreement to do so. Uncertainty, which challenges most tacit collusion situations, is resolved or mitigated through the joint shareholder.</w:t>
      </w:r>
    </w:p>
  </w:footnote>
  <w:footnote w:id="51">
    <w:p w14:paraId="3555CE49" w14:textId="534B15DB" w:rsidR="00510A7E" w:rsidRPr="00431BAC" w:rsidRDefault="00510A7E" w:rsidP="00466399">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Brown Shoe v. United States</w:t>
      </w:r>
      <w:r w:rsidRPr="00431BAC">
        <w:rPr>
          <w:rFonts w:asciiTheme="majorBidi" w:hAnsiTheme="majorBidi" w:cstheme="majorBidi"/>
          <w:sz w:val="20"/>
          <w:szCs w:val="20"/>
        </w:rPr>
        <w:t xml:space="preserve">, 370 US 294 (1962) at 317; HMG,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Pr>
          <w:rFonts w:asciiTheme="majorBidi" w:hAnsiTheme="majorBidi" w:cstheme="majorBidi"/>
          <w:sz w:val="20"/>
          <w:szCs w:val="20"/>
        </w:rPr>
        <w:fldChar w:fldCharType="begin"/>
      </w:r>
      <w:r>
        <w:rPr>
          <w:rFonts w:asciiTheme="majorBidi" w:hAnsiTheme="majorBidi" w:cstheme="majorBidi"/>
          <w:sz w:val="20"/>
          <w:szCs w:val="20"/>
        </w:rPr>
        <w:instrText xml:space="preserve"> NOTEREF _Ref492565957 \h </w:instrText>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sz w:val="20"/>
          <w:szCs w:val="20"/>
        </w:rPr>
        <w:t>13</w:t>
      </w:r>
      <w:r>
        <w:rPr>
          <w:rFonts w:asciiTheme="majorBidi" w:hAnsiTheme="majorBidi" w:cstheme="majorBidi"/>
          <w:sz w:val="20"/>
          <w:szCs w:val="20"/>
        </w:rPr>
        <w:fldChar w:fldCharType="end"/>
      </w:r>
      <w:r w:rsidRPr="00431BAC">
        <w:rPr>
          <w:rFonts w:asciiTheme="majorBidi" w:hAnsiTheme="majorBidi" w:cstheme="majorBidi"/>
          <w:sz w:val="20"/>
          <w:szCs w:val="20"/>
        </w:rPr>
        <w:t xml:space="preserve">, at 1 &amp; 25. For an account of actual enforcement actions and trends see Mergers, Market Power, and the Need for More Vigorous Enforcement, AntitrustInstitute.org (Preview of Am. Antitrust Inst. Merger Chapter of 2016 Presidential Transition Rep., posted Mar. 25, 2016), available at &lt; </w:t>
      </w:r>
      <w:hyperlink r:id="rId12" w:history="1">
        <w:r w:rsidRPr="00431BAC">
          <w:rPr>
            <w:rStyle w:val="Hyperlink"/>
            <w:rFonts w:asciiTheme="majorBidi" w:hAnsiTheme="majorBidi" w:cstheme="majorBidi"/>
            <w:sz w:val="20"/>
            <w:szCs w:val="20"/>
          </w:rPr>
          <w:t>http://www.antitrustinstitute.org/sites/default/files/mergerfinal.pdf</w:t>
        </w:r>
      </w:hyperlink>
      <w:r w:rsidRPr="00431BAC">
        <w:rPr>
          <w:rFonts w:asciiTheme="majorBidi" w:hAnsiTheme="majorBidi" w:cstheme="majorBidi"/>
          <w:sz w:val="20"/>
          <w:szCs w:val="20"/>
        </w:rPr>
        <w:t>&gt;.</w:t>
      </w:r>
    </w:p>
  </w:footnote>
  <w:footnote w:id="52">
    <w:p w14:paraId="5D3C131A" w14:textId="6C39F674" w:rsidR="00510A7E" w:rsidRPr="00431BAC" w:rsidRDefault="00510A7E" w:rsidP="00DE4136">
      <w:pPr>
        <w:jc w:val="both"/>
        <w:rPr>
          <w:rFonts w:asciiTheme="majorBidi" w:eastAsia="Times New Roman"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generally Premerger Notification Rules, 16 C.F.R. Parts 801, 802 and 803, Federal Register / Vol. 76, No. 138 / Tuesday, July 19, 2011 / Rules and Regulations 42471 (specifically the term ‘associate’), available at: &lt; </w:t>
      </w:r>
      <w:hyperlink r:id="rId13" w:history="1">
        <w:r w:rsidRPr="00431BAC">
          <w:rPr>
            <w:rStyle w:val="Hyperlink"/>
            <w:rFonts w:asciiTheme="majorBidi" w:hAnsiTheme="majorBidi" w:cstheme="majorBidi"/>
            <w:sz w:val="20"/>
            <w:szCs w:val="20"/>
          </w:rPr>
          <w:t>https://www.gpo.gov/fdsys/pkg/FR-2011-07-19/pdf/2011-17822.pdf</w:t>
        </w:r>
      </w:hyperlink>
      <w:r w:rsidRPr="00431BAC">
        <w:rPr>
          <w:rFonts w:asciiTheme="majorBidi" w:hAnsiTheme="majorBidi" w:cstheme="majorBidi"/>
          <w:sz w:val="20"/>
          <w:szCs w:val="20"/>
        </w:rPr>
        <w:t>&gt;, and the FTC’s introductory Guide to premerger notification – FTC, Hart-Scott-</w:t>
      </w:r>
      <w:proofErr w:type="spellStart"/>
      <w:r w:rsidRPr="00431BAC">
        <w:rPr>
          <w:rFonts w:asciiTheme="majorBidi" w:hAnsiTheme="majorBidi" w:cstheme="majorBidi"/>
          <w:sz w:val="20"/>
          <w:szCs w:val="20"/>
        </w:rPr>
        <w:t>Rodino</w:t>
      </w:r>
      <w:proofErr w:type="spellEnd"/>
      <w:r w:rsidRPr="00431BAC">
        <w:rPr>
          <w:rFonts w:asciiTheme="majorBidi" w:hAnsiTheme="majorBidi" w:cstheme="majorBidi"/>
          <w:sz w:val="20"/>
          <w:szCs w:val="20"/>
        </w:rPr>
        <w:t xml:space="preserve"> Premerger Notification Program, Guide I – What is the Premerger Notification Program? An Overview, available at: &lt; </w:t>
      </w:r>
      <w:hyperlink r:id="rId14" w:history="1">
        <w:r w:rsidRPr="00431BAC">
          <w:rPr>
            <w:rStyle w:val="Hyperlink"/>
            <w:rFonts w:asciiTheme="majorBidi" w:hAnsiTheme="majorBidi" w:cstheme="majorBidi"/>
            <w:sz w:val="20"/>
            <w:szCs w:val="20"/>
          </w:rPr>
          <w:t>https://www.ftc.gov/sites/default/files/attachments/premerger-introductory-guides/guide1.pdf</w:t>
        </w:r>
      </w:hyperlink>
      <w:r w:rsidRPr="00431BAC">
        <w:rPr>
          <w:rFonts w:asciiTheme="majorBidi" w:hAnsiTheme="majorBidi" w:cstheme="majorBidi"/>
          <w:sz w:val="20"/>
          <w:szCs w:val="20"/>
        </w:rPr>
        <w:t>&gt;.</w:t>
      </w:r>
    </w:p>
  </w:footnote>
  <w:footnote w:id="53">
    <w:p w14:paraId="4600CEBE" w14:textId="1784857B"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Premerger Notification Rules,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Premerger Notification Program, Guide I, </w:t>
      </w:r>
      <w:r w:rsidRPr="00431BAC">
        <w:rPr>
          <w:rFonts w:asciiTheme="majorBidi" w:hAnsiTheme="majorBidi" w:cstheme="majorBidi"/>
          <w:i/>
          <w:iCs/>
          <w:sz w:val="20"/>
          <w:szCs w:val="20"/>
        </w:rPr>
        <w:t>id</w:t>
      </w:r>
      <w:r w:rsidRPr="00431BAC">
        <w:rPr>
          <w:rFonts w:asciiTheme="majorBidi" w:hAnsiTheme="majorBidi" w:cstheme="majorBidi"/>
          <w:sz w:val="20"/>
          <w:szCs w:val="20"/>
        </w:rPr>
        <w:t>. See specifically section 8 of the Clayton Act, 15 U.S.C. §8.</w:t>
      </w:r>
    </w:p>
  </w:footnote>
  <w:footnote w:id="54">
    <w:p w14:paraId="5D6125AF" w14:textId="3A217DD0"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On the forward-looking nature of merger control see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_Ref491862384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50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and Deborah L. Feinstein, Director, The Forward-Looking Nature of Merger Analysis Advanced Antitrust U.S. (San Francisco 2014, Bureau of Competition, Federal Trade Commission), available at: &lt; </w:t>
      </w:r>
      <w:hyperlink r:id="rId15" w:history="1">
        <w:r w:rsidRPr="00431BAC">
          <w:rPr>
            <w:rFonts w:asciiTheme="majorBidi" w:hAnsiTheme="majorBidi" w:cstheme="majorBidi"/>
            <w:sz w:val="20"/>
            <w:szCs w:val="20"/>
          </w:rPr>
          <w:t>https://www.ftc.gov/system/files/documents/public_statements/forward-looking-nature-merger-analysis/140206mergeranalysis-dlf.pdf</w:t>
        </w:r>
      </w:hyperlink>
      <w:r w:rsidRPr="00431BAC">
        <w:rPr>
          <w:rFonts w:asciiTheme="majorBidi" w:hAnsiTheme="majorBidi" w:cstheme="majorBidi"/>
          <w:sz w:val="20"/>
          <w:szCs w:val="20"/>
        </w:rPr>
        <w:t>&gt;.</w:t>
      </w:r>
    </w:p>
  </w:footnote>
  <w:footnote w:id="55">
    <w:p w14:paraId="65BD5673" w14:textId="2E7C04B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w:t>
      </w:r>
      <w:proofErr w:type="spellStart"/>
      <w:r w:rsidRPr="00431BAC">
        <w:rPr>
          <w:rFonts w:asciiTheme="majorBidi" w:hAnsiTheme="majorBidi" w:cstheme="majorBidi"/>
          <w:sz w:val="20"/>
          <w:szCs w:val="20"/>
        </w:rPr>
        <w:t>e.g</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Timken Roller Bearing Co. v. United States</w:t>
      </w:r>
      <w:r w:rsidRPr="00431BAC">
        <w:rPr>
          <w:rFonts w:asciiTheme="majorBidi" w:hAnsiTheme="majorBidi" w:cstheme="majorBidi"/>
          <w:sz w:val="20"/>
          <w:szCs w:val="20"/>
        </w:rPr>
        <w:t xml:space="preserve"> 341 U.S. 593 (1951), although the case may have been decided differently today under the single-economic-entity doctrine (see Bjorn </w:t>
      </w:r>
      <w:proofErr w:type="spellStart"/>
      <w:r w:rsidRPr="00431BAC">
        <w:rPr>
          <w:rFonts w:asciiTheme="majorBidi" w:hAnsiTheme="majorBidi" w:cstheme="majorBidi"/>
          <w:sz w:val="20"/>
          <w:szCs w:val="20"/>
        </w:rPr>
        <w:t>Lundqvist</w:t>
      </w:r>
      <w:proofErr w:type="spellEnd"/>
      <w:r w:rsidRPr="00431BAC">
        <w:rPr>
          <w:rFonts w:asciiTheme="majorBidi" w:hAnsiTheme="majorBidi" w:cstheme="majorBidi"/>
          <w:sz w:val="20"/>
          <w:szCs w:val="20"/>
        </w:rPr>
        <w:t xml:space="preserve">, Joint Research and Development under US Antitrust and EU Competition Law (Edward Elgar Publishing, MA, 2015), at 34. See also Chapter I of the UK Competition Act 1998. See also: </w:t>
      </w:r>
      <w:hyperlink r:id="rId16" w:tgtFrame="_blank" w:history="1">
        <w:r w:rsidRPr="00431BAC">
          <w:rPr>
            <w:rFonts w:asciiTheme="majorBidi" w:hAnsiTheme="majorBidi" w:cstheme="majorBidi"/>
            <w:sz w:val="20"/>
            <w:szCs w:val="20"/>
          </w:rPr>
          <w:t>William E.</w:t>
        </w:r>
      </w:hyperlink>
      <w:r w:rsidRPr="00431BAC">
        <w:rPr>
          <w:rFonts w:asciiTheme="majorBidi" w:hAnsiTheme="majorBidi" w:cstheme="majorBidi"/>
          <w:sz w:val="20"/>
          <w:szCs w:val="20"/>
        </w:rPr>
        <w:t xml:space="preserve"> </w:t>
      </w:r>
      <w:hyperlink r:id="rId17" w:tgtFrame="_blank" w:history="1">
        <w:proofErr w:type="spellStart"/>
        <w:r w:rsidRPr="00431BAC">
          <w:rPr>
            <w:rFonts w:asciiTheme="majorBidi" w:hAnsiTheme="majorBidi" w:cstheme="majorBidi"/>
            <w:sz w:val="20"/>
            <w:szCs w:val="20"/>
          </w:rPr>
          <w:t>Kovacic</w:t>
        </w:r>
        <w:proofErr w:type="spellEnd"/>
      </w:hyperlink>
      <w:r w:rsidRPr="00431BAC">
        <w:rPr>
          <w:rFonts w:asciiTheme="majorBidi" w:hAnsiTheme="majorBidi" w:cstheme="majorBidi"/>
          <w:sz w:val="20"/>
          <w:szCs w:val="20"/>
        </w:rPr>
        <w:t xml:space="preserve">, </w:t>
      </w:r>
      <w:hyperlink r:id="rId18" w:history="1">
        <w:r w:rsidRPr="00431BAC">
          <w:rPr>
            <w:rFonts w:asciiTheme="majorBidi" w:hAnsiTheme="majorBidi" w:cstheme="majorBidi"/>
            <w:i/>
            <w:iCs/>
            <w:sz w:val="20"/>
            <w:szCs w:val="20"/>
          </w:rPr>
          <w:t>Antitrust Policy and Horizontal Collusion in the 21st Century</w:t>
        </w:r>
      </w:hyperlink>
      <w:r w:rsidRPr="00431BAC">
        <w:rPr>
          <w:rFonts w:asciiTheme="majorBidi" w:hAnsiTheme="majorBidi" w:cstheme="majorBidi"/>
          <w:sz w:val="20"/>
          <w:szCs w:val="20"/>
        </w:rPr>
        <w:t xml:space="preserve">, 9 Loy. Consumer L. Rep. 97 (1996-1997); </w:t>
      </w:r>
      <w:hyperlink r:id="rId19" w:tgtFrame="_blank" w:history="1">
        <w:proofErr w:type="spellStart"/>
        <w:r w:rsidRPr="00431BAC">
          <w:rPr>
            <w:rFonts w:asciiTheme="majorBidi" w:hAnsiTheme="majorBidi" w:cstheme="majorBidi"/>
            <w:sz w:val="20"/>
            <w:szCs w:val="20"/>
          </w:rPr>
          <w:t>Murilo</w:t>
        </w:r>
        <w:proofErr w:type="spellEnd"/>
      </w:hyperlink>
      <w:r w:rsidRPr="00431BAC">
        <w:rPr>
          <w:rFonts w:asciiTheme="majorBidi" w:hAnsiTheme="majorBidi" w:cstheme="majorBidi"/>
          <w:sz w:val="20"/>
          <w:szCs w:val="20"/>
        </w:rPr>
        <w:t xml:space="preserve"> </w:t>
      </w:r>
      <w:hyperlink r:id="rId20" w:tgtFrame="_blank" w:history="1">
        <w:proofErr w:type="spellStart"/>
        <w:r w:rsidRPr="00431BAC">
          <w:rPr>
            <w:rFonts w:asciiTheme="majorBidi" w:hAnsiTheme="majorBidi" w:cstheme="majorBidi"/>
            <w:sz w:val="20"/>
            <w:szCs w:val="20"/>
          </w:rPr>
          <w:t>Lubambo</w:t>
        </w:r>
        <w:proofErr w:type="spellEnd"/>
      </w:hyperlink>
      <w:r w:rsidRPr="00431BAC">
        <w:rPr>
          <w:rFonts w:asciiTheme="majorBidi" w:hAnsiTheme="majorBidi" w:cstheme="majorBidi"/>
          <w:sz w:val="20"/>
          <w:szCs w:val="20"/>
        </w:rPr>
        <w:t xml:space="preserve">, </w:t>
      </w:r>
      <w:hyperlink r:id="rId21" w:history="1">
        <w:r w:rsidRPr="00431BAC">
          <w:rPr>
            <w:rFonts w:asciiTheme="majorBidi" w:hAnsiTheme="majorBidi" w:cstheme="majorBidi"/>
            <w:i/>
            <w:iCs/>
            <w:sz w:val="20"/>
            <w:szCs w:val="20"/>
          </w:rPr>
          <w:t>Vertical Restraints Facilitating Horizontal Collusion: Stretching Agreements in a Comparative Approach</w:t>
        </w:r>
      </w:hyperlink>
      <w:r w:rsidRPr="00431BAC">
        <w:rPr>
          <w:rFonts w:asciiTheme="majorBidi" w:hAnsiTheme="majorBidi" w:cstheme="majorBidi"/>
          <w:sz w:val="20"/>
          <w:szCs w:val="20"/>
        </w:rPr>
        <w:t>, 4 UCLJLJ 135 (2015)).</w:t>
      </w:r>
    </w:p>
  </w:footnote>
  <w:footnote w:id="56">
    <w:p w14:paraId="114B65CB" w14:textId="3DB1D65B"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On the analysis of this scenario, referred to as the ‘cartel ringmaster’ scenario, and on the relevant case law establishing that such conduct constitutes an antitrust offense under Section 1 of the Sherman Act, see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1-2 and at 4-6. Although focusing on the hypothetical of a portfolio manager of a fund, the analysis is, of course, equally applicable to any cross-holding ‘ringmaster’.</w:t>
      </w:r>
    </w:p>
  </w:footnote>
  <w:footnote w:id="57">
    <w:p w14:paraId="238CCAE5" w14:textId="7A2A5339"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_Ref492475720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22</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58">
    <w:p w14:paraId="2B985803" w14:textId="7B9323CE"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Gilo</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22.</w:t>
      </w:r>
    </w:p>
  </w:footnote>
  <w:footnote w:id="59">
    <w:p w14:paraId="2E007790" w14:textId="79373B3E"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For an in-depth analysis of the separation of ownership and control (in the present context of industry performance as opposed to the ‘classic’ setting of the individual firm) see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and Salop,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60">
    <w:p w14:paraId="3B962B92" w14:textId="141000AE" w:rsidR="00510A7E" w:rsidRPr="00431BAC" w:rsidRDefault="00510A7E" w:rsidP="004F3B13">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w:t>
      </w:r>
      <w:proofErr w:type="spellStart"/>
      <w:r w:rsidRPr="00431BAC">
        <w:rPr>
          <w:rFonts w:asciiTheme="majorBidi" w:hAnsiTheme="majorBidi" w:cstheme="majorBidi"/>
          <w:sz w:val="20"/>
          <w:szCs w:val="20"/>
        </w:rPr>
        <w:t>Gilo</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22.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1270. </w:t>
      </w:r>
    </w:p>
  </w:footnote>
  <w:footnote w:id="61">
    <w:p w14:paraId="3E8F4692" w14:textId="30E432C9"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Gilo</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at 22.</w:t>
      </w:r>
    </w:p>
  </w:footnote>
  <w:footnote w:id="62">
    <w:p w14:paraId="4A5D4B8D" w14:textId="1737DA84"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1274. See also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and Salop,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568.</w:t>
      </w:r>
    </w:p>
  </w:footnote>
  <w:footnote w:id="63">
    <w:p w14:paraId="294DBCCC" w14:textId="1E01DDB1"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Gilo</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5. See also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at 1270.</w:t>
      </w:r>
    </w:p>
  </w:footnote>
  <w:footnote w:id="64">
    <w:p w14:paraId="6254EB16" w14:textId="77777777" w:rsidR="00510A7E" w:rsidRPr="00431BAC" w:rsidRDefault="00510A7E" w:rsidP="004F3B13">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If both firms are fully controlled by the same controller, they may be “incapable of conspiring for purposes of §1 of the Sherman Act” (</w:t>
      </w:r>
      <w:proofErr w:type="spellStart"/>
      <w:r w:rsidRPr="00431BAC">
        <w:rPr>
          <w:rFonts w:asciiTheme="majorBidi" w:hAnsiTheme="majorBidi" w:cstheme="majorBidi"/>
          <w:i/>
          <w:iCs/>
          <w:sz w:val="20"/>
          <w:szCs w:val="20"/>
        </w:rPr>
        <w:t>Copperweld</w:t>
      </w:r>
      <w:proofErr w:type="spellEnd"/>
      <w:r w:rsidRPr="00431BAC">
        <w:rPr>
          <w:rFonts w:asciiTheme="majorBidi" w:hAnsiTheme="majorBidi" w:cstheme="majorBidi"/>
          <w:i/>
          <w:iCs/>
          <w:sz w:val="20"/>
          <w:szCs w:val="20"/>
        </w:rPr>
        <w:t xml:space="preserve"> Corp. v. Independence Tube Corp.</w:t>
      </w:r>
      <w:r w:rsidRPr="00431BAC">
        <w:rPr>
          <w:rFonts w:asciiTheme="majorBidi" w:hAnsiTheme="majorBidi" w:cstheme="majorBidi"/>
          <w:sz w:val="20"/>
          <w:szCs w:val="20"/>
        </w:rPr>
        <w:t xml:space="preserve"> 467 U.S. 752 (1984), at 777), which established what is known as the single-entity defense doctrine. Note, however, that the </w:t>
      </w:r>
      <w:proofErr w:type="spellStart"/>
      <w:r w:rsidRPr="00431BAC">
        <w:rPr>
          <w:rFonts w:asciiTheme="majorBidi" w:hAnsiTheme="majorBidi" w:cstheme="majorBidi"/>
          <w:i/>
          <w:iCs/>
          <w:sz w:val="20"/>
          <w:szCs w:val="20"/>
        </w:rPr>
        <w:t>Copperweld</w:t>
      </w:r>
      <w:proofErr w:type="spellEnd"/>
      <w:r w:rsidRPr="00431BAC">
        <w:rPr>
          <w:rFonts w:asciiTheme="majorBidi" w:hAnsiTheme="majorBidi" w:cstheme="majorBidi"/>
          <w:sz w:val="20"/>
          <w:szCs w:val="20"/>
        </w:rPr>
        <w:t xml:space="preserve"> rule applies to a conspiracy alleged between a parent company and its </w:t>
      </w:r>
      <w:r w:rsidRPr="00431BAC">
        <w:rPr>
          <w:rFonts w:asciiTheme="majorBidi" w:hAnsiTheme="majorBidi" w:cstheme="majorBidi"/>
          <w:i/>
          <w:iCs/>
          <w:sz w:val="20"/>
          <w:szCs w:val="20"/>
        </w:rPr>
        <w:t>wholly-owned</w:t>
      </w:r>
      <w:r w:rsidRPr="00431BAC">
        <w:rPr>
          <w:rFonts w:asciiTheme="majorBidi" w:hAnsiTheme="majorBidi" w:cstheme="majorBidi"/>
          <w:sz w:val="20"/>
          <w:szCs w:val="20"/>
        </w:rPr>
        <w:t xml:space="preserve"> subsidiary. The precise contours of the single-entity defense are unclear outside the paradigmatic setting of a parent company and a wholly-owned subsidiary. For an account of subsequent case law see Dean V. Williamson, Organization, Control, and the Single Entity Defense in antitrust, United States Department of Justice, Economic antitrust Group Discussion Paper EAG 06-4 January 2006).</w:t>
      </w:r>
    </w:p>
  </w:footnote>
  <w:footnote w:id="65">
    <w:p w14:paraId="46336EE2" w14:textId="09227A45"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HMG,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_Ref492565957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13</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20 – 24. The specific kind of unilateral effect that is relevant to the present context is the one discussed in section 6.1 of the HMG.</w:t>
      </w:r>
    </w:p>
  </w:footnote>
  <w:footnote w:id="66">
    <w:p w14:paraId="0B45772C" w14:textId="729F7DBA" w:rsidR="00510A7E" w:rsidRPr="00431BAC" w:rsidRDefault="00510A7E" w:rsidP="00DE4136">
      <w:pPr>
        <w:jc w:val="both"/>
        <w:rPr>
          <w:rFonts w:asciiTheme="majorBidi" w:hAnsiTheme="majorBidi" w:cstheme="majorBidi"/>
          <w:sz w:val="20"/>
          <w:szCs w:val="20"/>
        </w:rPr>
      </w:pPr>
      <w:r w:rsidRPr="00431BAC">
        <w:rPr>
          <w:rFonts w:asciiTheme="majorBidi" w:hAnsiTheme="majorBidi" w:cstheme="majorBidi"/>
          <w:sz w:val="20"/>
          <w:szCs w:val="20"/>
          <w:vertAlign w:val="superscript"/>
        </w:rPr>
        <w:footnoteRef/>
      </w:r>
      <w:r w:rsidRPr="00431BAC">
        <w:rPr>
          <w:rFonts w:asciiTheme="majorBidi" w:hAnsiTheme="majorBidi" w:cstheme="majorBidi"/>
          <w:sz w:val="20"/>
          <w:szCs w:val="20"/>
          <w:vertAlign w:val="superscript"/>
        </w:rPr>
        <w:t xml:space="preserve"> </w:t>
      </w:r>
      <w:r w:rsidRPr="00431BAC">
        <w:rPr>
          <w:rFonts w:asciiTheme="majorBidi" w:hAnsiTheme="majorBidi" w:cstheme="majorBidi"/>
          <w:sz w:val="20"/>
          <w:szCs w:val="20"/>
        </w:rPr>
        <w:t xml:space="preserve">Posner et al., at 12; Robert J. Reynolds and Bruce R. </w:t>
      </w:r>
      <w:proofErr w:type="spellStart"/>
      <w:r w:rsidRPr="00431BAC">
        <w:rPr>
          <w:rFonts w:asciiTheme="majorBidi" w:hAnsiTheme="majorBidi" w:cstheme="majorBidi"/>
          <w:sz w:val="20"/>
          <w:szCs w:val="20"/>
        </w:rPr>
        <w:t>Snapp</w:t>
      </w:r>
      <w:proofErr w:type="spellEnd"/>
      <w:r w:rsidRPr="00431BAC">
        <w:rPr>
          <w:rFonts w:asciiTheme="majorBidi" w:hAnsiTheme="majorBidi" w:cstheme="majorBidi"/>
          <w:sz w:val="20"/>
          <w:szCs w:val="20"/>
        </w:rPr>
        <w:t xml:space="preserve">, </w:t>
      </w:r>
      <w:r w:rsidRPr="00431BAC">
        <w:rPr>
          <w:rFonts w:asciiTheme="majorBidi" w:hAnsiTheme="majorBidi" w:cstheme="majorBidi"/>
          <w:sz w:val="20"/>
          <w:szCs w:val="20"/>
          <w:highlight w:val="lightGray"/>
        </w:rPr>
        <w:t xml:space="preserve">The competitive effects of partial equity interests and joint ventures 4(2) </w:t>
      </w:r>
      <w:hyperlink r:id="rId22" w:history="1">
        <w:r w:rsidRPr="00431BAC">
          <w:rPr>
            <w:rFonts w:asciiTheme="majorBidi" w:hAnsiTheme="majorBidi" w:cstheme="majorBidi"/>
            <w:sz w:val="20"/>
            <w:szCs w:val="20"/>
            <w:highlight w:val="lightGray"/>
          </w:rPr>
          <w:t>International Journal of Industrial Organization</w:t>
        </w:r>
      </w:hyperlink>
      <w:r w:rsidRPr="00431BAC">
        <w:rPr>
          <w:rFonts w:asciiTheme="majorBidi" w:hAnsiTheme="majorBidi" w:cstheme="majorBidi"/>
          <w:sz w:val="20"/>
          <w:szCs w:val="20"/>
          <w:highlight w:val="lightGray"/>
        </w:rPr>
        <w:t xml:space="preserve"> 141 (1986).</w:t>
      </w:r>
    </w:p>
  </w:footnote>
  <w:footnote w:id="67">
    <w:p w14:paraId="5B1D8F63" w14:textId="666DD5D2"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Gilo</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5.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and Salop,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_Ref492456071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568), expressly acknowledge this point, and explicitly make the distinction between financial interest and corporate control (see at 569). They tie their analysis to the seminal work of </w:t>
      </w:r>
      <w:proofErr w:type="spellStart"/>
      <w:r w:rsidRPr="00431BAC">
        <w:rPr>
          <w:rFonts w:asciiTheme="majorBidi" w:hAnsiTheme="majorBidi" w:cstheme="majorBidi"/>
          <w:sz w:val="20"/>
          <w:szCs w:val="20"/>
        </w:rPr>
        <w:t>Bearle</w:t>
      </w:r>
      <w:proofErr w:type="spellEnd"/>
      <w:r w:rsidRPr="00431BAC">
        <w:rPr>
          <w:rFonts w:asciiTheme="majorBidi" w:hAnsiTheme="majorBidi" w:cstheme="majorBidi"/>
          <w:sz w:val="20"/>
          <w:szCs w:val="20"/>
        </w:rPr>
        <w:t xml:space="preserve"> and Means on the separation of ownership and control and its implications on the performance of an individual corporation (Adolf A. </w:t>
      </w:r>
      <w:proofErr w:type="spellStart"/>
      <w:r w:rsidRPr="00431BAC">
        <w:rPr>
          <w:rFonts w:asciiTheme="majorBidi" w:hAnsiTheme="majorBidi" w:cstheme="majorBidi"/>
          <w:sz w:val="20"/>
          <w:szCs w:val="20"/>
        </w:rPr>
        <w:t>Berle</w:t>
      </w:r>
      <w:proofErr w:type="spellEnd"/>
      <w:r w:rsidRPr="00431BAC">
        <w:rPr>
          <w:rFonts w:asciiTheme="majorBidi" w:hAnsiTheme="majorBidi" w:cstheme="majorBidi"/>
          <w:sz w:val="20"/>
          <w:szCs w:val="20"/>
        </w:rPr>
        <w:t xml:space="preserve">, Jr., &amp; Gardiner C. Means, </w:t>
      </w:r>
      <w:r w:rsidRPr="00431BAC">
        <w:rPr>
          <w:rFonts w:asciiTheme="majorBidi" w:hAnsiTheme="majorBidi" w:cstheme="majorBidi"/>
          <w:b/>
          <w:bCs/>
          <w:sz w:val="20"/>
          <w:szCs w:val="20"/>
        </w:rPr>
        <w:t>The Modern Corporation and Private Property</w:t>
      </w:r>
      <w:r w:rsidRPr="00431BAC">
        <w:rPr>
          <w:rFonts w:asciiTheme="majorBidi" w:hAnsiTheme="majorBidi" w:cstheme="majorBidi"/>
          <w:sz w:val="20"/>
          <w:szCs w:val="20"/>
        </w:rPr>
        <w:t xml:space="preserve"> (1932) – see at 563).</w:t>
      </w:r>
    </w:p>
  </w:footnote>
  <w:footnote w:id="68">
    <w:p w14:paraId="1DB32385" w14:textId="76156D2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And, indeed, the second kind of competitive concern associated with mergers is coordinated effects of the merger, </w:t>
      </w:r>
      <w:r w:rsidRPr="00431BAC">
        <w:rPr>
          <w:rFonts w:asciiTheme="majorBidi" w:hAnsiTheme="majorBidi" w:cstheme="majorBidi"/>
          <w:i/>
          <w:iCs/>
          <w:sz w:val="20"/>
          <w:szCs w:val="20"/>
        </w:rPr>
        <w:t>i.e.</w:t>
      </w:r>
      <w:r w:rsidRPr="00431BAC">
        <w:rPr>
          <w:rFonts w:asciiTheme="majorBidi" w:hAnsiTheme="majorBidi" w:cstheme="majorBidi"/>
          <w:sz w:val="20"/>
          <w:szCs w:val="20"/>
        </w:rPr>
        <w:t xml:space="preserve"> its facilitation of coordinated conduct. See HMG at 24 – 27; </w:t>
      </w:r>
      <w:r w:rsidRPr="00431BAC">
        <w:rPr>
          <w:rFonts w:asciiTheme="majorBidi" w:hAnsiTheme="majorBidi" w:cstheme="majorBidi"/>
          <w:sz w:val="20"/>
          <w:szCs w:val="20"/>
          <w:highlight w:val="lightGray"/>
        </w:rPr>
        <w:t xml:space="preserve">Jonathan M. Baker, </w:t>
      </w:r>
      <w:r w:rsidRPr="00431BAC">
        <w:rPr>
          <w:rFonts w:asciiTheme="majorBidi" w:hAnsiTheme="majorBidi" w:cstheme="majorBidi"/>
          <w:i/>
          <w:iCs/>
          <w:sz w:val="20"/>
          <w:szCs w:val="20"/>
          <w:highlight w:val="lightGray"/>
        </w:rPr>
        <w:t>Mavericks, Mergers and Exclusion: Proving coordinated Competitive Effects under the Antitrust Laws</w:t>
      </w:r>
      <w:r w:rsidRPr="00431BAC">
        <w:rPr>
          <w:rFonts w:asciiTheme="majorBidi" w:hAnsiTheme="majorBidi" w:cstheme="majorBidi"/>
          <w:sz w:val="20"/>
          <w:szCs w:val="20"/>
          <w:highlight w:val="lightGray"/>
        </w:rPr>
        <w:t>, 77 N.Y.U.L.R 135 (2002)</w:t>
      </w:r>
      <w:r w:rsidRPr="00431BAC">
        <w:rPr>
          <w:rFonts w:asciiTheme="majorBidi" w:hAnsiTheme="majorBidi" w:cstheme="majorBidi"/>
          <w:sz w:val="20"/>
          <w:szCs w:val="20"/>
        </w:rPr>
        <w:t>.</w:t>
      </w:r>
    </w:p>
  </w:footnote>
  <w:footnote w:id="69">
    <w:p w14:paraId="32C04769" w14:textId="66A51478" w:rsidR="00510A7E" w:rsidRPr="00431BAC" w:rsidRDefault="00510A7E" w:rsidP="00DE4136">
      <w:pPr>
        <w:pStyle w:val="FootnoteText"/>
        <w:jc w:val="both"/>
        <w:rPr>
          <w:rFonts w:asciiTheme="majorBidi" w:hAnsiTheme="majorBidi" w:cstheme="majorBidi"/>
          <w:sz w:val="20"/>
          <w:szCs w:val="20"/>
        </w:rPr>
      </w:pPr>
      <w:r w:rsidRPr="00431BAC">
        <w:rPr>
          <w:rFonts w:asciiTheme="majorBidi" w:hAnsiTheme="majorBidi" w:cstheme="majorBidi"/>
          <w:sz w:val="20"/>
          <w:szCs w:val="20"/>
          <w:vertAlign w:val="superscript"/>
        </w:rPr>
        <w:footnoteRef/>
      </w:r>
      <w:r w:rsidRPr="00431BAC">
        <w:rPr>
          <w:rFonts w:asciiTheme="majorBidi" w:hAnsiTheme="majorBidi" w:cstheme="majorBidi"/>
          <w:sz w:val="20"/>
          <w:szCs w:val="20"/>
        </w:rPr>
        <w:t xml:space="preserve"> See generally Edward J. Green, Robert C. Marshall, and Leslie M. Marx, Tacit Collusion in Oligopoly, in The Oxford Handbook of International Antitrust Economics (Roger D. Blair and D. Daniel </w:t>
      </w:r>
      <w:proofErr w:type="spellStart"/>
      <w:r w:rsidRPr="00431BAC">
        <w:rPr>
          <w:rFonts w:asciiTheme="majorBidi" w:hAnsiTheme="majorBidi" w:cstheme="majorBidi"/>
          <w:sz w:val="20"/>
          <w:szCs w:val="20"/>
        </w:rPr>
        <w:t>Sokol</w:t>
      </w:r>
      <w:proofErr w:type="spellEnd"/>
      <w:r w:rsidRPr="00431BAC">
        <w:rPr>
          <w:rFonts w:asciiTheme="majorBidi" w:hAnsiTheme="majorBidi" w:cstheme="majorBidi"/>
          <w:sz w:val="20"/>
          <w:szCs w:val="20"/>
        </w:rPr>
        <w:t xml:space="preserve"> eds., vol. 2, 2014).</w:t>
      </w:r>
    </w:p>
  </w:footnote>
  <w:footnote w:id="70">
    <w:p w14:paraId="40EA51D0" w14:textId="35ED010C"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M.K. </w:t>
      </w:r>
      <w:proofErr w:type="spellStart"/>
      <w:r w:rsidRPr="00431BAC">
        <w:rPr>
          <w:rFonts w:asciiTheme="majorBidi" w:hAnsiTheme="majorBidi" w:cstheme="majorBidi"/>
          <w:color w:val="000000" w:themeColor="text1"/>
          <w:sz w:val="20"/>
          <w:szCs w:val="20"/>
        </w:rPr>
        <w:t>Vaska</w:t>
      </w:r>
      <w:proofErr w:type="spellEnd"/>
      <w:r w:rsidRPr="00431BAC">
        <w:rPr>
          <w:rFonts w:asciiTheme="majorBidi" w:hAnsiTheme="majorBidi" w:cstheme="majorBidi"/>
          <w:color w:val="000000" w:themeColor="text1"/>
          <w:sz w:val="20"/>
          <w:szCs w:val="20"/>
        </w:rPr>
        <w:t xml:space="preserve">, </w:t>
      </w:r>
      <w:r w:rsidRPr="00431BAC">
        <w:rPr>
          <w:rFonts w:asciiTheme="majorBidi" w:hAnsiTheme="majorBidi" w:cstheme="majorBidi"/>
          <w:i/>
          <w:iCs/>
          <w:color w:val="000000" w:themeColor="text1"/>
          <w:sz w:val="20"/>
          <w:szCs w:val="20"/>
        </w:rPr>
        <w:t>Conscious Parallelism and Price Fixing: Defining the Boundary</w:t>
      </w:r>
      <w:r w:rsidRPr="00431BAC">
        <w:rPr>
          <w:rFonts w:asciiTheme="majorBidi" w:hAnsiTheme="majorBidi" w:cstheme="majorBidi"/>
          <w:color w:val="000000" w:themeColor="text1"/>
          <w:sz w:val="20"/>
          <w:szCs w:val="20"/>
        </w:rPr>
        <w:t xml:space="preserve">, 52(2) University of Chicago L. Rev. 508 (1985); Baker, </w:t>
      </w:r>
      <w:r w:rsidRPr="00431BAC">
        <w:rPr>
          <w:rFonts w:asciiTheme="majorBidi" w:hAnsiTheme="majorBidi" w:cstheme="majorBidi"/>
          <w:i/>
          <w:iCs/>
          <w:color w:val="000000" w:themeColor="text1"/>
          <w:sz w:val="20"/>
          <w:szCs w:val="20"/>
        </w:rPr>
        <w:t>supra</w:t>
      </w:r>
      <w:r w:rsidRPr="00431BAC">
        <w:rPr>
          <w:rFonts w:asciiTheme="majorBidi" w:hAnsiTheme="majorBidi" w:cstheme="majorBidi"/>
          <w:color w:val="000000" w:themeColor="text1"/>
          <w:sz w:val="20"/>
          <w:szCs w:val="20"/>
        </w:rPr>
        <w:t xml:space="preserve"> note </w:t>
      </w:r>
      <w:r w:rsidRPr="00431BAC">
        <w:rPr>
          <w:rFonts w:asciiTheme="majorBidi" w:hAnsiTheme="majorBidi" w:cstheme="majorBidi"/>
          <w:color w:val="000000" w:themeColor="text1"/>
          <w:sz w:val="20"/>
          <w:szCs w:val="20"/>
        </w:rPr>
        <w:fldChar w:fldCharType="begin"/>
      </w:r>
      <w:r w:rsidRPr="00431BAC">
        <w:rPr>
          <w:rFonts w:asciiTheme="majorBidi" w:hAnsiTheme="majorBidi" w:cstheme="majorBidi"/>
          <w:color w:val="000000" w:themeColor="text1"/>
          <w:sz w:val="20"/>
          <w:szCs w:val="20"/>
        </w:rPr>
        <w:instrText xml:space="preserve"> NOTEREF _Ref496808083 \h  \* MERGEFORMAT </w:instrText>
      </w:r>
      <w:r w:rsidRPr="00431BAC">
        <w:rPr>
          <w:rFonts w:asciiTheme="majorBidi" w:hAnsiTheme="majorBidi" w:cstheme="majorBidi"/>
          <w:color w:val="000000" w:themeColor="text1"/>
          <w:sz w:val="20"/>
          <w:szCs w:val="20"/>
        </w:rPr>
      </w:r>
      <w:r w:rsidRPr="00431BAC">
        <w:rPr>
          <w:rFonts w:asciiTheme="majorBidi" w:hAnsiTheme="majorBidi" w:cstheme="majorBidi"/>
          <w:color w:val="000000" w:themeColor="text1"/>
          <w:sz w:val="20"/>
          <w:szCs w:val="20"/>
        </w:rPr>
        <w:fldChar w:fldCharType="separate"/>
      </w:r>
      <w:r>
        <w:rPr>
          <w:rFonts w:asciiTheme="majorBidi" w:hAnsiTheme="majorBidi" w:cstheme="majorBidi"/>
          <w:color w:val="000000" w:themeColor="text1"/>
          <w:sz w:val="20"/>
          <w:szCs w:val="20"/>
        </w:rPr>
        <w:t>67</w:t>
      </w:r>
      <w:r w:rsidRPr="00431BAC">
        <w:rPr>
          <w:rFonts w:asciiTheme="majorBidi" w:hAnsiTheme="majorBidi" w:cstheme="majorBidi"/>
          <w:color w:val="000000" w:themeColor="text1"/>
          <w:sz w:val="20"/>
          <w:szCs w:val="20"/>
        </w:rPr>
        <w:fldChar w:fldCharType="end"/>
      </w:r>
      <w:r w:rsidRPr="00431BAC">
        <w:rPr>
          <w:rFonts w:asciiTheme="majorBidi" w:hAnsiTheme="majorBidi" w:cstheme="majorBidi"/>
          <w:color w:val="000000" w:themeColor="text1"/>
          <w:sz w:val="20"/>
          <w:szCs w:val="20"/>
        </w:rPr>
        <w:t>.</w:t>
      </w:r>
    </w:p>
  </w:footnote>
  <w:footnote w:id="71">
    <w:p w14:paraId="67B3A17C" w14:textId="7C7C52C1"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also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17-18.</w:t>
      </w:r>
    </w:p>
  </w:footnote>
  <w:footnote w:id="72">
    <w:p w14:paraId="02D6110D" w14:textId="5088D829"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Or any price higher than $5.</w:t>
      </w:r>
    </w:p>
  </w:footnote>
  <w:footnote w:id="73">
    <w:p w14:paraId="05A5A798" w14:textId="10AC39A4" w:rsidR="00510A7E" w:rsidRPr="00431BAC" w:rsidRDefault="00510A7E" w:rsidP="009E755C">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Economically, in the case of perfect competition economic profits would be zero. This, however, does not challenge the numeric example presented here, as zero economic rents imply exactly covering the opportunity cost – see Herbert J. </w:t>
      </w:r>
      <w:proofErr w:type="spellStart"/>
      <w:r w:rsidRPr="00431BAC">
        <w:rPr>
          <w:rFonts w:asciiTheme="majorBidi" w:hAnsiTheme="majorBidi" w:cstheme="majorBidi"/>
          <w:sz w:val="20"/>
          <w:szCs w:val="20"/>
        </w:rPr>
        <w:t>Hovenkamp</w:t>
      </w:r>
      <w:proofErr w:type="spellEnd"/>
      <w:r w:rsidRPr="00431BAC">
        <w:rPr>
          <w:rFonts w:asciiTheme="majorBidi" w:hAnsiTheme="majorBidi" w:cstheme="majorBidi"/>
          <w:sz w:val="20"/>
          <w:szCs w:val="20"/>
        </w:rPr>
        <w:t xml:space="preserve">, Federal Antitrust Policy: The Law of Competition and Its Practice, 5th. St. Paul, MN: West Academic Publishing, 2016 (Hornbook Series), at </w:t>
      </w:r>
      <w:r>
        <w:rPr>
          <w:rFonts w:asciiTheme="majorBidi" w:hAnsiTheme="majorBidi" w:cstheme="majorBidi"/>
          <w:sz w:val="20"/>
          <w:szCs w:val="20"/>
        </w:rPr>
        <w:t>3 – 12</w:t>
      </w:r>
      <w:r w:rsidRPr="00431BAC">
        <w:rPr>
          <w:rFonts w:asciiTheme="majorBidi" w:hAnsiTheme="majorBidi" w:cstheme="majorBidi"/>
          <w:sz w:val="20"/>
          <w:szCs w:val="20"/>
        </w:rPr>
        <w:t>.</w:t>
      </w:r>
    </w:p>
  </w:footnote>
  <w:footnote w:id="74">
    <w:p w14:paraId="2E3596C9" w14:textId="22D5CBF1"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Professor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argues, that if the product market is relatively concentrated, then “[</w:t>
      </w:r>
      <w:proofErr w:type="spellStart"/>
      <w:r w:rsidRPr="00431BAC">
        <w:rPr>
          <w:rFonts w:asciiTheme="majorBidi" w:hAnsiTheme="majorBidi" w:cstheme="majorBidi"/>
          <w:sz w:val="20"/>
          <w:szCs w:val="20"/>
        </w:rPr>
        <w:t>w]hen</w:t>
      </w:r>
      <w:proofErr w:type="spellEnd"/>
      <w:r w:rsidRPr="00431BAC">
        <w:rPr>
          <w:rFonts w:asciiTheme="majorBidi" w:hAnsiTheme="majorBidi" w:cstheme="majorBidi"/>
          <w:sz w:val="20"/>
          <w:szCs w:val="20"/>
        </w:rPr>
        <w:t xml:space="preserve"> the same set of institutional investors has large, leading stock holdings across such a concentrated product market, their horizontal shareholdings are likely to be problematic”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1272). See also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notes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_Ref492475720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22</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_Ref492547471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25</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and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_Ref492547292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61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_Ref492547294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62</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75">
    <w:p w14:paraId="295AB2E9" w14:textId="6FCDF4FD"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When the investors are an index fund, their holdings are obvious to all. Even if they are not, SEC rules require all institutional investors to disclose all their holdings quarterly (Securities Exchange Act §1 3 (f)(I), 15 U.S.C. </w:t>
      </w:r>
      <w:r w:rsidRPr="00431BAC">
        <w:rPr>
          <w:rFonts w:asciiTheme="majorBidi" w:hAnsiTheme="majorBidi" w:cstheme="majorBidi"/>
          <w:i/>
          <w:iCs/>
          <w:sz w:val="20"/>
          <w:szCs w:val="20"/>
        </w:rPr>
        <w:t xml:space="preserve">§ </w:t>
      </w:r>
      <w:r w:rsidRPr="00431BAC">
        <w:rPr>
          <w:rFonts w:asciiTheme="majorBidi" w:hAnsiTheme="majorBidi" w:cstheme="majorBidi"/>
          <w:sz w:val="20"/>
          <w:szCs w:val="20"/>
        </w:rPr>
        <w:t>78m(f)(I) (2012); &lt;</w:t>
      </w:r>
      <w:hyperlink r:id="rId23" w:history="1">
        <w:r w:rsidRPr="00431BAC">
          <w:rPr>
            <w:rStyle w:val="Hyperlink"/>
            <w:rFonts w:asciiTheme="majorBidi" w:hAnsiTheme="majorBidi" w:cstheme="majorBidi"/>
            <w:sz w:val="20"/>
            <w:szCs w:val="20"/>
          </w:rPr>
          <w:t>https://www.sec.gov/fast-answers/answers-form13fhtm.html</w:t>
        </w:r>
      </w:hyperlink>
      <w:r w:rsidRPr="00431BAC">
        <w:rPr>
          <w:rFonts w:asciiTheme="majorBidi" w:hAnsiTheme="majorBidi" w:cstheme="majorBidi"/>
          <w:sz w:val="20"/>
          <w:szCs w:val="20"/>
        </w:rPr>
        <w:t>&gt;; see: &lt;</w:t>
      </w:r>
      <w:hyperlink r:id="rId24" w:history="1">
        <w:r w:rsidRPr="00431BAC">
          <w:rPr>
            <w:rStyle w:val="Hyperlink"/>
            <w:rFonts w:asciiTheme="majorBidi" w:hAnsiTheme="majorBidi" w:cstheme="majorBidi"/>
            <w:sz w:val="20"/>
            <w:szCs w:val="20"/>
          </w:rPr>
          <w:t>https://www.sec.gov/fast-answers/answers-form13fhtm.html.</w:t>
        </w:r>
      </w:hyperlink>
      <w:r w:rsidRPr="00431BAC">
        <w:rPr>
          <w:rFonts w:asciiTheme="majorBidi" w:hAnsiTheme="majorBidi" w:cstheme="majorBidi"/>
          <w:sz w:val="20"/>
          <w:szCs w:val="20"/>
        </w:rPr>
        <w:t xml:space="preserve">&gt;. On SEC Form 13F see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1-2.</w:t>
      </w:r>
    </w:p>
  </w:footnote>
  <w:footnote w:id="76">
    <w:p w14:paraId="10A5C6FC" w14:textId="7EFD9352"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_Ref491888779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35</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77">
    <w:p w14:paraId="3168D74B" w14:textId="4A9300B5"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notes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_Ref492475720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22</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_Ref492547471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25</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78">
    <w:p w14:paraId="256BB60F" w14:textId="1392FF95"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Or by engaging in equivalent conduct, for example by deteriorating the quality of the product, or the like.</w:t>
      </w:r>
    </w:p>
  </w:footnote>
  <w:footnote w:id="79">
    <w:p w14:paraId="10150A67" w14:textId="77777777" w:rsidR="00510A7E" w:rsidRPr="00431BAC" w:rsidRDefault="00510A7E" w:rsidP="006C2BB9">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_Ref500159198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43</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Donald F. </w:t>
      </w:r>
      <w:r w:rsidRPr="00431BAC">
        <w:rPr>
          <w:rFonts w:asciiTheme="majorBidi" w:hAnsiTheme="majorBidi" w:cstheme="majorBidi"/>
          <w:color w:val="000000" w:themeColor="text1"/>
          <w:sz w:val="20"/>
          <w:szCs w:val="20"/>
        </w:rPr>
        <w:t xml:space="preserve">Turner, </w:t>
      </w:r>
      <w:r w:rsidRPr="00431BAC">
        <w:rPr>
          <w:rFonts w:asciiTheme="majorBidi" w:hAnsiTheme="majorBidi" w:cstheme="majorBidi"/>
          <w:i/>
          <w:iCs/>
          <w:color w:val="000000" w:themeColor="text1"/>
          <w:sz w:val="20"/>
          <w:szCs w:val="20"/>
        </w:rPr>
        <w:t>The Definition of Agreement under the Sherman Act: Conscious Parallelism and Refusals to Deal</w:t>
      </w:r>
      <w:r w:rsidRPr="00431BAC">
        <w:rPr>
          <w:rFonts w:asciiTheme="majorBidi" w:hAnsiTheme="majorBidi" w:cstheme="majorBidi"/>
          <w:color w:val="000000" w:themeColor="text1"/>
          <w:sz w:val="20"/>
          <w:szCs w:val="20"/>
        </w:rPr>
        <w:t xml:space="preserve">, 75(4) </w:t>
      </w:r>
      <w:proofErr w:type="spellStart"/>
      <w:r w:rsidRPr="00431BAC">
        <w:rPr>
          <w:rFonts w:asciiTheme="majorBidi" w:hAnsiTheme="majorBidi" w:cstheme="majorBidi"/>
          <w:color w:val="000000" w:themeColor="text1"/>
          <w:sz w:val="20"/>
          <w:szCs w:val="20"/>
        </w:rPr>
        <w:t>Harv</w:t>
      </w:r>
      <w:proofErr w:type="spellEnd"/>
      <w:r w:rsidRPr="00431BAC">
        <w:rPr>
          <w:rFonts w:asciiTheme="majorBidi" w:hAnsiTheme="majorBidi" w:cstheme="majorBidi"/>
          <w:color w:val="000000" w:themeColor="text1"/>
          <w:sz w:val="20"/>
          <w:szCs w:val="20"/>
        </w:rPr>
        <w:t xml:space="preserve">. L.R. 655. 1962; J.B. </w:t>
      </w:r>
      <w:r w:rsidRPr="00431BAC">
        <w:rPr>
          <w:rFonts w:asciiTheme="majorBidi" w:hAnsiTheme="majorBidi" w:cstheme="majorBidi"/>
          <w:color w:val="000000" w:themeColor="text1"/>
          <w:sz w:val="20"/>
          <w:szCs w:val="20"/>
          <w:highlight w:val="lightGray"/>
        </w:rPr>
        <w:t>Baker, </w:t>
      </w:r>
      <w:r w:rsidRPr="00431BAC">
        <w:rPr>
          <w:rFonts w:asciiTheme="majorBidi" w:hAnsiTheme="majorBidi" w:cstheme="majorBidi"/>
          <w:i/>
          <w:iCs/>
          <w:color w:val="000000" w:themeColor="text1"/>
          <w:sz w:val="20"/>
          <w:szCs w:val="20"/>
          <w:highlight w:val="lightGray"/>
        </w:rPr>
        <w:t>Two Sherman Act Section 1 Dilemmas: Parallel Pricing, the Oligopoly Problem, and Contemporary Economic Theory</w:t>
      </w:r>
      <w:r w:rsidRPr="00431BAC">
        <w:rPr>
          <w:rFonts w:asciiTheme="majorBidi" w:hAnsiTheme="majorBidi" w:cstheme="majorBidi"/>
          <w:color w:val="000000" w:themeColor="text1"/>
          <w:sz w:val="20"/>
          <w:szCs w:val="20"/>
          <w:highlight w:val="lightGray"/>
        </w:rPr>
        <w:t>, 38 Antitrust Bull 143 (1993);</w:t>
      </w:r>
      <w:r w:rsidRPr="00431BAC">
        <w:rPr>
          <w:rFonts w:asciiTheme="majorBidi" w:hAnsiTheme="majorBidi" w:cstheme="majorBidi"/>
          <w:color w:val="000000" w:themeColor="text1"/>
          <w:sz w:val="20"/>
          <w:szCs w:val="20"/>
        </w:rPr>
        <w:t xml:space="preserve"> </w:t>
      </w:r>
      <w:r w:rsidRPr="00431BAC">
        <w:rPr>
          <w:rFonts w:asciiTheme="majorBidi" w:hAnsiTheme="majorBidi" w:cstheme="majorBidi"/>
          <w:sz w:val="20"/>
          <w:szCs w:val="20"/>
        </w:rPr>
        <w:t>E. J. Green, R. C. Marshall &amp; L. M. Marx</w:t>
      </w:r>
      <w:r w:rsidRPr="00431BAC">
        <w:rPr>
          <w:rFonts w:asciiTheme="majorBidi" w:hAnsiTheme="majorBidi" w:cstheme="majorBidi"/>
          <w:color w:val="000000" w:themeColor="text1"/>
          <w:sz w:val="20"/>
          <w:szCs w:val="20"/>
        </w:rPr>
        <w:t xml:space="preserve">, </w:t>
      </w:r>
      <w:r w:rsidRPr="00431BAC">
        <w:rPr>
          <w:rFonts w:asciiTheme="majorBidi" w:hAnsiTheme="majorBidi" w:cstheme="majorBidi"/>
          <w:i/>
          <w:iCs/>
          <w:color w:val="000000" w:themeColor="text1"/>
          <w:sz w:val="20"/>
          <w:szCs w:val="20"/>
        </w:rPr>
        <w:t>Tacit Collusion in Oligopoly</w:t>
      </w:r>
      <w:r w:rsidRPr="00431BAC">
        <w:rPr>
          <w:rFonts w:asciiTheme="majorBidi" w:hAnsiTheme="majorBidi" w:cstheme="majorBidi"/>
          <w:color w:val="000000" w:themeColor="text1"/>
          <w:sz w:val="20"/>
          <w:szCs w:val="20"/>
        </w:rPr>
        <w:t xml:space="preserve">, in </w:t>
      </w:r>
      <w:r w:rsidRPr="00431BAC">
        <w:rPr>
          <w:rFonts w:asciiTheme="majorBidi" w:hAnsiTheme="majorBidi" w:cstheme="majorBidi"/>
          <w:b/>
          <w:bCs/>
          <w:color w:val="000000" w:themeColor="text1"/>
          <w:sz w:val="20"/>
          <w:szCs w:val="20"/>
        </w:rPr>
        <w:t>The Oxford Handbook of International Antitrust Economics</w:t>
      </w:r>
      <w:r w:rsidRPr="00431BAC">
        <w:rPr>
          <w:rFonts w:asciiTheme="majorBidi" w:hAnsiTheme="majorBidi" w:cstheme="majorBidi"/>
          <w:color w:val="000000" w:themeColor="text1"/>
          <w:sz w:val="20"/>
          <w:szCs w:val="20"/>
        </w:rPr>
        <w:t xml:space="preserve"> (R. D. Blair and D. D. </w:t>
      </w:r>
      <w:proofErr w:type="spellStart"/>
      <w:r w:rsidRPr="00431BAC">
        <w:rPr>
          <w:rFonts w:asciiTheme="majorBidi" w:hAnsiTheme="majorBidi" w:cstheme="majorBidi"/>
          <w:color w:val="000000" w:themeColor="text1"/>
          <w:sz w:val="20"/>
          <w:szCs w:val="20"/>
        </w:rPr>
        <w:t>Sokol</w:t>
      </w:r>
      <w:proofErr w:type="spellEnd"/>
      <w:r w:rsidRPr="00431BAC">
        <w:rPr>
          <w:rFonts w:asciiTheme="majorBidi" w:hAnsiTheme="majorBidi" w:cstheme="majorBidi"/>
          <w:color w:val="000000" w:themeColor="text1"/>
          <w:sz w:val="20"/>
          <w:szCs w:val="20"/>
        </w:rPr>
        <w:t xml:space="preserve"> eds., vol. 2, 2014); but see </w:t>
      </w:r>
      <w:r w:rsidRPr="00431BAC">
        <w:rPr>
          <w:rFonts w:asciiTheme="majorBidi" w:hAnsiTheme="majorBidi" w:cstheme="majorBidi"/>
          <w:sz w:val="20"/>
          <w:szCs w:val="20"/>
        </w:rPr>
        <w:t xml:space="preserve">Richard A. </w:t>
      </w:r>
      <w:r w:rsidRPr="00431BAC">
        <w:rPr>
          <w:rFonts w:asciiTheme="majorBidi" w:hAnsiTheme="majorBidi" w:cstheme="majorBidi"/>
          <w:color w:val="000000" w:themeColor="text1"/>
          <w:sz w:val="20"/>
          <w:szCs w:val="20"/>
        </w:rPr>
        <w:t xml:space="preserve">Posner, </w:t>
      </w:r>
      <w:r w:rsidRPr="00431BAC">
        <w:rPr>
          <w:rFonts w:asciiTheme="majorBidi" w:hAnsiTheme="majorBidi" w:cstheme="majorBidi"/>
          <w:i/>
          <w:iCs/>
          <w:color w:val="000000" w:themeColor="text1"/>
          <w:sz w:val="20"/>
          <w:szCs w:val="20"/>
        </w:rPr>
        <w:t>Oligopoly and the Antitrust Laws: A Suggested Approach</w:t>
      </w:r>
      <w:r w:rsidRPr="00431BAC">
        <w:rPr>
          <w:rFonts w:asciiTheme="majorBidi" w:hAnsiTheme="majorBidi" w:cstheme="majorBidi"/>
          <w:color w:val="000000" w:themeColor="text1"/>
          <w:sz w:val="20"/>
          <w:szCs w:val="20"/>
        </w:rPr>
        <w:t>, 21 Stan. L. Rev. 1562 (1968 – 1969).</w:t>
      </w:r>
    </w:p>
  </w:footnote>
  <w:footnote w:id="80">
    <w:p w14:paraId="0942697D" w14:textId="048F0C6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Azar et al.,</w:t>
      </w:r>
      <w:r w:rsidRPr="00431BAC">
        <w:rPr>
          <w:rFonts w:asciiTheme="majorBidi" w:hAnsiTheme="majorBidi" w:cstheme="majorBidi"/>
          <w:i/>
          <w:iCs/>
          <w:sz w:val="20"/>
          <w:szCs w:val="20"/>
        </w:rPr>
        <w:t xml:space="preserve"> 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4.</w:t>
      </w:r>
    </w:p>
  </w:footnote>
  <w:footnote w:id="81">
    <w:p w14:paraId="05728512" w14:textId="6E914F00"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E.g. Miguel Anton, Florian </w:t>
      </w:r>
      <w:proofErr w:type="spellStart"/>
      <w:r w:rsidRPr="00431BAC">
        <w:rPr>
          <w:rFonts w:asciiTheme="majorBidi" w:hAnsiTheme="majorBidi" w:cstheme="majorBidi"/>
          <w:sz w:val="20"/>
          <w:szCs w:val="20"/>
        </w:rPr>
        <w:t>Ederer</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Mireia</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Gine</w:t>
      </w:r>
      <w:proofErr w:type="spellEnd"/>
      <w:r w:rsidRPr="00431BAC">
        <w:rPr>
          <w:rFonts w:asciiTheme="majorBidi" w:hAnsiTheme="majorBidi" w:cstheme="majorBidi"/>
          <w:sz w:val="20"/>
          <w:szCs w:val="20"/>
        </w:rPr>
        <w:t xml:space="preserve">, &amp; Martin </w:t>
      </w:r>
      <w:proofErr w:type="spellStart"/>
      <w:r w:rsidRPr="00431BAC">
        <w:rPr>
          <w:rFonts w:asciiTheme="majorBidi" w:hAnsiTheme="majorBidi" w:cstheme="majorBidi"/>
          <w:sz w:val="20"/>
          <w:szCs w:val="20"/>
        </w:rPr>
        <w:t>Schmalz</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"Common Ownership, Competition, and the Top Management Incentives"</w:t>
      </w:r>
      <w:r w:rsidRPr="00431BAC">
        <w:rPr>
          <w:rFonts w:asciiTheme="majorBidi" w:hAnsiTheme="majorBidi" w:cstheme="majorBidi"/>
          <w:sz w:val="20"/>
          <w:szCs w:val="20"/>
        </w:rPr>
        <w:t xml:space="preserve"> </w:t>
      </w:r>
      <w:r w:rsidRPr="00431BAC">
        <w:rPr>
          <w:rFonts w:asciiTheme="majorBidi" w:hAnsiTheme="majorBidi" w:cstheme="majorBidi"/>
          <w:smallCaps/>
          <w:sz w:val="20"/>
          <w:szCs w:val="20"/>
        </w:rPr>
        <w:t>Ross School of Business</w:t>
      </w:r>
      <w:r w:rsidRPr="00431BAC">
        <w:rPr>
          <w:rFonts w:asciiTheme="majorBidi" w:hAnsiTheme="majorBidi" w:cstheme="majorBidi"/>
          <w:sz w:val="20"/>
          <w:szCs w:val="20"/>
        </w:rPr>
        <w:t xml:space="preserve"> Paper No. 1328 European Corporate Governance Institute (ECGI) - Finance Working Paper No. 511/2017SSRN (2016): &lt;</w:t>
      </w:r>
      <w:hyperlink r:id="rId25" w:history="1">
        <w:r w:rsidRPr="00431BAC">
          <w:rPr>
            <w:rStyle w:val="Hyperlink"/>
            <w:rFonts w:asciiTheme="majorBidi" w:hAnsiTheme="majorBidi" w:cstheme="majorBidi"/>
            <w:sz w:val="20"/>
            <w:szCs w:val="20"/>
          </w:rPr>
          <w:t>http://cowles.yale.edu/sites/default/files/files/pub/d20/d2046.pdf</w:t>
        </w:r>
      </w:hyperlink>
      <w:r w:rsidRPr="00431BAC">
        <w:rPr>
          <w:rStyle w:val="Hyperlink"/>
          <w:rFonts w:asciiTheme="majorBidi" w:hAnsiTheme="majorBidi" w:cstheme="majorBidi"/>
          <w:sz w:val="20"/>
          <w:szCs w:val="20"/>
        </w:rPr>
        <w:t>&gt;</w:t>
      </w:r>
      <w:r w:rsidRPr="00431BAC">
        <w:rPr>
          <w:rFonts w:asciiTheme="majorBidi" w:hAnsiTheme="majorBidi" w:cstheme="majorBidi"/>
          <w:sz w:val="20"/>
          <w:szCs w:val="20"/>
        </w:rPr>
        <w:t>.</w:t>
      </w:r>
    </w:p>
  </w:footnote>
  <w:footnote w:id="82">
    <w:p w14:paraId="2AFDC9F8" w14:textId="39D3B31B"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Lucian </w:t>
      </w:r>
      <w:proofErr w:type="spellStart"/>
      <w:r w:rsidRPr="00431BAC">
        <w:rPr>
          <w:rFonts w:asciiTheme="majorBidi" w:hAnsiTheme="majorBidi" w:cstheme="majorBidi"/>
          <w:sz w:val="20"/>
          <w:szCs w:val="20"/>
        </w:rPr>
        <w:t>Arye</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Bebchuk</w:t>
      </w:r>
      <w:proofErr w:type="spellEnd"/>
      <w:r w:rsidRPr="00431BAC">
        <w:rPr>
          <w:rFonts w:asciiTheme="majorBidi" w:hAnsiTheme="majorBidi" w:cstheme="majorBidi"/>
          <w:sz w:val="20"/>
          <w:szCs w:val="20"/>
        </w:rPr>
        <w:t xml:space="preserve">, Jesse M. Fried &amp; David I. Walker, </w:t>
      </w:r>
      <w:r w:rsidRPr="00431BAC">
        <w:rPr>
          <w:rFonts w:asciiTheme="majorBidi" w:hAnsiTheme="majorBidi" w:cstheme="majorBidi"/>
          <w:i/>
          <w:iCs/>
          <w:sz w:val="20"/>
          <w:szCs w:val="20"/>
        </w:rPr>
        <w:t>Managerial Power and Rent Extraction in the Design of Executive Compensation</w:t>
      </w:r>
      <w:r w:rsidRPr="00431BAC">
        <w:rPr>
          <w:rFonts w:asciiTheme="majorBidi" w:hAnsiTheme="majorBidi" w:cstheme="majorBidi"/>
          <w:sz w:val="20"/>
          <w:szCs w:val="20"/>
        </w:rPr>
        <w:t>, 69 U. Chicago L. Rev. 751 at 804 (2002).</w:t>
      </w:r>
    </w:p>
  </w:footnote>
  <w:footnote w:id="83">
    <w:p w14:paraId="6ABDBA21" w14:textId="49C0CDEE"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i/>
          <w:iCs/>
          <w:sz w:val="20"/>
          <w:szCs w:val="20"/>
        </w:rPr>
        <w:t xml:space="preserve"> Id.</w:t>
      </w:r>
      <w:r w:rsidRPr="00431BAC">
        <w:rPr>
          <w:rFonts w:asciiTheme="majorBidi" w:hAnsiTheme="majorBidi" w:cstheme="majorBidi"/>
          <w:sz w:val="20"/>
          <w:szCs w:val="20"/>
        </w:rPr>
        <w:t>, at 802.</w:t>
      </w:r>
    </w:p>
  </w:footnote>
  <w:footnote w:id="84">
    <w:p w14:paraId="0B9A7416" w14:textId="1ACD048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at 803.</w:t>
      </w:r>
      <w:r w:rsidRPr="00724091">
        <w:rPr>
          <w:rFonts w:asciiTheme="majorBidi" w:hAnsiTheme="majorBidi" w:cstheme="majorBidi"/>
          <w:sz w:val="20"/>
          <w:szCs w:val="20"/>
        </w:rPr>
        <w:t xml:space="preserve"> </w:t>
      </w:r>
      <w:r w:rsidRPr="00431BAC">
        <w:rPr>
          <w:rFonts w:asciiTheme="majorBidi" w:hAnsiTheme="majorBidi" w:cstheme="majorBidi"/>
          <w:sz w:val="20"/>
          <w:szCs w:val="20"/>
        </w:rPr>
        <w:t xml:space="preserve">The point is stressed in </w:t>
      </w:r>
      <w:proofErr w:type="spellStart"/>
      <w:r w:rsidRPr="00431BAC">
        <w:rPr>
          <w:rFonts w:asciiTheme="majorBidi" w:hAnsiTheme="majorBidi" w:cstheme="majorBidi"/>
          <w:sz w:val="20"/>
          <w:szCs w:val="20"/>
        </w:rPr>
        <w:t>Bebchuk</w:t>
      </w:r>
      <w:proofErr w:type="spellEnd"/>
      <w:r w:rsidRPr="00431BAC">
        <w:rPr>
          <w:rFonts w:asciiTheme="majorBidi" w:hAnsiTheme="majorBidi" w:cstheme="majorBidi"/>
          <w:sz w:val="20"/>
          <w:szCs w:val="20"/>
        </w:rPr>
        <w:t xml:space="preserve"> &amp; </w:t>
      </w:r>
      <w:proofErr w:type="spellStart"/>
      <w:r w:rsidRPr="00431BAC">
        <w:rPr>
          <w:rFonts w:asciiTheme="majorBidi" w:hAnsiTheme="majorBidi" w:cstheme="majorBidi"/>
          <w:sz w:val="20"/>
          <w:szCs w:val="20"/>
        </w:rPr>
        <w:t>Fried’s</w:t>
      </w:r>
      <w:proofErr w:type="spellEnd"/>
      <w:r w:rsidRPr="00431BAC">
        <w:rPr>
          <w:rFonts w:asciiTheme="majorBidi" w:hAnsiTheme="majorBidi" w:cstheme="majorBidi"/>
          <w:sz w:val="20"/>
          <w:szCs w:val="20"/>
        </w:rPr>
        <w:t xml:space="preserve"> book, L. A. </w:t>
      </w:r>
      <w:proofErr w:type="spellStart"/>
      <w:r w:rsidRPr="00431BAC">
        <w:rPr>
          <w:rFonts w:asciiTheme="majorBidi" w:hAnsiTheme="majorBidi" w:cstheme="majorBidi"/>
          <w:sz w:val="20"/>
          <w:szCs w:val="20"/>
        </w:rPr>
        <w:t>Bebchuk</w:t>
      </w:r>
      <w:proofErr w:type="spellEnd"/>
      <w:r w:rsidRPr="00431BAC">
        <w:rPr>
          <w:rFonts w:asciiTheme="majorBidi" w:hAnsiTheme="majorBidi" w:cstheme="majorBidi"/>
          <w:sz w:val="20"/>
          <w:szCs w:val="20"/>
        </w:rPr>
        <w:t xml:space="preserve"> &amp; J. M. Fried, </w:t>
      </w:r>
      <w:r w:rsidRPr="00431BAC">
        <w:rPr>
          <w:rFonts w:asciiTheme="majorBidi" w:hAnsiTheme="majorBidi" w:cstheme="majorBidi"/>
          <w:b/>
          <w:bCs/>
          <w:sz w:val="20"/>
          <w:szCs w:val="20"/>
        </w:rPr>
        <w:t>Pay Without Performance, the Unfulfilled Promise of Executive Compensation</w:t>
      </w:r>
      <w:r>
        <w:rPr>
          <w:rFonts w:asciiTheme="majorBidi" w:hAnsiTheme="majorBidi" w:cstheme="majorBidi"/>
          <w:sz w:val="20"/>
          <w:szCs w:val="20"/>
        </w:rPr>
        <w:t xml:space="preserve"> (</w:t>
      </w:r>
      <w:proofErr w:type="spellStart"/>
      <w:r>
        <w:rPr>
          <w:rFonts w:asciiTheme="majorBidi" w:hAnsiTheme="majorBidi" w:cstheme="majorBidi"/>
          <w:sz w:val="20"/>
          <w:szCs w:val="20"/>
        </w:rPr>
        <w:t>Harv</w:t>
      </w:r>
      <w:proofErr w:type="spellEnd"/>
      <w:r>
        <w:rPr>
          <w:rFonts w:asciiTheme="majorBidi" w:hAnsiTheme="majorBidi" w:cstheme="majorBidi"/>
          <w:sz w:val="20"/>
          <w:szCs w:val="20"/>
        </w:rPr>
        <w:t>. U. Press, 2004), at 122.</w:t>
      </w:r>
    </w:p>
  </w:footnote>
  <w:footnote w:id="85">
    <w:p w14:paraId="0EB68D85" w14:textId="48386681" w:rsidR="00510A7E" w:rsidRPr="00811B05" w:rsidRDefault="00510A7E" w:rsidP="00811B05">
      <w:pPr>
        <w:pStyle w:val="FootnoteText"/>
        <w:jc w:val="both"/>
        <w:rPr>
          <w:sz w:val="20"/>
          <w:szCs w:val="20"/>
        </w:rPr>
      </w:pPr>
      <w:r w:rsidRPr="00811B05">
        <w:rPr>
          <w:rStyle w:val="FootnoteReference"/>
          <w:sz w:val="20"/>
          <w:szCs w:val="20"/>
        </w:rPr>
        <w:footnoteRef/>
      </w:r>
      <w:r w:rsidRPr="00811B05">
        <w:rPr>
          <w:sz w:val="20"/>
          <w:szCs w:val="20"/>
        </w:rPr>
        <w:t xml:space="preserve"> </w:t>
      </w:r>
      <w:r w:rsidRPr="00811B05">
        <w:rPr>
          <w:rFonts w:asciiTheme="majorBidi" w:hAnsiTheme="majorBidi" w:cstheme="majorBidi"/>
          <w:sz w:val="20"/>
          <w:szCs w:val="20"/>
        </w:rPr>
        <w:t xml:space="preserve">An important point, not to be pursued in the present context, is that both corporate law and antitrust law should indeed be concerned with managerial compensation effectively linked to industry performance. Specifically, granting managers stock or options incentivizes explicit and tacit coordination (See Rosa M. </w:t>
      </w:r>
      <w:proofErr w:type="spellStart"/>
      <w:r w:rsidRPr="00811B05">
        <w:rPr>
          <w:rFonts w:asciiTheme="majorBidi" w:hAnsiTheme="majorBidi" w:cstheme="majorBidi"/>
          <w:sz w:val="20"/>
          <w:szCs w:val="20"/>
        </w:rPr>
        <w:t>Abrantes</w:t>
      </w:r>
      <w:proofErr w:type="spellEnd"/>
      <w:r w:rsidRPr="00811B05">
        <w:rPr>
          <w:rFonts w:asciiTheme="majorBidi" w:hAnsiTheme="majorBidi" w:cstheme="majorBidi"/>
          <w:sz w:val="20"/>
          <w:szCs w:val="20"/>
        </w:rPr>
        <w:t xml:space="preserve"> </w:t>
      </w:r>
      <w:r w:rsidRPr="00811B05">
        <w:rPr>
          <w:rFonts w:asciiTheme="majorBidi" w:eastAsia="Helvetica" w:hAnsiTheme="majorBidi" w:cstheme="majorBidi"/>
          <w:sz w:val="20"/>
          <w:szCs w:val="20"/>
        </w:rPr>
        <w:t>– Met</w:t>
      </w:r>
      <w:r w:rsidRPr="00811B05">
        <w:rPr>
          <w:rFonts w:asciiTheme="majorBidi" w:hAnsiTheme="majorBidi" w:cstheme="majorBidi"/>
          <w:sz w:val="20"/>
          <w:szCs w:val="20"/>
        </w:rPr>
        <w:t xml:space="preserve">z &amp; Daniel D. </w:t>
      </w:r>
      <w:proofErr w:type="spellStart"/>
      <w:r w:rsidRPr="00811B05">
        <w:rPr>
          <w:rFonts w:asciiTheme="majorBidi" w:hAnsiTheme="majorBidi" w:cstheme="majorBidi"/>
          <w:sz w:val="20"/>
          <w:szCs w:val="20"/>
        </w:rPr>
        <w:t>Sokol</w:t>
      </w:r>
      <w:proofErr w:type="spellEnd"/>
      <w:r w:rsidRPr="00811B05">
        <w:rPr>
          <w:rFonts w:asciiTheme="majorBidi" w:hAnsiTheme="majorBidi" w:cstheme="majorBidi"/>
          <w:sz w:val="20"/>
          <w:szCs w:val="20"/>
        </w:rPr>
        <w:t xml:space="preserve">, </w:t>
      </w:r>
      <w:r w:rsidRPr="00811B05">
        <w:rPr>
          <w:rFonts w:asciiTheme="majorBidi" w:hAnsiTheme="majorBidi" w:cstheme="majorBidi"/>
          <w:b/>
          <w:bCs/>
          <w:sz w:val="20"/>
          <w:szCs w:val="20"/>
        </w:rPr>
        <w:t>Antitrust Corporate Governance and Compliance</w:t>
      </w:r>
      <w:r w:rsidRPr="00811B05">
        <w:rPr>
          <w:rFonts w:asciiTheme="majorBidi" w:hAnsiTheme="majorBidi" w:cstheme="majorBidi"/>
          <w:sz w:val="20"/>
          <w:szCs w:val="20"/>
        </w:rPr>
        <w:t xml:space="preserve">, in The Oxford Handbook of International Antitrust Economics, Vol. 2 (Roger D. Blair &amp; D. Daniel </w:t>
      </w:r>
      <w:proofErr w:type="spellStart"/>
      <w:r w:rsidRPr="00811B05">
        <w:rPr>
          <w:rFonts w:asciiTheme="majorBidi" w:hAnsiTheme="majorBidi" w:cstheme="majorBidi"/>
          <w:sz w:val="20"/>
          <w:szCs w:val="20"/>
        </w:rPr>
        <w:t>Sokol</w:t>
      </w:r>
      <w:proofErr w:type="spellEnd"/>
      <w:r w:rsidRPr="00811B05">
        <w:rPr>
          <w:rFonts w:asciiTheme="majorBidi" w:hAnsiTheme="majorBidi" w:cstheme="majorBidi"/>
          <w:sz w:val="20"/>
          <w:szCs w:val="20"/>
        </w:rPr>
        <w:t xml:space="preserve"> eds., 2014)). If such compensation plans have no welfare-enhancing effect, or if this effect is trivial, uncommon, or can easily be achieved through some other measure that is competitively-benign, as </w:t>
      </w:r>
      <w:proofErr w:type="spellStart"/>
      <w:r w:rsidRPr="00811B05">
        <w:rPr>
          <w:rFonts w:asciiTheme="majorBidi" w:hAnsiTheme="majorBidi" w:cstheme="majorBidi"/>
          <w:sz w:val="20"/>
          <w:szCs w:val="20"/>
        </w:rPr>
        <w:t>Bebchuck</w:t>
      </w:r>
      <w:proofErr w:type="spellEnd"/>
      <w:r w:rsidRPr="00811B05">
        <w:rPr>
          <w:rFonts w:asciiTheme="majorBidi" w:hAnsiTheme="majorBidi" w:cstheme="majorBidi"/>
          <w:sz w:val="20"/>
          <w:szCs w:val="20"/>
        </w:rPr>
        <w:t xml:space="preserve"> et al. suggest, it may be justified to subject these compensation plans to a </w:t>
      </w:r>
      <w:r w:rsidRPr="00811B05">
        <w:rPr>
          <w:rFonts w:asciiTheme="majorBidi" w:hAnsiTheme="majorBidi" w:cstheme="majorBidi"/>
          <w:i/>
          <w:iCs/>
          <w:sz w:val="20"/>
          <w:szCs w:val="20"/>
        </w:rPr>
        <w:t>per se</w:t>
      </w:r>
      <w:r w:rsidRPr="00811B05">
        <w:rPr>
          <w:rFonts w:asciiTheme="majorBidi" w:hAnsiTheme="majorBidi" w:cstheme="majorBidi"/>
          <w:sz w:val="20"/>
          <w:szCs w:val="20"/>
        </w:rPr>
        <w:t xml:space="preserve"> illegality rule. As antitrust case law has long recognized, </w:t>
      </w:r>
      <w:r w:rsidRPr="00811B05">
        <w:rPr>
          <w:rFonts w:asciiTheme="majorBidi" w:hAnsiTheme="majorBidi" w:cstheme="majorBidi"/>
          <w:i/>
          <w:iCs/>
          <w:sz w:val="20"/>
          <w:szCs w:val="20"/>
        </w:rPr>
        <w:t>per se</w:t>
      </w:r>
      <w:r w:rsidRPr="00811B05">
        <w:rPr>
          <w:rFonts w:asciiTheme="majorBidi" w:hAnsiTheme="majorBidi" w:cstheme="majorBidi"/>
          <w:sz w:val="20"/>
          <w:szCs w:val="20"/>
        </w:rPr>
        <w:t xml:space="preserve"> illegality is appropriate for practices that harm competition but have no redeeming virtue, or whose redeeming virtue is uncommon or insignificant enough to justify forfeiting these virtues altogether for the benefit of a bright line rule. But importantly for current purposes, the competitive harm brought about by granting managers stock and options is caused through explicit or tacit coordination, not through unilateral coordination. In the context of unilateral coordination, such compensation plans in fact </w:t>
      </w:r>
      <w:r w:rsidRPr="00811B05">
        <w:rPr>
          <w:rFonts w:asciiTheme="majorBidi" w:hAnsiTheme="majorBidi" w:cstheme="majorBidi"/>
          <w:i/>
          <w:iCs/>
          <w:sz w:val="20"/>
          <w:szCs w:val="20"/>
        </w:rPr>
        <w:t>alleviate</w:t>
      </w:r>
      <w:r w:rsidRPr="00811B05">
        <w:rPr>
          <w:rFonts w:asciiTheme="majorBidi" w:hAnsiTheme="majorBidi" w:cstheme="majorBidi"/>
          <w:sz w:val="20"/>
          <w:szCs w:val="20"/>
        </w:rPr>
        <w:t xml:space="preserve"> the competitive concern, because management has a greater incentive to increase (the specific firm’s) profits.</w:t>
      </w:r>
    </w:p>
  </w:footnote>
  <w:footnote w:id="86">
    <w:p w14:paraId="4532543D" w14:textId="7C60888B" w:rsidR="00510A7E" w:rsidRPr="00431BAC" w:rsidRDefault="00510A7E" w:rsidP="00811B05">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w:t>
      </w:r>
      <w:proofErr w:type="spellStart"/>
      <w:r w:rsidRPr="00431BAC">
        <w:rPr>
          <w:rFonts w:asciiTheme="majorBidi" w:hAnsiTheme="majorBidi" w:cstheme="majorBidi"/>
          <w:sz w:val="20"/>
          <w:szCs w:val="20"/>
        </w:rPr>
        <w:t>Abrantes</w:t>
      </w:r>
      <w:proofErr w:type="spellEnd"/>
      <w:r w:rsidRPr="00431BAC">
        <w:rPr>
          <w:rFonts w:asciiTheme="majorBidi" w:hAnsiTheme="majorBidi" w:cstheme="majorBidi"/>
          <w:sz w:val="20"/>
          <w:szCs w:val="20"/>
        </w:rPr>
        <w:t xml:space="preserve"> </w:t>
      </w:r>
      <w:r w:rsidRPr="00431BAC">
        <w:rPr>
          <w:rFonts w:asciiTheme="majorBidi" w:eastAsia="Helvetica" w:hAnsiTheme="majorBidi" w:cstheme="majorBidi"/>
          <w:sz w:val="20"/>
          <w:szCs w:val="20"/>
        </w:rPr>
        <w:t>– Met</w:t>
      </w:r>
      <w:r w:rsidRPr="00431BAC">
        <w:rPr>
          <w:rFonts w:asciiTheme="majorBidi" w:hAnsiTheme="majorBidi" w:cstheme="majorBidi"/>
          <w:sz w:val="20"/>
          <w:szCs w:val="20"/>
        </w:rPr>
        <w:t xml:space="preserve">z </w:t>
      </w:r>
      <w:proofErr w:type="spellStart"/>
      <w:r w:rsidRPr="00431BAC">
        <w:rPr>
          <w:rFonts w:asciiTheme="majorBidi" w:hAnsiTheme="majorBidi" w:cstheme="majorBidi"/>
          <w:sz w:val="20"/>
          <w:szCs w:val="20"/>
        </w:rPr>
        <w:t>Sokol</w:t>
      </w:r>
      <w:proofErr w:type="spellEnd"/>
      <w:r w:rsidRPr="00431BAC">
        <w:rPr>
          <w:rFonts w:asciiTheme="majorBidi" w:hAnsiTheme="majorBidi" w:cstheme="majorBidi"/>
          <w:sz w:val="20"/>
          <w:szCs w:val="20"/>
        </w:rPr>
        <w:t xml:space="preserve">, </w:t>
      </w:r>
      <w:r w:rsidRPr="00811B05">
        <w:rPr>
          <w:rFonts w:asciiTheme="majorBidi" w:hAnsiTheme="majorBidi" w:cstheme="majorBidi"/>
          <w:i/>
          <w:iCs/>
          <w:sz w:val="20"/>
          <w:szCs w:val="20"/>
        </w:rPr>
        <w:t>id</w:t>
      </w:r>
      <w:r>
        <w:rPr>
          <w:rFonts w:asciiTheme="majorBidi" w:hAnsiTheme="majorBidi" w:cstheme="majorBidi"/>
          <w:sz w:val="20"/>
          <w:szCs w:val="20"/>
        </w:rPr>
        <w:t>.</w:t>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Bebchuck</w:t>
      </w:r>
      <w:proofErr w:type="spellEnd"/>
      <w:r w:rsidRPr="00431BAC">
        <w:rPr>
          <w:rFonts w:asciiTheme="majorBidi" w:hAnsiTheme="majorBidi" w:cstheme="majorBidi"/>
          <w:sz w:val="20"/>
          <w:szCs w:val="20"/>
        </w:rPr>
        <w:t xml:space="preserve"> et al. reject the </w:t>
      </w:r>
      <w:r w:rsidRPr="00431BAC">
        <w:rPr>
          <w:rFonts w:asciiTheme="majorBidi" w:eastAsia="Helvetica" w:hAnsiTheme="majorBidi" w:cstheme="majorBidi"/>
          <w:sz w:val="20"/>
          <w:szCs w:val="20"/>
        </w:rPr>
        <w:t>‘</w:t>
      </w:r>
      <w:r w:rsidRPr="00431BAC">
        <w:rPr>
          <w:rFonts w:asciiTheme="majorBidi" w:hAnsiTheme="majorBidi" w:cstheme="majorBidi"/>
          <w:sz w:val="20"/>
          <w:szCs w:val="20"/>
        </w:rPr>
        <w:t>softening industry competition</w:t>
      </w:r>
      <w:r w:rsidRPr="00431BAC">
        <w:rPr>
          <w:rFonts w:asciiTheme="majorBidi" w:eastAsia="Helvetica" w:hAnsiTheme="majorBidi" w:cstheme="majorBidi"/>
          <w:sz w:val="20"/>
          <w:szCs w:val="20"/>
        </w:rPr>
        <w:t>’</w:t>
      </w:r>
      <w:r w:rsidRPr="00431BAC">
        <w:rPr>
          <w:rFonts w:asciiTheme="majorBidi" w:hAnsiTheme="majorBidi" w:cstheme="majorBidi"/>
          <w:sz w:val="20"/>
          <w:szCs w:val="20"/>
        </w:rPr>
        <w:t xml:space="preserve"> explanation</w:t>
      </w:r>
      <w:r>
        <w:rPr>
          <w:rFonts w:asciiTheme="majorBidi" w:hAnsiTheme="majorBidi" w:cstheme="majorBidi"/>
          <w:sz w:val="20"/>
          <w:szCs w:val="20"/>
        </w:rPr>
        <w:t xml:space="preserve"> for granting managers stock and options. </w:t>
      </w:r>
      <w:r>
        <w:rPr>
          <w:rFonts w:asciiTheme="majorBidi" w:eastAsia="Helvetica" w:hAnsiTheme="majorBidi" w:cstheme="majorBidi"/>
          <w:sz w:val="20"/>
          <w:szCs w:val="20"/>
        </w:rPr>
        <w:t>B</w:t>
      </w:r>
      <w:r w:rsidRPr="00431BAC">
        <w:rPr>
          <w:rFonts w:asciiTheme="majorBidi" w:hAnsiTheme="majorBidi" w:cstheme="majorBidi"/>
          <w:sz w:val="20"/>
          <w:szCs w:val="20"/>
        </w:rPr>
        <w:t xml:space="preserve">ut </w:t>
      </w:r>
      <w:r>
        <w:rPr>
          <w:rFonts w:asciiTheme="majorBidi" w:hAnsiTheme="majorBidi" w:cstheme="majorBidi"/>
          <w:sz w:val="20"/>
          <w:szCs w:val="20"/>
        </w:rPr>
        <w:t xml:space="preserve">their </w:t>
      </w:r>
      <w:r w:rsidRPr="00431BAC">
        <w:rPr>
          <w:rFonts w:asciiTheme="majorBidi" w:hAnsiTheme="majorBidi" w:cstheme="majorBidi"/>
          <w:sz w:val="20"/>
          <w:szCs w:val="20"/>
        </w:rPr>
        <w:t xml:space="preserve">objection does not </w:t>
      </w:r>
      <w:r>
        <w:rPr>
          <w:rFonts w:asciiTheme="majorBidi" w:hAnsiTheme="majorBidi" w:cstheme="majorBidi"/>
          <w:sz w:val="20"/>
          <w:szCs w:val="20"/>
        </w:rPr>
        <w:t>challenge the economic analysis</w:t>
      </w:r>
      <w:r w:rsidRPr="00431BAC">
        <w:rPr>
          <w:rFonts w:asciiTheme="majorBidi" w:hAnsiTheme="majorBidi" w:cstheme="majorBidi"/>
          <w:sz w:val="20"/>
          <w:szCs w:val="20"/>
        </w:rPr>
        <w:t>.</w:t>
      </w:r>
      <w:r>
        <w:rPr>
          <w:rFonts w:asciiTheme="majorBidi" w:hAnsiTheme="majorBidi" w:cstheme="majorBidi"/>
          <w:sz w:val="20"/>
          <w:szCs w:val="20"/>
        </w:rPr>
        <w:t xml:space="preserve"> </w:t>
      </w:r>
      <w:proofErr w:type="spellStart"/>
      <w:r>
        <w:rPr>
          <w:rFonts w:asciiTheme="majorBidi" w:hAnsiTheme="majorBidi" w:cstheme="majorBidi"/>
          <w:sz w:val="20"/>
          <w:szCs w:val="20"/>
        </w:rPr>
        <w:t>Bebchuck</w:t>
      </w:r>
      <w:proofErr w:type="spellEnd"/>
      <w:r>
        <w:rPr>
          <w:rFonts w:asciiTheme="majorBidi" w:hAnsiTheme="majorBidi" w:cstheme="majorBidi"/>
          <w:sz w:val="20"/>
          <w:szCs w:val="20"/>
        </w:rPr>
        <w:t xml:space="preserve"> et al. </w:t>
      </w:r>
      <w:r w:rsidRPr="00431BAC">
        <w:rPr>
          <w:rFonts w:asciiTheme="majorBidi" w:hAnsiTheme="majorBidi" w:cstheme="majorBidi"/>
          <w:sz w:val="20"/>
          <w:szCs w:val="20"/>
        </w:rPr>
        <w:t>reject this explanation mainly because as an empirical matter such compensation plans normally link</w:t>
      </w:r>
      <w:r>
        <w:rPr>
          <w:rFonts w:asciiTheme="majorBidi" w:hAnsiTheme="majorBidi" w:cstheme="majorBidi"/>
          <w:sz w:val="20"/>
          <w:szCs w:val="20"/>
        </w:rPr>
        <w:t xml:space="preserve"> compensation</w:t>
      </w:r>
      <w:r w:rsidRPr="00431BAC">
        <w:rPr>
          <w:rFonts w:asciiTheme="majorBidi" w:hAnsiTheme="majorBidi" w:cstheme="majorBidi"/>
          <w:sz w:val="20"/>
          <w:szCs w:val="20"/>
        </w:rPr>
        <w:t xml:space="preserve"> not to specific-industry performance but rather to broader price increases (</w:t>
      </w:r>
      <w:proofErr w:type="spellStart"/>
      <w:r w:rsidRPr="00431BAC">
        <w:rPr>
          <w:rFonts w:asciiTheme="majorBidi" w:hAnsiTheme="majorBidi" w:cstheme="majorBidi"/>
          <w:sz w:val="20"/>
          <w:szCs w:val="20"/>
        </w:rPr>
        <w:t>Bebchuk</w:t>
      </w:r>
      <w:proofErr w:type="spellEnd"/>
      <w:r w:rsidRPr="00431BAC">
        <w:rPr>
          <w:rFonts w:asciiTheme="majorBidi" w:hAnsiTheme="majorBidi" w:cstheme="majorBidi"/>
          <w:sz w:val="20"/>
          <w:szCs w:val="20"/>
        </w:rPr>
        <w:t xml:space="preserve">, Fried &amp; Walker,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Pr>
          <w:rFonts w:asciiTheme="majorBidi" w:hAnsiTheme="majorBidi" w:cstheme="majorBidi"/>
          <w:sz w:val="20"/>
          <w:szCs w:val="20"/>
        </w:rPr>
        <w:fldChar w:fldCharType="begin"/>
      </w:r>
      <w:r>
        <w:rPr>
          <w:rFonts w:asciiTheme="majorBidi" w:hAnsiTheme="majorBidi" w:cstheme="majorBidi"/>
          <w:sz w:val="20"/>
          <w:szCs w:val="20"/>
        </w:rPr>
        <w:instrText xml:space="preserve"> NOTEREF _Ref503086939 \h </w:instrText>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sz w:val="20"/>
          <w:szCs w:val="20"/>
        </w:rPr>
        <w:t>81</w:t>
      </w:r>
      <w:r>
        <w:rPr>
          <w:rFonts w:asciiTheme="majorBidi" w:hAnsiTheme="majorBidi" w:cstheme="majorBidi"/>
          <w:sz w:val="20"/>
          <w:szCs w:val="20"/>
        </w:rPr>
        <w:fldChar w:fldCharType="end"/>
      </w:r>
      <w:r w:rsidRPr="00431BAC">
        <w:rPr>
          <w:rFonts w:asciiTheme="majorBidi" w:hAnsiTheme="majorBidi" w:cstheme="majorBidi"/>
          <w:sz w:val="20"/>
          <w:szCs w:val="20"/>
        </w:rPr>
        <w:t>, at 809). This objection does not imply that such compensation plans cannot incentivize managers to soften competition.</w:t>
      </w:r>
    </w:p>
  </w:footnote>
  <w:footnote w:id="87">
    <w:p w14:paraId="5AEA8797" w14:textId="7777777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e.g., A. Agrawal &amp; G.N. </w:t>
      </w:r>
      <w:proofErr w:type="spellStart"/>
      <w:r w:rsidRPr="00431BAC">
        <w:rPr>
          <w:rFonts w:asciiTheme="majorBidi" w:hAnsiTheme="majorBidi" w:cstheme="majorBidi"/>
          <w:sz w:val="20"/>
          <w:szCs w:val="20"/>
        </w:rPr>
        <w:t>Mandelker</w:t>
      </w:r>
      <w:proofErr w:type="spellEnd"/>
      <w:r w:rsidRPr="00431BAC">
        <w:rPr>
          <w:rFonts w:asciiTheme="majorBidi" w:hAnsiTheme="majorBidi" w:cstheme="majorBidi"/>
          <w:sz w:val="20"/>
          <w:szCs w:val="20"/>
        </w:rPr>
        <w:t>,</w:t>
      </w:r>
      <w:r w:rsidRPr="00431BAC">
        <w:rPr>
          <w:rFonts w:asciiTheme="majorBidi" w:hAnsiTheme="majorBidi" w:cstheme="majorBidi"/>
          <w:i/>
          <w:iCs/>
          <w:sz w:val="20"/>
          <w:szCs w:val="20"/>
        </w:rPr>
        <w:t xml:space="preserve"> Managerial Incentives and Corporate Investment and Financing Decisions</w:t>
      </w:r>
      <w:r w:rsidRPr="00431BAC">
        <w:rPr>
          <w:rFonts w:asciiTheme="majorBidi" w:hAnsiTheme="majorBidi" w:cstheme="majorBidi"/>
          <w:sz w:val="20"/>
          <w:szCs w:val="20"/>
        </w:rPr>
        <w:t>, 42(4) Journal of Finance 823 (1987).</w:t>
      </w:r>
    </w:p>
  </w:footnote>
  <w:footnote w:id="88">
    <w:p w14:paraId="006264E2" w14:textId="6BA9034B" w:rsidR="00510A7E" w:rsidRPr="00431BAC" w:rsidRDefault="00510A7E" w:rsidP="00FE5B69">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Edward M. </w:t>
      </w:r>
      <w:proofErr w:type="spellStart"/>
      <w:r w:rsidRPr="00431BAC">
        <w:rPr>
          <w:rFonts w:asciiTheme="majorBidi" w:hAnsiTheme="majorBidi" w:cstheme="majorBidi"/>
          <w:iCs/>
          <w:color w:val="000000" w:themeColor="text1"/>
          <w:sz w:val="20"/>
          <w:szCs w:val="20"/>
        </w:rPr>
        <w:t>Iacobucci</w:t>
      </w:r>
      <w:proofErr w:type="spellEnd"/>
      <w:r w:rsidRPr="00431BAC">
        <w:rPr>
          <w:rFonts w:asciiTheme="majorBidi" w:hAnsiTheme="majorBidi" w:cstheme="majorBidi"/>
          <w:iCs/>
          <w:color w:val="000000" w:themeColor="text1"/>
          <w:sz w:val="20"/>
          <w:szCs w:val="20"/>
        </w:rPr>
        <w:t xml:space="preserve">, </w:t>
      </w:r>
      <w:r w:rsidRPr="00431BAC">
        <w:rPr>
          <w:rFonts w:asciiTheme="majorBidi" w:hAnsiTheme="majorBidi" w:cstheme="majorBidi"/>
          <w:i/>
          <w:color w:val="000000" w:themeColor="text1"/>
          <w:sz w:val="20"/>
          <w:szCs w:val="20"/>
        </w:rPr>
        <w:t>Corporate Fiduciary Duties and Prudential Regulation of Financial Institutions</w:t>
      </w:r>
      <w:r w:rsidRPr="00431BAC">
        <w:rPr>
          <w:rFonts w:asciiTheme="majorBidi" w:hAnsiTheme="majorBidi" w:cstheme="majorBidi"/>
          <w:iCs/>
          <w:color w:val="000000" w:themeColor="text1"/>
          <w:sz w:val="20"/>
          <w:szCs w:val="20"/>
        </w:rPr>
        <w:t>, 16 Theoretical Inquiries in Law 183 (2015).</w:t>
      </w:r>
    </w:p>
  </w:footnote>
  <w:footnote w:id="89">
    <w:p w14:paraId="24C6B8F8" w14:textId="32737AC4" w:rsidR="00510A7E" w:rsidRPr="00431BAC" w:rsidRDefault="00510A7E" w:rsidP="00FE5B69">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The term ‘tunneling’ is problematic in this context, as tunneling normally describes “the transfer of assets and profits out of firms for the benefit of those who control them” (Simon Johnson, Rafael La Porta, Florencio Lopez-De-</w:t>
      </w:r>
      <w:proofErr w:type="spellStart"/>
      <w:r w:rsidRPr="00431BAC">
        <w:rPr>
          <w:rFonts w:asciiTheme="majorBidi" w:hAnsiTheme="majorBidi" w:cstheme="majorBidi"/>
          <w:sz w:val="20"/>
          <w:szCs w:val="20"/>
        </w:rPr>
        <w:t>Silanes</w:t>
      </w:r>
      <w:proofErr w:type="spellEnd"/>
      <w:r w:rsidRPr="00431BAC">
        <w:rPr>
          <w:rFonts w:asciiTheme="majorBidi" w:hAnsiTheme="majorBidi" w:cstheme="majorBidi"/>
          <w:sz w:val="20"/>
          <w:szCs w:val="20"/>
        </w:rPr>
        <w:t xml:space="preserve">, and Andrei Shleifer, </w:t>
      </w:r>
      <w:r w:rsidRPr="00431BAC">
        <w:rPr>
          <w:rFonts w:asciiTheme="majorBidi" w:hAnsiTheme="majorBidi" w:cstheme="majorBidi"/>
          <w:i/>
          <w:iCs/>
          <w:sz w:val="20"/>
          <w:szCs w:val="20"/>
        </w:rPr>
        <w:t>Tunneling</w:t>
      </w:r>
      <w:r w:rsidRPr="00431BAC">
        <w:rPr>
          <w:rFonts w:asciiTheme="majorBidi" w:hAnsiTheme="majorBidi" w:cstheme="majorBidi"/>
          <w:sz w:val="20"/>
          <w:szCs w:val="20"/>
        </w:rPr>
        <w:t xml:space="preserve">, 92(2) AEA Papers and Proceedings, 22 at 22 (May 2000), available </w:t>
      </w:r>
      <w:proofErr w:type="spellStart"/>
      <w:r w:rsidRPr="00431BAC">
        <w:rPr>
          <w:rFonts w:asciiTheme="majorBidi" w:hAnsiTheme="majorBidi" w:cstheme="majorBidi"/>
          <w:sz w:val="20"/>
          <w:szCs w:val="20"/>
        </w:rPr>
        <w:t>onlie</w:t>
      </w:r>
      <w:proofErr w:type="spellEnd"/>
      <w:r w:rsidRPr="00431BAC">
        <w:rPr>
          <w:rFonts w:asciiTheme="majorBidi" w:hAnsiTheme="majorBidi" w:cstheme="majorBidi"/>
          <w:sz w:val="20"/>
          <w:szCs w:val="20"/>
        </w:rPr>
        <w:t xml:space="preserve"> at: &lt; </w:t>
      </w:r>
      <w:hyperlink r:id="rId26" w:history="1">
        <w:r w:rsidRPr="00431BAC">
          <w:rPr>
            <w:rStyle w:val="Hyperlink"/>
            <w:rFonts w:asciiTheme="majorBidi" w:hAnsiTheme="majorBidi" w:cstheme="majorBidi"/>
            <w:sz w:val="20"/>
            <w:szCs w:val="20"/>
          </w:rPr>
          <w:t>https://scholar.harvard.edu/files/shleifer/files/tunneling.pdf&gt;)</w:t>
        </w:r>
      </w:hyperlink>
      <w:r w:rsidRPr="00431BAC">
        <w:rPr>
          <w:rFonts w:asciiTheme="majorBidi" w:hAnsiTheme="majorBidi" w:cstheme="majorBidi"/>
          <w:sz w:val="20"/>
          <w:szCs w:val="20"/>
        </w:rPr>
        <w:t xml:space="preserve">. In the current context, the benefited entities are </w:t>
      </w:r>
      <w:r w:rsidRPr="00431BAC">
        <w:rPr>
          <w:rFonts w:asciiTheme="majorBidi" w:hAnsiTheme="majorBidi" w:cstheme="majorBidi"/>
          <w:i/>
          <w:iCs/>
          <w:sz w:val="20"/>
          <w:szCs w:val="20"/>
        </w:rPr>
        <w:t>not</w:t>
      </w:r>
      <w:r w:rsidRPr="00431BAC">
        <w:rPr>
          <w:rFonts w:asciiTheme="majorBidi" w:hAnsiTheme="majorBidi" w:cstheme="majorBidi"/>
          <w:sz w:val="20"/>
          <w:szCs w:val="20"/>
        </w:rPr>
        <w:t xml:space="preserve"> controllers. Nonetheless, from the perspective of the effect on the firm the phenomenon discussed here is no different (although, as I argue, unlikely precisely because the benefitted entity is not a controller).</w:t>
      </w:r>
    </w:p>
  </w:footnote>
  <w:footnote w:id="90">
    <w:p w14:paraId="0B712622" w14:textId="77777777" w:rsidR="00510A7E" w:rsidRPr="00431BAC" w:rsidRDefault="00510A7E" w:rsidP="00DE4136">
      <w:pPr>
        <w:pStyle w:val="FootnoteText"/>
        <w:jc w:val="both"/>
        <w:rPr>
          <w:rFonts w:asciiTheme="majorBidi" w:hAnsiTheme="majorBidi" w:cstheme="majorBidi"/>
          <w:color w:val="000000"/>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In a recent case before the Israeli District Court in Tel Aviv, a publicly traded firm’s controller committed to pay management a specific discretionary bonus if the bonus was not granted by the board. The court ruled that officers are not allowed to receive direct remuneration from controllers. The rationale for this ruling is precisely the possibility that this will distort management’s incentives, and cause it to act to the benefit of the controller at the expense of other shareholders. See Tel Aviv District Court, 18994-05-17 </w:t>
      </w:r>
      <w:r w:rsidRPr="00431BAC">
        <w:rPr>
          <w:rFonts w:asciiTheme="majorBidi" w:hAnsiTheme="majorBidi" w:cstheme="majorBidi"/>
          <w:i/>
          <w:iCs/>
          <w:sz w:val="20"/>
          <w:szCs w:val="20"/>
        </w:rPr>
        <w:t xml:space="preserve">De </w:t>
      </w:r>
      <w:proofErr w:type="spellStart"/>
      <w:r w:rsidRPr="00431BAC">
        <w:rPr>
          <w:rFonts w:asciiTheme="majorBidi" w:hAnsiTheme="majorBidi" w:cstheme="majorBidi"/>
          <w:i/>
          <w:iCs/>
          <w:sz w:val="20"/>
          <w:szCs w:val="20"/>
        </w:rPr>
        <w:t>Langa</w:t>
      </w:r>
      <w:proofErr w:type="spellEnd"/>
      <w:r w:rsidRPr="00431BAC">
        <w:rPr>
          <w:rFonts w:asciiTheme="majorBidi" w:hAnsiTheme="majorBidi" w:cstheme="majorBidi"/>
          <w:i/>
          <w:iCs/>
          <w:sz w:val="20"/>
          <w:szCs w:val="20"/>
        </w:rPr>
        <w:t xml:space="preserve"> v. Israel Corporation (Formal) et al.</w:t>
      </w:r>
      <w:r w:rsidRPr="00431BAC">
        <w:rPr>
          <w:rFonts w:asciiTheme="majorBidi" w:hAnsiTheme="majorBidi" w:cstheme="majorBidi"/>
          <w:sz w:val="20"/>
          <w:szCs w:val="20"/>
        </w:rPr>
        <w:t xml:space="preserve">, published on </w:t>
      </w:r>
      <w:proofErr w:type="spellStart"/>
      <w:r w:rsidRPr="00431BAC">
        <w:rPr>
          <w:rFonts w:asciiTheme="majorBidi" w:hAnsiTheme="majorBidi" w:cstheme="majorBidi"/>
          <w:sz w:val="20"/>
          <w:szCs w:val="20"/>
        </w:rPr>
        <w:t>Nevo</w:t>
      </w:r>
      <w:proofErr w:type="spellEnd"/>
      <w:r w:rsidRPr="00431BAC">
        <w:rPr>
          <w:rFonts w:asciiTheme="majorBidi" w:hAnsiTheme="majorBidi" w:cstheme="majorBidi"/>
          <w:sz w:val="20"/>
          <w:szCs w:val="20"/>
        </w:rPr>
        <w:t>, April 30</w:t>
      </w:r>
      <w:r w:rsidRPr="00431BAC">
        <w:rPr>
          <w:rFonts w:asciiTheme="majorBidi" w:hAnsiTheme="majorBidi" w:cstheme="majorBidi"/>
          <w:sz w:val="20"/>
          <w:szCs w:val="20"/>
          <w:vertAlign w:val="superscript"/>
        </w:rPr>
        <w:t>th</w:t>
      </w:r>
      <w:r w:rsidRPr="00431BAC">
        <w:rPr>
          <w:rFonts w:asciiTheme="majorBidi" w:hAnsiTheme="majorBidi" w:cstheme="majorBidi"/>
          <w:sz w:val="20"/>
          <w:szCs w:val="20"/>
        </w:rPr>
        <w:t>, 2017.</w:t>
      </w:r>
    </w:p>
  </w:footnote>
  <w:footnote w:id="91">
    <w:p w14:paraId="3297FB6C" w14:textId="0276B0D0"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generally, Model Business Corp. Act,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i/>
          <w:iCs/>
          <w:sz w:val="20"/>
          <w:szCs w:val="20"/>
        </w:rPr>
        <w:fldChar w:fldCharType="begin"/>
      </w:r>
      <w:r w:rsidRPr="00431BAC">
        <w:rPr>
          <w:rFonts w:asciiTheme="majorBidi" w:hAnsiTheme="majorBidi" w:cstheme="majorBidi"/>
          <w:sz w:val="20"/>
          <w:szCs w:val="20"/>
        </w:rPr>
        <w:instrText xml:space="preserve"> NOTEREF _Ref492807210 \h </w:instrText>
      </w:r>
      <w:r w:rsidRPr="00431BAC">
        <w:rPr>
          <w:rFonts w:asciiTheme="majorBidi" w:hAnsiTheme="majorBidi" w:cstheme="majorBidi"/>
          <w:i/>
          <w:iCs/>
          <w:sz w:val="20"/>
          <w:szCs w:val="20"/>
        </w:rPr>
        <w:instrText xml:space="preserve"> \* MERGEFORMAT </w:instrText>
      </w:r>
      <w:r w:rsidRPr="00431BAC">
        <w:rPr>
          <w:rFonts w:asciiTheme="majorBidi" w:hAnsiTheme="majorBidi" w:cstheme="majorBidi"/>
          <w:i/>
          <w:iCs/>
          <w:sz w:val="20"/>
          <w:szCs w:val="20"/>
        </w:rPr>
      </w:r>
      <w:r w:rsidRPr="00431BAC">
        <w:rPr>
          <w:rFonts w:asciiTheme="majorBidi" w:hAnsiTheme="majorBidi" w:cstheme="majorBidi"/>
          <w:i/>
          <w:iCs/>
          <w:sz w:val="20"/>
          <w:szCs w:val="20"/>
        </w:rPr>
        <w:fldChar w:fldCharType="separate"/>
      </w:r>
      <w:r>
        <w:rPr>
          <w:rFonts w:asciiTheme="majorBidi" w:hAnsiTheme="majorBidi" w:cstheme="majorBidi"/>
          <w:sz w:val="20"/>
          <w:szCs w:val="20"/>
        </w:rPr>
        <w:t>38</w:t>
      </w:r>
      <w:r w:rsidRPr="00431BAC">
        <w:rPr>
          <w:rFonts w:asciiTheme="majorBidi" w:hAnsiTheme="majorBidi" w:cstheme="majorBidi"/>
          <w:i/>
          <w:iCs/>
          <w:sz w:val="20"/>
          <w:szCs w:val="20"/>
        </w:rPr>
        <w:fldChar w:fldCharType="end"/>
      </w:r>
      <w:r w:rsidRPr="00431BAC">
        <w:rPr>
          <w:rFonts w:asciiTheme="majorBidi" w:hAnsiTheme="majorBidi" w:cstheme="majorBidi"/>
          <w:i/>
          <w:iCs/>
          <w:sz w:val="20"/>
          <w:szCs w:val="20"/>
        </w:rPr>
        <w:t>,</w:t>
      </w:r>
      <w:r w:rsidRPr="00431BAC">
        <w:rPr>
          <w:rFonts w:asciiTheme="majorBidi" w:hAnsiTheme="majorBidi" w:cstheme="majorBidi"/>
          <w:sz w:val="20"/>
          <w:szCs w:val="20"/>
        </w:rPr>
        <w:t xml:space="preserve"> Chapter 8 (specifically §8.30). See also </w:t>
      </w:r>
      <w:proofErr w:type="spellStart"/>
      <w:r w:rsidRPr="00431BAC">
        <w:rPr>
          <w:rFonts w:asciiTheme="majorBidi" w:hAnsiTheme="majorBidi" w:cstheme="majorBidi"/>
          <w:i/>
          <w:iCs/>
          <w:sz w:val="20"/>
          <w:szCs w:val="20"/>
        </w:rPr>
        <w:t>Langa</w:t>
      </w:r>
      <w:proofErr w:type="spellEnd"/>
      <w:r w:rsidRPr="00431BAC">
        <w:rPr>
          <w:rFonts w:asciiTheme="majorBidi" w:hAnsiTheme="majorBidi" w:cstheme="majorBidi"/>
          <w:i/>
          <w:iCs/>
          <w:sz w:val="20"/>
          <w:szCs w:val="20"/>
        </w:rPr>
        <w:t xml:space="preserve"> v. Israel Corporation (Formal) et al.</w:t>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 xml:space="preserve">supra </w:t>
      </w:r>
      <w:r w:rsidRPr="00431BAC">
        <w:rPr>
          <w:rFonts w:asciiTheme="majorBidi" w:hAnsiTheme="majorBidi" w:cstheme="majorBidi"/>
          <w:sz w:val="20"/>
          <w:szCs w:val="20"/>
        </w:rPr>
        <w:t xml:space="preserve">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_Ref496809447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92</w:t>
      </w:r>
      <w:r w:rsidRPr="00431BAC">
        <w:rPr>
          <w:rFonts w:asciiTheme="majorBidi" w:hAnsiTheme="majorBidi" w:cstheme="majorBidi"/>
          <w:sz w:val="20"/>
          <w:szCs w:val="20"/>
        </w:rPr>
        <w:fldChar w:fldCharType="end"/>
      </w:r>
      <w:r w:rsidRPr="00431BAC">
        <w:rPr>
          <w:rFonts w:asciiTheme="majorBidi" w:hAnsiTheme="majorBidi" w:cstheme="majorBidi"/>
          <w:i/>
          <w:iCs/>
          <w:sz w:val="20"/>
          <w:szCs w:val="20"/>
        </w:rPr>
        <w:t xml:space="preserve">. </w:t>
      </w:r>
      <w:r w:rsidRPr="00431BAC">
        <w:rPr>
          <w:rFonts w:asciiTheme="majorBidi" w:hAnsiTheme="majorBidi" w:cstheme="majorBidi"/>
          <w:sz w:val="20"/>
          <w:szCs w:val="20"/>
        </w:rPr>
        <w:t>See generally GEOF P. STAPLEDON, INSTITUTIONAL SHAREHOLDERS AND CORPORATE GOVERNANCE 8-12 (1996).</w:t>
      </w:r>
    </w:p>
  </w:footnote>
  <w:footnote w:id="92">
    <w:p w14:paraId="6E013516" w14:textId="25E1BD0C"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Once again, managerial compensation dependent on the specific’s firm’s performance may incentivize explicit coordination or tacit collusion (See </w:t>
      </w:r>
      <w:proofErr w:type="spellStart"/>
      <w:r w:rsidRPr="00431BAC">
        <w:rPr>
          <w:rFonts w:asciiTheme="majorBidi" w:hAnsiTheme="majorBidi" w:cstheme="majorBidi"/>
          <w:sz w:val="20"/>
          <w:szCs w:val="20"/>
        </w:rPr>
        <w:t>Abrantes</w:t>
      </w:r>
      <w:proofErr w:type="spellEnd"/>
      <w:r w:rsidRPr="00431BAC">
        <w:rPr>
          <w:rFonts w:asciiTheme="majorBidi" w:hAnsiTheme="majorBidi" w:cstheme="majorBidi"/>
          <w:sz w:val="20"/>
          <w:szCs w:val="20"/>
        </w:rPr>
        <w:t xml:space="preserve"> – Metz &amp; </w:t>
      </w:r>
      <w:proofErr w:type="spellStart"/>
      <w:r w:rsidRPr="00431BAC">
        <w:rPr>
          <w:rFonts w:asciiTheme="majorBidi" w:hAnsiTheme="majorBidi" w:cstheme="majorBidi"/>
          <w:sz w:val="20"/>
          <w:szCs w:val="20"/>
        </w:rPr>
        <w:t>Sokol</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_Ref504044455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84</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But it will not incentivize unilateral coordination.</w:t>
      </w:r>
    </w:p>
  </w:footnote>
  <w:footnote w:id="93">
    <w:p w14:paraId="4A468976" w14:textId="1E69D958"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If the quid pro quo is explicit, the manager is discharging its obligations under a clear conflict of interest and in breach of its fiduciary duties. See Model Business Corp. Act,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i/>
          <w:iCs/>
          <w:sz w:val="20"/>
          <w:szCs w:val="20"/>
        </w:rPr>
        <w:fldChar w:fldCharType="begin"/>
      </w:r>
      <w:r w:rsidRPr="00431BAC">
        <w:rPr>
          <w:rFonts w:asciiTheme="majorBidi" w:hAnsiTheme="majorBidi" w:cstheme="majorBidi"/>
          <w:sz w:val="20"/>
          <w:szCs w:val="20"/>
        </w:rPr>
        <w:instrText xml:space="preserve"> NOTEREF _Ref492807210 \h </w:instrText>
      </w:r>
      <w:r w:rsidRPr="00431BAC">
        <w:rPr>
          <w:rFonts w:asciiTheme="majorBidi" w:hAnsiTheme="majorBidi" w:cstheme="majorBidi"/>
          <w:i/>
          <w:iCs/>
          <w:sz w:val="20"/>
          <w:szCs w:val="20"/>
        </w:rPr>
        <w:instrText xml:space="preserve"> \* MERGEFORMAT </w:instrText>
      </w:r>
      <w:r w:rsidRPr="00431BAC">
        <w:rPr>
          <w:rFonts w:asciiTheme="majorBidi" w:hAnsiTheme="majorBidi" w:cstheme="majorBidi"/>
          <w:i/>
          <w:iCs/>
          <w:sz w:val="20"/>
          <w:szCs w:val="20"/>
        </w:rPr>
      </w:r>
      <w:r w:rsidRPr="00431BAC">
        <w:rPr>
          <w:rFonts w:asciiTheme="majorBidi" w:hAnsiTheme="majorBidi" w:cstheme="majorBidi"/>
          <w:i/>
          <w:iCs/>
          <w:sz w:val="20"/>
          <w:szCs w:val="20"/>
        </w:rPr>
        <w:fldChar w:fldCharType="separate"/>
      </w:r>
      <w:r>
        <w:rPr>
          <w:rFonts w:asciiTheme="majorBidi" w:hAnsiTheme="majorBidi" w:cstheme="majorBidi"/>
          <w:sz w:val="20"/>
          <w:szCs w:val="20"/>
        </w:rPr>
        <w:t>38</w:t>
      </w:r>
      <w:r w:rsidRPr="00431BAC">
        <w:rPr>
          <w:rFonts w:asciiTheme="majorBidi" w:hAnsiTheme="majorBidi" w:cstheme="majorBidi"/>
          <w:i/>
          <w:iCs/>
          <w:sz w:val="20"/>
          <w:szCs w:val="20"/>
        </w:rPr>
        <w:fldChar w:fldCharType="end"/>
      </w:r>
      <w:r w:rsidRPr="00431BAC">
        <w:rPr>
          <w:rFonts w:asciiTheme="majorBidi" w:hAnsiTheme="majorBidi" w:cstheme="majorBidi"/>
          <w:sz w:val="20"/>
          <w:szCs w:val="20"/>
        </w:rPr>
        <w:t>, Chapter 8, and specifically §8.31(a)(2)(</w:t>
      </w:r>
      <w:proofErr w:type="spellStart"/>
      <w:r w:rsidRPr="00431BAC">
        <w:rPr>
          <w:rFonts w:asciiTheme="majorBidi" w:hAnsiTheme="majorBidi" w:cstheme="majorBidi"/>
          <w:sz w:val="20"/>
          <w:szCs w:val="20"/>
        </w:rPr>
        <w:t>i</w:t>
      </w:r>
      <w:proofErr w:type="spellEnd"/>
      <w:r w:rsidRPr="00431BAC">
        <w:rPr>
          <w:rFonts w:asciiTheme="majorBidi" w:hAnsiTheme="majorBidi" w:cstheme="majorBidi"/>
          <w:sz w:val="20"/>
          <w:szCs w:val="20"/>
        </w:rPr>
        <w:t>), §8.31(a)(2)(iii), §8.31(a)(2)(v), §8.42.</w:t>
      </w:r>
    </w:p>
  </w:footnote>
  <w:footnote w:id="94">
    <w:p w14:paraId="1F856613" w14:textId="5DC3C286"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Elhague</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1274.</w:t>
      </w:r>
    </w:p>
  </w:footnote>
  <w:footnote w:id="95">
    <w:p w14:paraId="03E37947" w14:textId="4E937DCB"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bookmarkStart w:id="25" w:name="baep-author-id1"/>
      <w:r w:rsidRPr="00431BAC">
        <w:rPr>
          <w:rFonts w:asciiTheme="majorBidi" w:hAnsiTheme="majorBidi" w:cstheme="majorBidi"/>
          <w:i/>
          <w:iCs/>
          <w:sz w:val="20"/>
          <w:szCs w:val="20"/>
        </w:rPr>
        <w:fldChar w:fldCharType="begin"/>
      </w:r>
      <w:r w:rsidRPr="00431BAC">
        <w:rPr>
          <w:rFonts w:asciiTheme="majorBidi" w:hAnsiTheme="majorBidi" w:cstheme="majorBidi"/>
          <w:i/>
          <w:iCs/>
          <w:sz w:val="20"/>
          <w:szCs w:val="20"/>
        </w:rPr>
        <w:instrText xml:space="preserve"> HYPERLINK "http://www.sciencedirect.com/science/article/pii/S0304405X98000580" \l "!" </w:instrText>
      </w:r>
      <w:r w:rsidRPr="00431BAC">
        <w:rPr>
          <w:rFonts w:asciiTheme="majorBidi" w:hAnsiTheme="majorBidi" w:cstheme="majorBidi"/>
          <w:i/>
          <w:iCs/>
          <w:sz w:val="20"/>
          <w:szCs w:val="20"/>
        </w:rPr>
        <w:fldChar w:fldCharType="separate"/>
      </w:r>
      <w:r w:rsidRPr="00431BAC">
        <w:rPr>
          <w:rFonts w:asciiTheme="majorBidi" w:hAnsiTheme="majorBidi" w:cstheme="majorBidi"/>
          <w:i/>
          <w:iCs/>
          <w:sz w:val="20"/>
          <w:szCs w:val="20"/>
        </w:rPr>
        <w:t>John E. Core</w:t>
      </w:r>
      <w:r w:rsidRPr="00431BAC">
        <w:rPr>
          <w:rFonts w:asciiTheme="majorBidi" w:hAnsiTheme="majorBidi" w:cstheme="majorBidi"/>
          <w:i/>
          <w:iCs/>
          <w:sz w:val="20"/>
          <w:szCs w:val="20"/>
        </w:rPr>
        <w:fldChar w:fldCharType="end"/>
      </w:r>
      <w:bookmarkEnd w:id="25"/>
      <w:r w:rsidRPr="00431BAC">
        <w:rPr>
          <w:rFonts w:asciiTheme="majorBidi" w:hAnsiTheme="majorBidi" w:cstheme="majorBidi"/>
          <w:i/>
          <w:iCs/>
          <w:sz w:val="20"/>
          <w:szCs w:val="20"/>
        </w:rPr>
        <w:t xml:space="preserve">, </w:t>
      </w:r>
      <w:bookmarkStart w:id="26" w:name="baep-author-id2"/>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HYPERLINK "http://www.sciencedirect.com/science/article/pii/S0304405X98000580?via%3Dihub" \l "!" </w:instrText>
      </w:r>
      <w:r w:rsidRPr="00431BAC">
        <w:rPr>
          <w:rFonts w:asciiTheme="majorBidi" w:hAnsiTheme="majorBidi" w:cstheme="majorBidi"/>
          <w:sz w:val="20"/>
          <w:szCs w:val="20"/>
        </w:rPr>
        <w:fldChar w:fldCharType="separate"/>
      </w:r>
      <w:r w:rsidRPr="00431BAC">
        <w:rPr>
          <w:rFonts w:asciiTheme="majorBidi" w:hAnsiTheme="majorBidi" w:cstheme="majorBidi"/>
          <w:sz w:val="20"/>
          <w:szCs w:val="20"/>
        </w:rPr>
        <w:t xml:space="preserve">Robert W. </w:t>
      </w:r>
      <w:proofErr w:type="spellStart"/>
      <w:r w:rsidRPr="00431BAC">
        <w:rPr>
          <w:rFonts w:asciiTheme="majorBidi" w:hAnsiTheme="majorBidi" w:cstheme="majorBidi"/>
          <w:sz w:val="20"/>
          <w:szCs w:val="20"/>
        </w:rPr>
        <w:t>Holthausen</w:t>
      </w:r>
      <w:proofErr w:type="spellEnd"/>
      <w:r w:rsidRPr="00431BAC">
        <w:rPr>
          <w:rFonts w:asciiTheme="majorBidi" w:hAnsiTheme="majorBidi" w:cstheme="majorBidi"/>
          <w:sz w:val="20"/>
          <w:szCs w:val="20"/>
        </w:rPr>
        <w:fldChar w:fldCharType="end"/>
      </w:r>
      <w:bookmarkEnd w:id="26"/>
      <w:r w:rsidRPr="00431BAC">
        <w:rPr>
          <w:rFonts w:asciiTheme="majorBidi" w:hAnsiTheme="majorBidi" w:cstheme="majorBidi"/>
          <w:sz w:val="20"/>
          <w:szCs w:val="20"/>
        </w:rPr>
        <w:t xml:space="preserve"> &amp;</w:t>
      </w:r>
      <w:bookmarkStart w:id="27" w:name="baep-author-id3"/>
      <w:r w:rsidRPr="00431BAC">
        <w:rPr>
          <w:rFonts w:asciiTheme="majorBidi" w:hAnsiTheme="majorBidi" w:cstheme="majorBidi"/>
          <w:sz w:val="20"/>
          <w:szCs w:val="20"/>
        </w:rPr>
        <w:t xml:space="preserve"> </w:t>
      </w:r>
      <w:hyperlink r:id="rId27" w:anchor="!" w:history="1">
        <w:r w:rsidRPr="00431BAC">
          <w:rPr>
            <w:rFonts w:asciiTheme="majorBidi" w:hAnsiTheme="majorBidi" w:cstheme="majorBidi"/>
            <w:sz w:val="20"/>
            <w:szCs w:val="20"/>
          </w:rPr>
          <w:t xml:space="preserve">David F. </w:t>
        </w:r>
        <w:proofErr w:type="spellStart"/>
        <w:r w:rsidRPr="00431BAC">
          <w:rPr>
            <w:rFonts w:asciiTheme="majorBidi" w:hAnsiTheme="majorBidi" w:cstheme="majorBidi"/>
            <w:sz w:val="20"/>
            <w:szCs w:val="20"/>
          </w:rPr>
          <w:t>Larcker</w:t>
        </w:r>
        <w:proofErr w:type="spellEnd"/>
      </w:hyperlink>
      <w:bookmarkEnd w:id="27"/>
      <w:r w:rsidRPr="00431BAC">
        <w:rPr>
          <w:rFonts w:asciiTheme="majorBidi" w:hAnsiTheme="majorBidi" w:cstheme="majorBidi"/>
          <w:sz w:val="20"/>
          <w:szCs w:val="20"/>
        </w:rPr>
        <w:t>,</w:t>
      </w:r>
      <w:r w:rsidRPr="00431BAC">
        <w:rPr>
          <w:rFonts w:asciiTheme="majorBidi" w:hAnsiTheme="majorBidi" w:cstheme="majorBidi"/>
          <w:i/>
          <w:iCs/>
          <w:sz w:val="20"/>
          <w:szCs w:val="20"/>
        </w:rPr>
        <w:t xml:space="preserve"> Corporate Governance, Chief Executive Officer Compensation, and Firm Performance, </w:t>
      </w:r>
      <w:r w:rsidRPr="00431BAC">
        <w:rPr>
          <w:rFonts w:asciiTheme="majorBidi" w:hAnsiTheme="majorBidi" w:cstheme="majorBidi"/>
          <w:sz w:val="20"/>
          <w:szCs w:val="20"/>
        </w:rPr>
        <w:t xml:space="preserve">51 </w:t>
      </w:r>
      <w:r w:rsidRPr="00431BAC">
        <w:rPr>
          <w:rFonts w:asciiTheme="majorBidi" w:hAnsiTheme="majorBidi" w:cstheme="majorBidi"/>
          <w:smallCaps/>
          <w:sz w:val="20"/>
          <w:szCs w:val="20"/>
        </w:rPr>
        <w:t>Journal of Financial Economics</w:t>
      </w:r>
      <w:r w:rsidRPr="00431BAC">
        <w:rPr>
          <w:rFonts w:asciiTheme="majorBidi" w:hAnsiTheme="majorBidi" w:cstheme="majorBidi"/>
          <w:sz w:val="20"/>
          <w:szCs w:val="20"/>
        </w:rPr>
        <w:t xml:space="preserve"> 372-373 (1999); Richard </w:t>
      </w:r>
      <w:proofErr w:type="spellStart"/>
      <w:r w:rsidRPr="00431BAC">
        <w:rPr>
          <w:rFonts w:asciiTheme="majorBidi" w:hAnsiTheme="majorBidi" w:cstheme="majorBidi"/>
          <w:sz w:val="20"/>
          <w:szCs w:val="20"/>
        </w:rPr>
        <w:t>Cyert</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Sok-Hyon</w:t>
      </w:r>
      <w:proofErr w:type="spellEnd"/>
      <w:r w:rsidRPr="00431BAC">
        <w:rPr>
          <w:rFonts w:asciiTheme="majorBidi" w:hAnsiTheme="majorBidi" w:cstheme="majorBidi"/>
          <w:sz w:val="20"/>
          <w:szCs w:val="20"/>
        </w:rPr>
        <w:t xml:space="preserve"> Kang, and Praveen Kumar, C</w:t>
      </w:r>
      <w:r w:rsidRPr="00431BAC">
        <w:rPr>
          <w:rFonts w:asciiTheme="majorBidi" w:hAnsiTheme="majorBidi" w:cstheme="majorBidi"/>
          <w:i/>
          <w:iCs/>
          <w:sz w:val="20"/>
          <w:szCs w:val="20"/>
        </w:rPr>
        <w:t>orporate Governance, Takeovers, and Top-Management Compensation: Theory and Evidence,</w:t>
      </w:r>
      <w:r w:rsidRPr="00431BAC">
        <w:rPr>
          <w:rFonts w:asciiTheme="majorBidi" w:hAnsiTheme="majorBidi" w:cstheme="majorBidi"/>
          <w:sz w:val="20"/>
          <w:szCs w:val="20"/>
        </w:rPr>
        <w:t xml:space="preserve"> 48 </w:t>
      </w:r>
      <w:r w:rsidRPr="00431BAC">
        <w:rPr>
          <w:rFonts w:asciiTheme="majorBidi" w:hAnsiTheme="majorBidi" w:cstheme="majorBidi"/>
          <w:smallCaps/>
          <w:sz w:val="20"/>
          <w:szCs w:val="20"/>
        </w:rPr>
        <w:t>Management Science</w:t>
      </w:r>
      <w:r w:rsidRPr="00431BAC">
        <w:rPr>
          <w:rFonts w:asciiTheme="majorBidi" w:hAnsiTheme="majorBidi" w:cstheme="majorBidi"/>
          <w:sz w:val="20"/>
          <w:szCs w:val="20"/>
        </w:rPr>
        <w:t xml:space="preserve"> 453-469 (2002). </w:t>
      </w:r>
    </w:p>
  </w:footnote>
  <w:footnote w:id="96">
    <w:p w14:paraId="4FA1A5A2" w14:textId="04861C7F"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This may be done for a host of reasons. Importantly, the shareholder may find it valuable to obtain a reputation of a shareholder that rewards managers who have furthered its interests. In this context, </w:t>
      </w:r>
      <w:proofErr w:type="spellStart"/>
      <w:r w:rsidRPr="00431BAC">
        <w:rPr>
          <w:rFonts w:asciiTheme="majorBidi" w:hAnsiTheme="majorBidi" w:cstheme="majorBidi"/>
          <w:sz w:val="20"/>
          <w:szCs w:val="20"/>
        </w:rPr>
        <w:t>Heymann’s</w:t>
      </w:r>
      <w:proofErr w:type="spellEnd"/>
      <w:r w:rsidRPr="00431BAC">
        <w:rPr>
          <w:rFonts w:asciiTheme="majorBidi" w:hAnsiTheme="majorBidi" w:cstheme="majorBidi"/>
          <w:sz w:val="20"/>
          <w:szCs w:val="20"/>
        </w:rPr>
        <w:t xml:space="preserve"> observation, although focusing on reputation in its social context, is useful: “At its core, then, reputation is the result of the collective act of judging another and the potential use of that result to direct future engagements” (Laura A. Hermann, </w:t>
      </w:r>
      <w:r w:rsidRPr="00431BAC">
        <w:rPr>
          <w:rFonts w:asciiTheme="majorBidi" w:hAnsiTheme="majorBidi" w:cstheme="majorBidi"/>
          <w:i/>
          <w:iCs/>
          <w:sz w:val="20"/>
          <w:szCs w:val="20"/>
        </w:rPr>
        <w:t>The Law of Reputation and the Interest of the Audience</w:t>
      </w:r>
      <w:r w:rsidRPr="00431BAC">
        <w:rPr>
          <w:rFonts w:asciiTheme="majorBidi" w:hAnsiTheme="majorBidi" w:cstheme="majorBidi"/>
          <w:sz w:val="20"/>
          <w:szCs w:val="20"/>
        </w:rPr>
        <w:t xml:space="preserve"> 52 B.C. L. Rev. 1341 (2011) at 1342). For a discussion of reputation in the business context (although focusing on corporate reputation and employee reputation) see Karen S. Cravens and Elizabeth Goad Oliver, </w:t>
      </w:r>
      <w:r w:rsidRPr="00431BAC">
        <w:rPr>
          <w:rFonts w:asciiTheme="majorBidi" w:hAnsiTheme="majorBidi" w:cstheme="majorBidi"/>
          <w:i/>
          <w:iCs/>
          <w:sz w:val="20"/>
          <w:szCs w:val="20"/>
        </w:rPr>
        <w:t>Employees: The Key Link to Corporate Reputation Management</w:t>
      </w:r>
      <w:r w:rsidRPr="00431BAC">
        <w:rPr>
          <w:rFonts w:asciiTheme="majorBidi" w:hAnsiTheme="majorBidi" w:cstheme="majorBidi"/>
          <w:sz w:val="20"/>
          <w:szCs w:val="20"/>
        </w:rPr>
        <w:t xml:space="preserve">, 49 Business Horizons 293 (2006). For a formal comprehensive discussion of reputation in settings in which players have repeated interactions (as in the current setting) see George J. </w:t>
      </w:r>
      <w:proofErr w:type="spellStart"/>
      <w:r w:rsidRPr="00431BAC">
        <w:rPr>
          <w:rFonts w:asciiTheme="majorBidi" w:hAnsiTheme="majorBidi" w:cstheme="majorBidi"/>
          <w:sz w:val="20"/>
          <w:szCs w:val="20"/>
        </w:rPr>
        <w:t>Mailath</w:t>
      </w:r>
      <w:proofErr w:type="spellEnd"/>
      <w:r w:rsidRPr="00431BAC">
        <w:rPr>
          <w:rFonts w:asciiTheme="majorBidi" w:hAnsiTheme="majorBidi" w:cstheme="majorBidi"/>
          <w:sz w:val="20"/>
          <w:szCs w:val="20"/>
        </w:rPr>
        <w:t xml:space="preserve"> and Larry Samuelson, </w:t>
      </w:r>
      <w:r w:rsidRPr="00431BAC">
        <w:rPr>
          <w:rFonts w:asciiTheme="majorBidi" w:hAnsiTheme="majorBidi" w:cstheme="majorBidi"/>
          <w:b/>
          <w:bCs/>
          <w:sz w:val="20"/>
          <w:szCs w:val="20"/>
        </w:rPr>
        <w:t>Repeated Games and Reputation – Long-Run Relationships</w:t>
      </w:r>
      <w:r w:rsidRPr="00431BAC">
        <w:rPr>
          <w:rFonts w:asciiTheme="majorBidi" w:hAnsiTheme="majorBidi" w:cstheme="majorBidi"/>
          <w:sz w:val="20"/>
          <w:szCs w:val="20"/>
        </w:rPr>
        <w:t xml:space="preserve"> (Oxford University Press, 2006).</w:t>
      </w:r>
    </w:p>
  </w:footnote>
  <w:footnote w:id="97">
    <w:p w14:paraId="167607EE" w14:textId="4FECAC29"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Management may be able to bring its conduct to the attention of the shareholder. But it is in the manager’s interest to claim that it has acted to the benefit of the shareholder (and the detriment of other stakeholders) regardless of whether or not this is true. This makes the manager’s report to the shareholder less credible.</w:t>
      </w:r>
    </w:p>
  </w:footnote>
  <w:footnote w:id="98">
    <w:p w14:paraId="625795FE" w14:textId="3A0A74B2"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Other shareholders’ financial interest in detecting such breaches may be small. But the possibility of filing a class action (and receiving the monetary consideration as class plaintiff) should provide enough incentives to detect the breach and pursue an action. In this context, it is important to recall that the setting becomes more conducive to unilateral coordination as the controller’s financial interest in the unilaterally coordinating company decreases, implying that other shareholders will find it even more appealing to act. Not surprisingly, the case cited by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as the only case alleging such conduct – Re Domestic Airline Travel Antitrust Litigation, U.S. District Court, District of Columbia, MDL Docket No. 2656, filed March 25</w:t>
      </w:r>
      <w:r w:rsidRPr="00431BAC">
        <w:rPr>
          <w:rFonts w:asciiTheme="majorBidi" w:hAnsiTheme="majorBidi" w:cstheme="majorBidi"/>
          <w:sz w:val="20"/>
          <w:szCs w:val="20"/>
          <w:vertAlign w:val="superscript"/>
        </w:rPr>
        <w:t>th</w:t>
      </w:r>
      <w:r w:rsidRPr="00431BAC">
        <w:rPr>
          <w:rFonts w:asciiTheme="majorBidi" w:hAnsiTheme="majorBidi" w:cstheme="majorBidi"/>
          <w:sz w:val="20"/>
          <w:szCs w:val="20"/>
        </w:rPr>
        <w:t>, 2016 – is a class action. In any event, authorities and criminal sanctions, which are probably an even greater deterrent than civil action, are definitely more likely as the conduct becomes more questionable.</w:t>
      </w:r>
    </w:p>
  </w:footnote>
  <w:footnote w:id="99">
    <w:p w14:paraId="46DC4752" w14:textId="49563521"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In the numeric example used previously, BlackRock’s profits are increased by 0.5 Cents for every dollar that flows to firm B as a result of the scheme. Rather than 2.5 Cents for every dollar of profit flowing to firm B (3% - 0.5% = 2.5%), it will earn 3 Cents for every such dollar. The profitability of the scheme for BlackRock will have increased by 20%.</w:t>
      </w:r>
    </w:p>
  </w:footnote>
  <w:footnote w:id="100">
    <w:p w14:paraId="23F102A8" w14:textId="27EB8057"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If BlackRock is not a shareholder, management’s conduct is far more likely to be effectively protected under the business judgment rule than if shareholders’ conflicting interest are observed. On the business judgment rule see </w:t>
      </w:r>
      <w:proofErr w:type="gramStart"/>
      <w:r w:rsidRPr="00431BAC">
        <w:rPr>
          <w:rFonts w:asciiTheme="majorBidi" w:eastAsia="Times New Roman" w:hAnsiTheme="majorBidi" w:cstheme="majorBidi"/>
          <w:i/>
          <w:iCs/>
          <w:color w:val="222222"/>
          <w:sz w:val="20"/>
          <w:szCs w:val="20"/>
          <w:shd w:val="clear" w:color="auto" w:fill="FFFFFF"/>
        </w:rPr>
        <w:t>In</w:t>
      </w:r>
      <w:proofErr w:type="gramEnd"/>
      <w:r w:rsidRPr="00431BAC">
        <w:rPr>
          <w:rFonts w:asciiTheme="majorBidi" w:eastAsia="Times New Roman" w:hAnsiTheme="majorBidi" w:cstheme="majorBidi"/>
          <w:i/>
          <w:iCs/>
          <w:color w:val="222222"/>
          <w:sz w:val="20"/>
          <w:szCs w:val="20"/>
          <w:shd w:val="clear" w:color="auto" w:fill="FFFFFF"/>
        </w:rPr>
        <w:t xml:space="preserve"> re Walt Disney Co. Derivative Litigation</w:t>
      </w:r>
      <w:r w:rsidRPr="00431BAC">
        <w:rPr>
          <w:rFonts w:asciiTheme="majorBidi" w:eastAsia="Times New Roman" w:hAnsiTheme="majorBidi" w:cstheme="majorBidi"/>
          <w:color w:val="222222"/>
          <w:sz w:val="20"/>
          <w:szCs w:val="20"/>
          <w:shd w:val="clear" w:color="auto" w:fill="FFFFFF"/>
        </w:rPr>
        <w:t xml:space="preserve">, 907 A.2d 693, 698 (Del Ch. 2005), </w:t>
      </w:r>
      <w:r w:rsidRPr="00431BAC">
        <w:rPr>
          <w:rFonts w:asciiTheme="majorBidi" w:eastAsia="Times New Roman" w:hAnsiTheme="majorBidi" w:cstheme="majorBidi"/>
          <w:i/>
          <w:iCs/>
          <w:color w:val="222222"/>
          <w:sz w:val="20"/>
          <w:szCs w:val="20"/>
          <w:shd w:val="clear" w:color="auto" w:fill="FFFFFF"/>
        </w:rPr>
        <w:t>Aronson v. Lewis</w:t>
      </w:r>
      <w:r w:rsidRPr="00431BAC">
        <w:rPr>
          <w:rFonts w:asciiTheme="majorBidi" w:eastAsia="Times New Roman" w:hAnsiTheme="majorBidi" w:cstheme="majorBidi"/>
          <w:color w:val="222222"/>
          <w:sz w:val="20"/>
          <w:szCs w:val="20"/>
          <w:shd w:val="clear" w:color="auto" w:fill="FFFFFF"/>
        </w:rPr>
        <w:t>, 473 A.2d 805 (Del. 1984)</w:t>
      </w:r>
      <w:r w:rsidRPr="00431BAC">
        <w:rPr>
          <w:rFonts w:asciiTheme="majorBidi" w:eastAsia="Times New Roman" w:hAnsiTheme="majorBidi" w:cstheme="majorBidi"/>
          <w:sz w:val="20"/>
          <w:szCs w:val="20"/>
        </w:rPr>
        <w:t xml:space="preserve">. </w:t>
      </w:r>
      <w:r w:rsidRPr="00431BAC">
        <w:rPr>
          <w:rFonts w:asciiTheme="majorBidi" w:hAnsiTheme="majorBidi" w:cstheme="majorBidi"/>
          <w:sz w:val="20"/>
          <w:szCs w:val="20"/>
        </w:rPr>
        <w:t xml:space="preserve">On the inapplicability of the Business judgment rule to situations in which a controlling shareholder benefits at the expense of other shareholders see </w:t>
      </w:r>
      <w:r w:rsidRPr="00431BAC">
        <w:rPr>
          <w:rFonts w:asciiTheme="majorBidi" w:hAnsiTheme="majorBidi" w:cstheme="majorBidi"/>
          <w:sz w:val="20"/>
          <w:szCs w:val="20"/>
          <w:highlight w:val="lightGray"/>
        </w:rPr>
        <w:t>Robert A. Kutcher, Breach of fiduciary Duties (although specifically discussing majority shareholders’ unfair treatment of minority shareholders)</w:t>
      </w:r>
      <w:r w:rsidRPr="00431BAC">
        <w:rPr>
          <w:rFonts w:asciiTheme="majorBidi" w:hAnsiTheme="majorBidi" w:cstheme="majorBidi"/>
          <w:sz w:val="20"/>
          <w:szCs w:val="20"/>
        </w:rPr>
        <w:t xml:space="preserve">. </w:t>
      </w:r>
    </w:p>
  </w:footnote>
  <w:footnote w:id="101">
    <w:p w14:paraId="7C0FB392" w14:textId="69347C61"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The fiduciary duties that may be owed in closely-held corporations (see e.g. </w:t>
      </w:r>
      <w:proofErr w:type="spellStart"/>
      <w:r w:rsidRPr="00431BAC">
        <w:rPr>
          <w:rFonts w:asciiTheme="majorBidi" w:eastAsia="Times New Roman" w:hAnsiTheme="majorBidi" w:cstheme="majorBidi"/>
          <w:i/>
          <w:iCs/>
          <w:sz w:val="20"/>
          <w:szCs w:val="20"/>
        </w:rPr>
        <w:t>Hagshenas</w:t>
      </w:r>
      <w:proofErr w:type="spellEnd"/>
      <w:r w:rsidRPr="00431BAC">
        <w:rPr>
          <w:rFonts w:asciiTheme="majorBidi" w:eastAsia="Times New Roman" w:hAnsiTheme="majorBidi" w:cstheme="majorBidi"/>
          <w:i/>
          <w:iCs/>
          <w:sz w:val="20"/>
          <w:szCs w:val="20"/>
        </w:rPr>
        <w:t xml:space="preserve"> v Gaylord</w:t>
      </w:r>
      <w:r w:rsidRPr="00431BAC">
        <w:rPr>
          <w:rFonts w:asciiTheme="majorBidi" w:eastAsia="Times New Roman" w:hAnsiTheme="majorBidi" w:cstheme="majorBidi"/>
          <w:sz w:val="20"/>
          <w:szCs w:val="20"/>
        </w:rPr>
        <w:t xml:space="preserve">, 1990 Ill App 3d 60) </w:t>
      </w:r>
      <w:r w:rsidRPr="00431BAC">
        <w:rPr>
          <w:rFonts w:asciiTheme="majorBidi" w:hAnsiTheme="majorBidi" w:cstheme="majorBidi"/>
          <w:sz w:val="20"/>
          <w:szCs w:val="20"/>
        </w:rPr>
        <w:t xml:space="preserve">are, of course, irrelevant to the current setting. But it some jurisdictions, fiduciary duties may be owed by controlling shareholders of publicly traded corporations as well. See European Parliament, Directorate General for Internal Policies, Rights and Obligations of Shareholders – National Regimes and Proposed Instruments at EU Level for Improving Legal Efficiency (PE 462.463, 2012), at 30 (1.2.5); Article 192(b) of the Israeli Corporation Act, 1999; Joseph Gross, </w:t>
      </w:r>
      <w:r w:rsidRPr="00431BAC">
        <w:rPr>
          <w:rFonts w:asciiTheme="majorBidi" w:hAnsiTheme="majorBidi" w:cstheme="majorBidi"/>
          <w:i/>
          <w:iCs/>
          <w:sz w:val="20"/>
          <w:szCs w:val="20"/>
        </w:rPr>
        <w:t>Trends in the Duties of Holders of Control in a Company</w:t>
      </w:r>
      <w:r w:rsidRPr="00431BAC">
        <w:rPr>
          <w:rFonts w:asciiTheme="majorBidi" w:hAnsiTheme="majorBidi" w:cstheme="majorBidi"/>
          <w:sz w:val="20"/>
          <w:szCs w:val="20"/>
        </w:rPr>
        <w:t xml:space="preserve">, A </w:t>
      </w:r>
      <w:proofErr w:type="spellStart"/>
      <w:r w:rsidRPr="00431BAC">
        <w:rPr>
          <w:rFonts w:asciiTheme="majorBidi" w:hAnsiTheme="majorBidi" w:cstheme="majorBidi"/>
          <w:sz w:val="20"/>
          <w:szCs w:val="20"/>
        </w:rPr>
        <w:t>Mishpat</w:t>
      </w:r>
      <w:proofErr w:type="spellEnd"/>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Va’Asakim</w:t>
      </w:r>
      <w:proofErr w:type="spellEnd"/>
      <w:r w:rsidRPr="00431BAC">
        <w:rPr>
          <w:rFonts w:asciiTheme="majorBidi" w:hAnsiTheme="majorBidi" w:cstheme="majorBidi"/>
          <w:sz w:val="20"/>
          <w:szCs w:val="20"/>
        </w:rPr>
        <w:t xml:space="preserve"> (Published January 1, 2004).</w:t>
      </w:r>
    </w:p>
  </w:footnote>
  <w:footnote w:id="102">
    <w:p w14:paraId="36E98EC1" w14:textId="3E2BA2F0"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Model Business Corp. Act,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i/>
          <w:iCs/>
          <w:sz w:val="20"/>
          <w:szCs w:val="20"/>
        </w:rPr>
        <w:fldChar w:fldCharType="begin"/>
      </w:r>
      <w:r w:rsidRPr="00431BAC">
        <w:rPr>
          <w:rFonts w:asciiTheme="majorBidi" w:hAnsiTheme="majorBidi" w:cstheme="majorBidi"/>
          <w:sz w:val="20"/>
          <w:szCs w:val="20"/>
        </w:rPr>
        <w:instrText xml:space="preserve"> NOTEREF _Ref492807210 \h </w:instrText>
      </w:r>
      <w:r w:rsidRPr="00431BAC">
        <w:rPr>
          <w:rFonts w:asciiTheme="majorBidi" w:hAnsiTheme="majorBidi" w:cstheme="majorBidi"/>
          <w:i/>
          <w:iCs/>
          <w:sz w:val="20"/>
          <w:szCs w:val="20"/>
        </w:rPr>
        <w:instrText xml:space="preserve"> \* MERGEFORMAT </w:instrText>
      </w:r>
      <w:r w:rsidRPr="00431BAC">
        <w:rPr>
          <w:rFonts w:asciiTheme="majorBidi" w:hAnsiTheme="majorBidi" w:cstheme="majorBidi"/>
          <w:i/>
          <w:iCs/>
          <w:sz w:val="20"/>
          <w:szCs w:val="20"/>
        </w:rPr>
      </w:r>
      <w:r w:rsidRPr="00431BAC">
        <w:rPr>
          <w:rFonts w:asciiTheme="majorBidi" w:hAnsiTheme="majorBidi" w:cstheme="majorBidi"/>
          <w:i/>
          <w:iCs/>
          <w:sz w:val="20"/>
          <w:szCs w:val="20"/>
        </w:rPr>
        <w:fldChar w:fldCharType="separate"/>
      </w:r>
      <w:r>
        <w:rPr>
          <w:rFonts w:asciiTheme="majorBidi" w:hAnsiTheme="majorBidi" w:cstheme="majorBidi"/>
          <w:sz w:val="20"/>
          <w:szCs w:val="20"/>
        </w:rPr>
        <w:t>38</w:t>
      </w:r>
      <w:r w:rsidRPr="00431BAC">
        <w:rPr>
          <w:rFonts w:asciiTheme="majorBidi" w:hAnsiTheme="majorBidi" w:cstheme="majorBidi"/>
          <w:i/>
          <w:iCs/>
          <w:sz w:val="20"/>
          <w:szCs w:val="20"/>
        </w:rPr>
        <w:fldChar w:fldCharType="end"/>
      </w:r>
      <w:r w:rsidRPr="00431BAC">
        <w:rPr>
          <w:rFonts w:asciiTheme="majorBidi" w:hAnsiTheme="majorBidi" w:cstheme="majorBidi"/>
          <w:sz w:val="20"/>
          <w:szCs w:val="20"/>
        </w:rPr>
        <w:t>.</w:t>
      </w:r>
    </w:p>
  </w:footnote>
  <w:footnote w:id="103">
    <w:p w14:paraId="1FEFB683" w14:textId="7777777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27 - 28.</w:t>
      </w:r>
    </w:p>
  </w:footnote>
  <w:footnote w:id="104">
    <w:p w14:paraId="271FF268" w14:textId="47CD8FC6"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Azar et al.,</w:t>
      </w:r>
      <w:r w:rsidRPr="00431BAC">
        <w:rPr>
          <w:rFonts w:asciiTheme="majorBidi" w:hAnsiTheme="majorBidi" w:cstheme="majorBidi"/>
          <w:i/>
          <w:iCs/>
          <w:sz w:val="20"/>
          <w:szCs w:val="20"/>
        </w:rPr>
        <w:t xml:space="preserve"> 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Table 1 – Panel B. On the assumption of no coordination see at 4-5 (although Azar et al. do not dismiss the possibility that there is also explicit coordination, or at the very least that preferences or demands of the shareholders are communicated to management, and in fact seem to insinuate that this may be the case).</w:t>
      </w:r>
    </w:p>
  </w:footnote>
  <w:footnote w:id="105">
    <w:p w14:paraId="1EC044B2" w14:textId="34117E7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Although, as suggested earlier, there are mechanisms, most notably the class action mechanism, which can be expected to offset shareholder indifference, specifically in the current setting. See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_Ref492563003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99</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106">
    <w:p w14:paraId="14BE8C9F" w14:textId="1E2D6569"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Azar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table 1 – Panel C.</w:t>
      </w:r>
    </w:p>
  </w:footnote>
  <w:footnote w:id="107">
    <w:p w14:paraId="776E9C71" w14:textId="7777777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BlackRock – 5.58%-5.33%; Vanguard – 4.95%-4.49%; Fidelity – 3.28%-3.08%.</w:t>
      </w:r>
    </w:p>
  </w:footnote>
  <w:footnote w:id="108">
    <w:p w14:paraId="20BEBB30" w14:textId="052BB104"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I limit the analysis to the three largest shareholders for consistency, as these are the same investors previously considered. If one looks at these shareholders alone, total gains from unilateral coordination are less than 1 Cent (0.25 +0.46 + 0.2 = 0.91). However, such conduct by Microsoft will yield a total benefit of more than 1 Cent to its large shareholders, because the fourth largest shareholder, State Street, holds 4.59% of Apple, and 4.39% of Microsoft, so an additional 0.2 Cents will accrue to a large shareholder. This, however, does not change the point. Bill Gates will have lost approximately 5 Cents, for a benefit of 1.11 Cents divided among four other shareholders.</w:t>
      </w:r>
    </w:p>
  </w:footnote>
  <w:footnote w:id="109">
    <w:p w14:paraId="0681A7DD" w14:textId="2B169599"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Posner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Appendix.</w:t>
      </w:r>
    </w:p>
  </w:footnote>
  <w:footnote w:id="110">
    <w:p w14:paraId="6852ECF8" w14:textId="7777777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12 – 13.</w:t>
      </w:r>
    </w:p>
  </w:footnote>
  <w:footnote w:id="111">
    <w:p w14:paraId="06AA38B9" w14:textId="48BEAFBD"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13 – 14.</w:t>
      </w:r>
    </w:p>
  </w:footnote>
  <w:footnote w:id="112">
    <w:p w14:paraId="46C9F92D" w14:textId="5DF61B2F" w:rsidR="00510A7E" w:rsidRPr="00431BAC" w:rsidRDefault="00510A7E" w:rsidP="003F55BA">
      <w:pPr>
        <w:pStyle w:val="FootnoteText"/>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_Ref504939758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105</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113">
    <w:p w14:paraId="018CA77C" w14:textId="4E98403D"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114">
    <w:p w14:paraId="1D5A9FA2" w14:textId="0DB41865" w:rsidR="00510A7E" w:rsidRPr="00431BAC" w:rsidRDefault="00510A7E" w:rsidP="00DE4136">
      <w:pPr>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The MHHI is a modified HHI (on the HHI see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_Ref492565957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13</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that incorporates ownership concentration into the concentration measurement of an industry. </w:t>
      </w:r>
    </w:p>
  </w:footnote>
  <w:footnote w:id="115">
    <w:p w14:paraId="46E2C674" w14:textId="54B46F33" w:rsidR="00510A7E" w:rsidRPr="00431BAC" w:rsidRDefault="00510A7E">
      <w:pPr>
        <w:pStyle w:val="FootnoteText"/>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&amp; </w:t>
      </w:r>
      <w:proofErr w:type="spellStart"/>
      <w:r w:rsidRPr="00431BAC">
        <w:rPr>
          <w:rFonts w:asciiTheme="majorBidi" w:hAnsiTheme="majorBidi" w:cstheme="majorBidi"/>
          <w:sz w:val="20"/>
          <w:szCs w:val="20"/>
        </w:rPr>
        <w:t>Waehrer</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_Ref504980063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29</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Gramlich</w:t>
      </w:r>
      <w:proofErr w:type="spellEnd"/>
      <w:r w:rsidRPr="00431BAC">
        <w:rPr>
          <w:rFonts w:asciiTheme="majorBidi" w:hAnsiTheme="majorBidi" w:cstheme="majorBidi"/>
          <w:sz w:val="20"/>
          <w:szCs w:val="20"/>
        </w:rPr>
        <w:t xml:space="preserve"> &amp; </w:t>
      </w:r>
      <w:proofErr w:type="spellStart"/>
      <w:r w:rsidRPr="00431BAC">
        <w:rPr>
          <w:rFonts w:asciiTheme="majorBidi" w:hAnsiTheme="majorBidi" w:cstheme="majorBidi"/>
          <w:sz w:val="20"/>
          <w:szCs w:val="20"/>
        </w:rPr>
        <w:t>Grundl</w:t>
      </w:r>
      <w:proofErr w:type="spellEnd"/>
      <w:r w:rsidRPr="00431BAC">
        <w:rPr>
          <w:rFonts w:asciiTheme="majorBidi" w:hAnsiTheme="majorBidi" w:cstheme="majorBidi"/>
          <w:sz w:val="20"/>
          <w:szCs w:val="20"/>
        </w:rPr>
        <w:t>,</w:t>
      </w:r>
      <w:r w:rsidRPr="00431BAC">
        <w:rPr>
          <w:rFonts w:asciiTheme="majorBidi" w:hAnsiTheme="majorBidi" w:cstheme="majorBidi"/>
          <w:i/>
          <w:iCs/>
          <w:sz w:val="20"/>
          <w:szCs w:val="20"/>
        </w:rPr>
        <w:t xml:space="preserve"> supra </w:t>
      </w:r>
      <w:r w:rsidRPr="00431BAC">
        <w:rPr>
          <w:rFonts w:asciiTheme="majorBidi" w:hAnsiTheme="majorBidi" w:cstheme="majorBidi"/>
          <w:sz w:val="20"/>
          <w:szCs w:val="20"/>
        </w:rPr>
        <w:t xml:space="preserve">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_Ref504982791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32</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Rock &amp;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 xml:space="preserve">supra </w:t>
      </w:r>
      <w:r w:rsidRPr="00431BAC">
        <w:rPr>
          <w:rFonts w:asciiTheme="majorBidi" w:hAnsiTheme="majorBidi" w:cstheme="majorBidi"/>
          <w:sz w:val="20"/>
          <w:szCs w:val="20"/>
        </w:rPr>
        <w:t xml:space="preserve">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116">
    <w:p w14:paraId="224E9B69" w14:textId="472F85BC" w:rsidR="00510A7E" w:rsidRPr="00431BAC" w:rsidRDefault="00510A7E" w:rsidP="00D30A60">
      <w:pPr>
        <w:pStyle w:val="FootnoteText"/>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Gramlich</w:t>
      </w:r>
      <w:proofErr w:type="spellEnd"/>
      <w:r w:rsidRPr="00431BAC">
        <w:rPr>
          <w:rFonts w:asciiTheme="majorBidi" w:hAnsiTheme="majorBidi" w:cstheme="majorBidi"/>
          <w:sz w:val="20"/>
          <w:szCs w:val="20"/>
        </w:rPr>
        <w:t xml:space="preserve"> &amp; </w:t>
      </w:r>
      <w:proofErr w:type="spellStart"/>
      <w:r w:rsidRPr="00431BAC">
        <w:rPr>
          <w:rFonts w:asciiTheme="majorBidi" w:hAnsiTheme="majorBidi" w:cstheme="majorBidi"/>
          <w:sz w:val="20"/>
          <w:szCs w:val="20"/>
        </w:rPr>
        <w:t>Grundl</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at 2 – 3</w:t>
      </w:r>
      <w:r>
        <w:rPr>
          <w:rFonts w:asciiTheme="majorBidi" w:hAnsiTheme="majorBidi" w:cstheme="majorBidi"/>
          <w:sz w:val="20"/>
          <w:szCs w:val="20"/>
        </w:rPr>
        <w:t>.</w:t>
      </w:r>
    </w:p>
  </w:footnote>
  <w:footnote w:id="117">
    <w:p w14:paraId="4AC5D9FC" w14:textId="7A5ED1E8" w:rsidR="00510A7E" w:rsidRPr="00431BAC" w:rsidRDefault="00510A7E" w:rsidP="00836951">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proofErr w:type="spellStart"/>
      <w:r w:rsidRPr="00431BAC">
        <w:rPr>
          <w:rFonts w:asciiTheme="majorBidi" w:hAnsiTheme="majorBidi" w:cstheme="majorBidi"/>
          <w:sz w:val="20"/>
          <w:szCs w:val="20"/>
        </w:rPr>
        <w:t>O’brien</w:t>
      </w:r>
      <w:proofErr w:type="spellEnd"/>
      <w:r w:rsidRPr="00431BAC">
        <w:rPr>
          <w:rFonts w:asciiTheme="majorBidi" w:hAnsiTheme="majorBidi" w:cstheme="majorBidi"/>
          <w:sz w:val="20"/>
          <w:szCs w:val="20"/>
        </w:rPr>
        <w:t xml:space="preserve"> &amp; </w:t>
      </w:r>
      <w:proofErr w:type="spellStart"/>
      <w:r w:rsidRPr="00431BAC">
        <w:rPr>
          <w:rFonts w:asciiTheme="majorBidi" w:hAnsiTheme="majorBidi" w:cstheme="majorBidi"/>
          <w:sz w:val="20"/>
          <w:szCs w:val="20"/>
        </w:rPr>
        <w:t>Waehrer</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_Ref504980063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29</w:t>
      </w:r>
      <w:r w:rsidRPr="00431BAC">
        <w:rPr>
          <w:rFonts w:asciiTheme="majorBidi" w:hAnsiTheme="majorBidi" w:cstheme="majorBidi"/>
          <w:sz w:val="20"/>
          <w:szCs w:val="20"/>
        </w:rPr>
        <w:fldChar w:fldCharType="end"/>
      </w:r>
      <w:r>
        <w:rPr>
          <w:rFonts w:asciiTheme="majorBidi" w:hAnsiTheme="majorBidi" w:cstheme="majorBidi"/>
          <w:sz w:val="20"/>
          <w:szCs w:val="20"/>
        </w:rPr>
        <w:t xml:space="preserve">, at 4 – 5. See also </w:t>
      </w:r>
      <w:r w:rsidRPr="00431BAC">
        <w:rPr>
          <w:rFonts w:asciiTheme="majorBidi" w:hAnsiTheme="majorBidi" w:cstheme="majorBidi"/>
          <w:sz w:val="20"/>
          <w:szCs w:val="20"/>
        </w:rPr>
        <w:t xml:space="preserve">Kennedy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_Ref504980397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31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4, Rock &amp;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n. 43.</w:t>
      </w:r>
    </w:p>
  </w:footnote>
  <w:footnote w:id="118">
    <w:p w14:paraId="407B0113" w14:textId="6D9BCCA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note that Azar et al. comment on the endogeneity, but do not offer instrumental variables to control for this. See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n. 49.</w:t>
      </w:r>
    </w:p>
  </w:footnote>
  <w:footnote w:id="119">
    <w:p w14:paraId="3B9E68F3" w14:textId="6DCFD01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at 21.</w:t>
      </w:r>
    </w:p>
  </w:footnote>
  <w:footnote w:id="120">
    <w:p w14:paraId="3B10F96E" w14:textId="50F54D1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at 22.</w:t>
      </w:r>
    </w:p>
  </w:footnote>
  <w:footnote w:id="121">
    <w:p w14:paraId="534208AF" w14:textId="47362839"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i/>
          <w:iCs/>
          <w:sz w:val="20"/>
          <w:szCs w:val="20"/>
        </w:rPr>
        <w:t xml:space="preserve"> Id.</w:t>
      </w:r>
    </w:p>
  </w:footnote>
  <w:footnote w:id="122">
    <w:p w14:paraId="580C2711" w14:textId="77777777" w:rsidR="00510A7E" w:rsidRPr="00431BAC" w:rsidRDefault="00510A7E" w:rsidP="00BD075E">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Azar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4 – 5 and Section 6.</w:t>
      </w:r>
    </w:p>
  </w:footnote>
  <w:footnote w:id="123">
    <w:p w14:paraId="27FA4106" w14:textId="60111DEF" w:rsidR="00510A7E" w:rsidRPr="00431BAC" w:rsidRDefault="00510A7E" w:rsidP="00DE0154">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The predictions suggested by this Paper are in fact very nuanced regarding how common such mechanisms must be in an industry to induce unilateral coordination. Even if a mechanism that links managerial compensation to industry-wide performance (and detaches compensation from firm-specific performance) is introduced, the prevalence of this mode of compensation in the industry must also be considered. Perhaps counter-intuitively, industry-wide linkage of performance based compensation to industry performance will </w:t>
      </w:r>
      <w:r w:rsidRPr="00431BAC">
        <w:rPr>
          <w:rFonts w:asciiTheme="majorBidi" w:hAnsiTheme="majorBidi" w:cstheme="majorBidi"/>
          <w:i/>
          <w:iCs/>
          <w:sz w:val="20"/>
          <w:szCs w:val="20"/>
        </w:rPr>
        <w:t>not</w:t>
      </w:r>
      <w:r w:rsidRPr="00431BAC">
        <w:rPr>
          <w:rFonts w:asciiTheme="majorBidi" w:hAnsiTheme="majorBidi" w:cstheme="majorBidi"/>
          <w:sz w:val="20"/>
          <w:szCs w:val="20"/>
        </w:rPr>
        <w:t xml:space="preserve"> incentivize unilateral coordination. The reason is that all of the firms in which such a compensation mechanism is in place are incentivized to unilaterally coordinate. Therefore, if all firms in the industry have such compensation plans in place, each will try to raise its price above that of the competing firms, and industry prices will be too high, resulting in lost profit. Industry-wide prevalence of industry-performance-dependent compensation will result in a race to the top (from a price perspective), or to the bottom (from an overall profit perspective). Industry-wide prevalence of such compensation plans will, however, incentivize cartelistic behavior. Managers will have an interest in reaching an anti-competitive agreement with their competitors (to the benefit of shareholders), as their profits are maximized if total industry profits are maximized. It is only when </w:t>
      </w:r>
      <w:r w:rsidRPr="00431BAC">
        <w:rPr>
          <w:rFonts w:asciiTheme="majorBidi" w:hAnsiTheme="majorBidi" w:cstheme="majorBidi"/>
          <w:i/>
          <w:iCs/>
          <w:sz w:val="20"/>
          <w:szCs w:val="20"/>
        </w:rPr>
        <w:t>some</w:t>
      </w:r>
      <w:r w:rsidRPr="00431BAC">
        <w:rPr>
          <w:rFonts w:asciiTheme="majorBidi" w:hAnsiTheme="majorBidi" w:cstheme="majorBidi"/>
          <w:sz w:val="20"/>
          <w:szCs w:val="20"/>
        </w:rPr>
        <w:t xml:space="preserve"> firms in the industry have such compensation plans in place that unilateral coordination is plausible. Any empirical research attempting to ascertain the validity of the theory must be sensitive to this observation (see also </w:t>
      </w:r>
      <w:proofErr w:type="spellStart"/>
      <w:r w:rsidRPr="00431BAC">
        <w:rPr>
          <w:rFonts w:asciiTheme="majorBidi" w:hAnsiTheme="majorBidi" w:cstheme="majorBidi"/>
          <w:sz w:val="20"/>
          <w:szCs w:val="20"/>
        </w:rPr>
        <w:t>Abrantes</w:t>
      </w:r>
      <w:proofErr w:type="spellEnd"/>
      <w:r w:rsidRPr="00431BAC">
        <w:rPr>
          <w:rFonts w:asciiTheme="majorBidi" w:hAnsiTheme="majorBidi" w:cstheme="majorBidi"/>
          <w:sz w:val="20"/>
          <w:szCs w:val="20"/>
        </w:rPr>
        <w:t xml:space="preserve"> – Metz &amp; </w:t>
      </w:r>
      <w:proofErr w:type="spellStart"/>
      <w:r w:rsidRPr="00431BAC">
        <w:rPr>
          <w:rFonts w:asciiTheme="majorBidi" w:hAnsiTheme="majorBidi" w:cstheme="majorBidi"/>
          <w:sz w:val="20"/>
          <w:szCs w:val="20"/>
        </w:rPr>
        <w:t>Sokol</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_Ref500413835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94</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124">
    <w:p w14:paraId="5CA5C47C" w14:textId="77777777" w:rsidR="00510A7E" w:rsidRPr="00431BAC" w:rsidRDefault="00510A7E" w:rsidP="00A15E1E">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Kennedy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_Ref504980397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31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4.</w:t>
      </w:r>
    </w:p>
  </w:footnote>
  <w:footnote w:id="125">
    <w:p w14:paraId="1692FD1E" w14:textId="0C19614B" w:rsidR="00510A7E" w:rsidRPr="00431BAC" w:rsidRDefault="00510A7E" w:rsidP="009C6A79">
      <w:pPr>
        <w:jc w:val="both"/>
        <w:rPr>
          <w:rFonts w:asciiTheme="majorBidi" w:eastAsia="Times New Roman"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See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at n. 56, addressing a potential solution that Azar et al. offer to the endogeneity problem, and explaining why they find the solution not compelling. See also </w:t>
      </w:r>
      <w:proofErr w:type="spellStart"/>
      <w:r w:rsidRPr="00431BAC">
        <w:rPr>
          <w:rFonts w:asciiTheme="majorBidi" w:hAnsiTheme="majorBidi" w:cstheme="majorBidi"/>
          <w:sz w:val="20"/>
          <w:szCs w:val="20"/>
        </w:rPr>
        <w:t>Gramlich</w:t>
      </w:r>
      <w:proofErr w:type="spellEnd"/>
      <w:r w:rsidRPr="00431BAC">
        <w:rPr>
          <w:rFonts w:asciiTheme="majorBidi" w:hAnsiTheme="majorBidi" w:cstheme="majorBidi"/>
          <w:sz w:val="20"/>
          <w:szCs w:val="20"/>
        </w:rPr>
        <w:t xml:space="preserve"> and </w:t>
      </w:r>
      <w:proofErr w:type="spellStart"/>
      <w:r w:rsidRPr="00431BAC">
        <w:rPr>
          <w:rFonts w:asciiTheme="majorBidi" w:hAnsiTheme="majorBidi" w:cstheme="majorBidi"/>
          <w:sz w:val="20"/>
          <w:szCs w:val="20"/>
        </w:rPr>
        <w:t>Grundl</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Pr>
          <w:rFonts w:asciiTheme="majorBidi" w:hAnsiTheme="majorBidi" w:cstheme="majorBidi"/>
          <w:sz w:val="20"/>
          <w:szCs w:val="20"/>
        </w:rPr>
        <w:fldChar w:fldCharType="begin"/>
      </w:r>
      <w:r>
        <w:rPr>
          <w:rFonts w:asciiTheme="majorBidi" w:hAnsiTheme="majorBidi" w:cstheme="majorBidi"/>
          <w:sz w:val="20"/>
          <w:szCs w:val="20"/>
        </w:rPr>
        <w:instrText xml:space="preserve"> NOTEREF _Ref504982791 \h </w:instrText>
      </w:r>
      <w:r>
        <w:rPr>
          <w:rFonts w:asciiTheme="majorBidi" w:hAnsiTheme="majorBidi" w:cstheme="majorBidi"/>
          <w:sz w:val="20"/>
          <w:szCs w:val="20"/>
        </w:rPr>
      </w:r>
      <w:r>
        <w:rPr>
          <w:rFonts w:asciiTheme="majorBidi" w:hAnsiTheme="majorBidi" w:cstheme="majorBidi"/>
          <w:sz w:val="20"/>
          <w:szCs w:val="20"/>
        </w:rPr>
        <w:fldChar w:fldCharType="separate"/>
      </w:r>
      <w:r>
        <w:rPr>
          <w:rFonts w:asciiTheme="majorBidi" w:hAnsiTheme="majorBidi" w:cstheme="majorBidi"/>
          <w:sz w:val="20"/>
          <w:szCs w:val="20"/>
        </w:rPr>
        <w:t>32</w:t>
      </w:r>
      <w:r>
        <w:rPr>
          <w:rFonts w:asciiTheme="majorBidi" w:hAnsiTheme="majorBidi" w:cstheme="majorBidi"/>
          <w:sz w:val="20"/>
          <w:szCs w:val="20"/>
        </w:rPr>
        <w:fldChar w:fldCharType="end"/>
      </w:r>
      <w:r w:rsidRPr="00431BAC">
        <w:rPr>
          <w:rFonts w:asciiTheme="majorBidi" w:hAnsiTheme="majorBidi" w:cstheme="majorBidi"/>
          <w:sz w:val="20"/>
          <w:szCs w:val="20"/>
        </w:rPr>
        <w:t xml:space="preserve"> at n. 1, discussing additional empirical studies with contradicting results – Heung </w:t>
      </w:r>
      <w:proofErr w:type="spellStart"/>
      <w:r w:rsidRPr="00431BAC">
        <w:rPr>
          <w:rFonts w:asciiTheme="majorBidi" w:hAnsiTheme="majorBidi" w:cstheme="majorBidi"/>
          <w:sz w:val="20"/>
          <w:szCs w:val="20"/>
        </w:rPr>
        <w:t>Jin</w:t>
      </w:r>
      <w:proofErr w:type="spellEnd"/>
      <w:r w:rsidRPr="00431BAC">
        <w:rPr>
          <w:rFonts w:asciiTheme="majorBidi" w:hAnsiTheme="majorBidi" w:cstheme="majorBidi"/>
          <w:sz w:val="20"/>
          <w:szCs w:val="20"/>
        </w:rPr>
        <w:t xml:space="preserve"> Kwon</w:t>
      </w:r>
    </w:p>
    <w:p w14:paraId="2C5FB65E" w14:textId="1572882F" w:rsidR="00510A7E" w:rsidRPr="00431BAC" w:rsidRDefault="00510A7E" w:rsidP="00DE4136">
      <w:pPr>
        <w:jc w:val="both"/>
        <w:rPr>
          <w:rFonts w:asciiTheme="majorBidi" w:eastAsia="Times New Roman" w:hAnsiTheme="majorBidi" w:cstheme="majorBidi"/>
          <w:sz w:val="20"/>
          <w:szCs w:val="20"/>
        </w:rPr>
      </w:pPr>
      <w:r w:rsidRPr="00431BAC">
        <w:rPr>
          <w:rFonts w:asciiTheme="majorBidi" w:eastAsia="Times New Roman" w:hAnsiTheme="majorBidi" w:cstheme="majorBidi"/>
          <w:i/>
          <w:iCs/>
          <w:sz w:val="20"/>
          <w:szCs w:val="20"/>
        </w:rPr>
        <w:t>Executive Compensation under Common Ownership</w:t>
      </w:r>
      <w:r w:rsidRPr="00431BAC">
        <w:rPr>
          <w:rFonts w:asciiTheme="majorBidi" w:eastAsia="Times New Roman" w:hAnsiTheme="majorBidi" w:cstheme="majorBidi"/>
          <w:sz w:val="20"/>
          <w:szCs w:val="20"/>
        </w:rPr>
        <w:t>, Draft, November 29</w:t>
      </w:r>
      <w:r w:rsidRPr="00431BAC">
        <w:rPr>
          <w:rFonts w:asciiTheme="majorBidi" w:eastAsia="Times New Roman" w:hAnsiTheme="majorBidi" w:cstheme="majorBidi"/>
          <w:sz w:val="20"/>
          <w:szCs w:val="20"/>
          <w:vertAlign w:val="superscript"/>
        </w:rPr>
        <w:t>th</w:t>
      </w:r>
      <w:r w:rsidRPr="00431BAC">
        <w:rPr>
          <w:rFonts w:asciiTheme="majorBidi" w:eastAsia="Times New Roman" w:hAnsiTheme="majorBidi" w:cstheme="majorBidi"/>
          <w:sz w:val="20"/>
          <w:szCs w:val="20"/>
        </w:rPr>
        <w:t>, 2016, available at: &lt;</w:t>
      </w:r>
      <w:r w:rsidRPr="00431BAC">
        <w:rPr>
          <w:rFonts w:asciiTheme="majorBidi" w:hAnsiTheme="majorBidi" w:cstheme="majorBidi"/>
          <w:sz w:val="20"/>
          <w:szCs w:val="20"/>
        </w:rPr>
        <w:t xml:space="preserve"> </w:t>
      </w:r>
      <w:hyperlink r:id="rId28" w:history="1">
        <w:r w:rsidRPr="00431BAC">
          <w:rPr>
            <w:rStyle w:val="Hyperlink"/>
            <w:rFonts w:asciiTheme="majorBidi" w:eastAsia="Times New Roman" w:hAnsiTheme="majorBidi" w:cstheme="majorBidi"/>
            <w:sz w:val="20"/>
            <w:szCs w:val="20"/>
          </w:rPr>
          <w:t>http://fmaconferences.org/Boston/ExecutiveCompensationunderCommonOwnership.pdf</w:t>
        </w:r>
      </w:hyperlink>
      <w:r w:rsidRPr="00431BAC">
        <w:rPr>
          <w:rFonts w:asciiTheme="majorBidi" w:eastAsia="Times New Roman" w:hAnsiTheme="majorBidi" w:cstheme="majorBidi"/>
          <w:sz w:val="20"/>
          <w:szCs w:val="20"/>
        </w:rPr>
        <w:t xml:space="preserve">&gt; and Miguel </w:t>
      </w:r>
      <w:proofErr w:type="spellStart"/>
      <w:r w:rsidRPr="00431BAC">
        <w:rPr>
          <w:rFonts w:asciiTheme="majorBidi" w:eastAsia="Times New Roman" w:hAnsiTheme="majorBidi" w:cstheme="majorBidi"/>
          <w:sz w:val="20"/>
          <w:szCs w:val="20"/>
        </w:rPr>
        <w:t>Antón</w:t>
      </w:r>
      <w:proofErr w:type="spellEnd"/>
      <w:r w:rsidRPr="00431BAC">
        <w:rPr>
          <w:rFonts w:asciiTheme="majorBidi" w:eastAsia="Times New Roman" w:hAnsiTheme="majorBidi" w:cstheme="majorBidi"/>
          <w:sz w:val="20"/>
          <w:szCs w:val="20"/>
        </w:rPr>
        <w:t xml:space="preserve">, Florian </w:t>
      </w:r>
      <w:proofErr w:type="spellStart"/>
      <w:r w:rsidRPr="00431BAC">
        <w:rPr>
          <w:rFonts w:asciiTheme="majorBidi" w:eastAsia="Times New Roman" w:hAnsiTheme="majorBidi" w:cstheme="majorBidi"/>
          <w:sz w:val="20"/>
          <w:szCs w:val="20"/>
        </w:rPr>
        <w:t>Ederer</w:t>
      </w:r>
      <w:proofErr w:type="spellEnd"/>
      <w:r w:rsidRPr="00431BAC">
        <w:rPr>
          <w:rFonts w:asciiTheme="majorBidi" w:eastAsia="Times New Roman" w:hAnsiTheme="majorBidi" w:cstheme="majorBidi"/>
          <w:sz w:val="20"/>
          <w:szCs w:val="20"/>
        </w:rPr>
        <w:t xml:space="preserve">, </w:t>
      </w:r>
      <w:proofErr w:type="spellStart"/>
      <w:r w:rsidRPr="00431BAC">
        <w:rPr>
          <w:rFonts w:asciiTheme="majorBidi" w:eastAsia="Times New Roman" w:hAnsiTheme="majorBidi" w:cstheme="majorBidi"/>
          <w:sz w:val="20"/>
          <w:szCs w:val="20"/>
        </w:rPr>
        <w:t>Mireia</w:t>
      </w:r>
      <w:proofErr w:type="spellEnd"/>
      <w:r w:rsidRPr="00431BAC">
        <w:rPr>
          <w:rFonts w:asciiTheme="majorBidi" w:eastAsia="Times New Roman" w:hAnsiTheme="majorBidi" w:cstheme="majorBidi"/>
          <w:sz w:val="20"/>
          <w:szCs w:val="20"/>
        </w:rPr>
        <w:t xml:space="preserve">. </w:t>
      </w:r>
      <w:proofErr w:type="spellStart"/>
      <w:r w:rsidRPr="00431BAC">
        <w:rPr>
          <w:rFonts w:asciiTheme="majorBidi" w:eastAsia="Times New Roman" w:hAnsiTheme="majorBidi" w:cstheme="majorBidi"/>
          <w:sz w:val="20"/>
          <w:szCs w:val="20"/>
        </w:rPr>
        <w:t>Giné</w:t>
      </w:r>
      <w:proofErr w:type="spellEnd"/>
      <w:r w:rsidRPr="00431BAC">
        <w:rPr>
          <w:rFonts w:asciiTheme="majorBidi" w:eastAsia="Times New Roman" w:hAnsiTheme="majorBidi" w:cstheme="majorBidi"/>
          <w:sz w:val="20"/>
          <w:szCs w:val="20"/>
        </w:rPr>
        <w:t xml:space="preserve">, and Martin </w:t>
      </w:r>
      <w:proofErr w:type="spellStart"/>
      <w:r w:rsidRPr="00431BAC">
        <w:rPr>
          <w:rFonts w:asciiTheme="majorBidi" w:eastAsia="Times New Roman" w:hAnsiTheme="majorBidi" w:cstheme="majorBidi"/>
          <w:sz w:val="20"/>
          <w:szCs w:val="20"/>
        </w:rPr>
        <w:t>Schmalz</w:t>
      </w:r>
      <w:proofErr w:type="spellEnd"/>
      <w:r w:rsidRPr="00431BAC">
        <w:rPr>
          <w:rFonts w:asciiTheme="majorBidi" w:eastAsia="Times New Roman" w:hAnsiTheme="majorBidi" w:cstheme="majorBidi"/>
          <w:sz w:val="20"/>
          <w:szCs w:val="20"/>
        </w:rPr>
        <w:t xml:space="preserve">, </w:t>
      </w:r>
      <w:r w:rsidRPr="00431BAC">
        <w:rPr>
          <w:rFonts w:asciiTheme="majorBidi" w:eastAsia="Times New Roman" w:hAnsiTheme="majorBidi" w:cstheme="majorBidi"/>
          <w:i/>
          <w:iCs/>
          <w:sz w:val="20"/>
          <w:szCs w:val="20"/>
        </w:rPr>
        <w:t>Common Ownership, Competition, and Top Management Incentives</w:t>
      </w:r>
      <w:r w:rsidRPr="00431BAC">
        <w:rPr>
          <w:rFonts w:asciiTheme="majorBidi" w:eastAsia="Times New Roman" w:hAnsiTheme="majorBidi" w:cstheme="majorBidi"/>
          <w:sz w:val="20"/>
          <w:szCs w:val="20"/>
        </w:rPr>
        <w:t>, Finance Working Paper N° 511/2017 (October 2017), available on SSRN at: &lt;</w:t>
      </w:r>
      <w:r w:rsidRPr="00431BAC">
        <w:rPr>
          <w:rFonts w:asciiTheme="majorBidi" w:hAnsiTheme="majorBidi" w:cstheme="majorBidi"/>
          <w:sz w:val="20"/>
          <w:szCs w:val="20"/>
        </w:rPr>
        <w:t xml:space="preserve"> </w:t>
      </w:r>
      <w:hyperlink r:id="rId29" w:history="1">
        <w:r w:rsidRPr="00431BAC">
          <w:rPr>
            <w:rStyle w:val="Hyperlink"/>
            <w:rFonts w:asciiTheme="majorBidi" w:eastAsia="Times New Roman" w:hAnsiTheme="majorBidi" w:cstheme="majorBidi"/>
            <w:sz w:val="20"/>
            <w:szCs w:val="20"/>
          </w:rPr>
          <w:t>https://papers.ssrn.com/sol3/papers.cfm?abstract_id=2802332</w:t>
        </w:r>
      </w:hyperlink>
      <w:r w:rsidRPr="00431BAC">
        <w:rPr>
          <w:rFonts w:asciiTheme="majorBidi" w:eastAsia="Times New Roman" w:hAnsiTheme="majorBidi" w:cstheme="majorBidi"/>
          <w:sz w:val="20"/>
          <w:szCs w:val="20"/>
        </w:rPr>
        <w:t xml:space="preserve">&gt;. </w:t>
      </w:r>
    </w:p>
  </w:footnote>
  <w:footnote w:id="126">
    <w:p w14:paraId="760B32B8" w14:textId="58F6F8A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_Ref500145690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21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at 25.</w:t>
      </w:r>
    </w:p>
  </w:footnote>
  <w:footnote w:id="127">
    <w:p w14:paraId="3F30968B" w14:textId="368AEDC3" w:rsidR="00510A7E" w:rsidRPr="00431BAC" w:rsidRDefault="00510A7E" w:rsidP="00466399">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Rock and </w:t>
      </w:r>
      <w:proofErr w:type="spellStart"/>
      <w:r w:rsidRPr="00431BAC">
        <w:rPr>
          <w:rFonts w:asciiTheme="majorBidi" w:hAnsiTheme="majorBidi" w:cstheme="majorBidi"/>
          <w:sz w:val="20"/>
          <w:szCs w:val="20"/>
        </w:rPr>
        <w:t>Rubinfeld</w:t>
      </w:r>
      <w:proofErr w:type="spellEnd"/>
      <w:r w:rsidRPr="00431BAC">
        <w:rPr>
          <w:rFonts w:asciiTheme="majorBidi" w:hAnsiTheme="majorBidi" w:cstheme="majorBidi"/>
          <w:sz w:val="20"/>
          <w:szCs w:val="20"/>
        </w:rPr>
        <w:t xml:space="preserve">, </w:t>
      </w:r>
      <w:r>
        <w:rPr>
          <w:rFonts w:asciiTheme="majorBidi" w:hAnsiTheme="majorBidi" w:cstheme="majorBidi"/>
          <w:i/>
          <w:iCs/>
          <w:sz w:val="20"/>
          <w:szCs w:val="20"/>
        </w:rPr>
        <w:t>id.</w:t>
      </w:r>
      <w:r w:rsidRPr="00431BAC">
        <w:rPr>
          <w:rFonts w:asciiTheme="majorBidi" w:hAnsiTheme="majorBidi" w:cstheme="majorBidi"/>
          <w:sz w:val="20"/>
          <w:szCs w:val="20"/>
        </w:rPr>
        <w:t>, at 23.</w:t>
      </w:r>
    </w:p>
  </w:footnote>
  <w:footnote w:id="128">
    <w:p w14:paraId="7300AFC4" w14:textId="1EEB8DC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_Ref491862384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50</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and accompanying text.</w:t>
      </w:r>
    </w:p>
  </w:footnote>
  <w:footnote w:id="129">
    <w:p w14:paraId="393563F8" w14:textId="0EF8126F" w:rsidR="00510A7E" w:rsidRPr="00431BAC" w:rsidRDefault="00510A7E" w:rsidP="00DE4136">
      <w:pPr>
        <w:pStyle w:val="FootnoteText"/>
        <w:jc w:val="both"/>
        <w:rPr>
          <w:rFonts w:asciiTheme="majorBidi" w:hAnsiTheme="majorBidi" w:cstheme="majorBidi"/>
          <w:sz w:val="20"/>
          <w:szCs w:val="20"/>
        </w:rPr>
      </w:pPr>
      <w:r w:rsidRPr="00431BAC">
        <w:rPr>
          <w:rFonts w:asciiTheme="majorBidi" w:hAnsiTheme="majorBidi" w:cstheme="majorBidi"/>
          <w:sz w:val="20"/>
          <w:szCs w:val="20"/>
          <w:vertAlign w:val="superscript"/>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_Ref492625719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37</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w:t>
      </w:r>
    </w:p>
  </w:footnote>
  <w:footnote w:id="130">
    <w:p w14:paraId="16F6AA37" w14:textId="3C4999AC"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at 35.</w:t>
      </w:r>
    </w:p>
  </w:footnote>
  <w:footnote w:id="131">
    <w:p w14:paraId="0A9FE0FE" w14:textId="19546B5A"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Posner et al.,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sz w:val="20"/>
          <w:szCs w:val="20"/>
        </w:rPr>
        <w:fldChar w:fldCharType="begin"/>
      </w:r>
      <w:r w:rsidRPr="00431BAC">
        <w:rPr>
          <w:rFonts w:asciiTheme="majorBidi" w:hAnsiTheme="majorBidi" w:cstheme="majorBidi"/>
          <w:sz w:val="20"/>
          <w:szCs w:val="20"/>
        </w:rPr>
        <w:instrText xml:space="preserve"> NOTEREF _Ref492384253 \h  \* MERGEFORMAT </w:instrText>
      </w:r>
      <w:r w:rsidRPr="00431BAC">
        <w:rPr>
          <w:rFonts w:asciiTheme="majorBidi" w:hAnsiTheme="majorBidi" w:cstheme="majorBidi"/>
          <w:sz w:val="20"/>
          <w:szCs w:val="20"/>
        </w:rPr>
      </w:r>
      <w:r w:rsidRPr="00431BAC">
        <w:rPr>
          <w:rFonts w:asciiTheme="majorBidi" w:hAnsiTheme="majorBidi" w:cstheme="majorBidi"/>
          <w:sz w:val="20"/>
          <w:szCs w:val="20"/>
        </w:rPr>
        <w:fldChar w:fldCharType="separate"/>
      </w:r>
      <w:r>
        <w:rPr>
          <w:rFonts w:asciiTheme="majorBidi" w:hAnsiTheme="majorBidi" w:cstheme="majorBidi"/>
          <w:sz w:val="20"/>
          <w:szCs w:val="20"/>
        </w:rPr>
        <w:t>1</w:t>
      </w:r>
      <w:r w:rsidRPr="00431BAC">
        <w:rPr>
          <w:rFonts w:asciiTheme="majorBidi" w:hAnsiTheme="majorBidi" w:cstheme="majorBidi"/>
          <w:sz w:val="20"/>
          <w:szCs w:val="20"/>
        </w:rPr>
        <w:fldChar w:fldCharType="end"/>
      </w:r>
      <w:r w:rsidRPr="00431BAC">
        <w:rPr>
          <w:rFonts w:asciiTheme="majorBidi" w:hAnsiTheme="majorBidi" w:cstheme="majorBidi"/>
          <w:sz w:val="20"/>
          <w:szCs w:val="20"/>
        </w:rPr>
        <w:t xml:space="preserve">, refer to John Y. </w:t>
      </w:r>
      <w:proofErr w:type="spellStart"/>
      <w:r w:rsidRPr="00431BAC">
        <w:rPr>
          <w:rFonts w:asciiTheme="majorBidi" w:hAnsiTheme="majorBidi" w:cstheme="majorBidi"/>
          <w:sz w:val="20"/>
          <w:szCs w:val="20"/>
        </w:rPr>
        <w:t>Cambel</w:t>
      </w:r>
      <w:proofErr w:type="spellEnd"/>
      <w:r w:rsidRPr="00431BAC">
        <w:rPr>
          <w:rFonts w:asciiTheme="majorBidi" w:hAnsiTheme="majorBidi" w:cstheme="majorBidi"/>
          <w:sz w:val="20"/>
          <w:szCs w:val="20"/>
        </w:rPr>
        <w:t xml:space="preserve"> et al., </w:t>
      </w:r>
      <w:r w:rsidRPr="00431BAC">
        <w:rPr>
          <w:rFonts w:asciiTheme="majorBidi" w:hAnsiTheme="majorBidi" w:cstheme="majorBidi"/>
          <w:i/>
          <w:iCs/>
          <w:sz w:val="20"/>
          <w:szCs w:val="20"/>
        </w:rPr>
        <w:t>Have individual Stocks Become More Volatile? An Empirical Exploration of Idiosyncratic Risk</w:t>
      </w:r>
      <w:r w:rsidRPr="00431BAC">
        <w:rPr>
          <w:rFonts w:asciiTheme="majorBidi" w:hAnsiTheme="majorBidi" w:cstheme="majorBidi"/>
          <w:sz w:val="20"/>
          <w:szCs w:val="20"/>
        </w:rPr>
        <w:t xml:space="preserve">, 56 J. Fin. 1 (2001) – see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w:t>
      </w:r>
    </w:p>
  </w:footnote>
  <w:footnote w:id="132">
    <w:p w14:paraId="2338B921" w14:textId="1AD31685"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T</w:t>
      </w:r>
      <w:r>
        <w:rPr>
          <w:rFonts w:asciiTheme="majorBidi" w:hAnsiTheme="majorBidi" w:cstheme="majorBidi"/>
          <w:sz w:val="20"/>
          <w:szCs w:val="20"/>
        </w:rPr>
        <w:t>hese includes t</w:t>
      </w:r>
      <w:r w:rsidRPr="00431BAC">
        <w:rPr>
          <w:rFonts w:asciiTheme="majorBidi" w:hAnsiTheme="majorBidi" w:cstheme="majorBidi"/>
          <w:sz w:val="20"/>
          <w:szCs w:val="20"/>
        </w:rPr>
        <w:t xml:space="preserve">he narrower definition of industry as compared to that proposed by </w:t>
      </w:r>
      <w:proofErr w:type="spellStart"/>
      <w:r w:rsidRPr="00431BAC">
        <w:rPr>
          <w:rFonts w:asciiTheme="majorBidi" w:hAnsiTheme="majorBidi" w:cstheme="majorBidi"/>
          <w:sz w:val="20"/>
          <w:szCs w:val="20"/>
        </w:rPr>
        <w:t>Cambel</w:t>
      </w:r>
      <w:proofErr w:type="spellEnd"/>
      <w:r w:rsidRPr="00431BAC">
        <w:rPr>
          <w:rFonts w:asciiTheme="majorBidi" w:hAnsiTheme="majorBidi" w:cstheme="majorBidi"/>
          <w:sz w:val="20"/>
          <w:szCs w:val="20"/>
        </w:rPr>
        <w:t xml:space="preserve"> et al. (who broke major stocks into 49 industries), the importance of industry diversification, a lack of effect on holdings in industries that are not concentrated, and a ‘safeguard’ policy that would allow holdings even within the same (oligopolistic) industry.</w:t>
      </w:r>
    </w:p>
  </w:footnote>
  <w:footnote w:id="133">
    <w:p w14:paraId="3BB5737F" w14:textId="6516E297" w:rsidR="00510A7E" w:rsidRPr="00431BAC" w:rsidRDefault="00510A7E" w:rsidP="00DE4136">
      <w:pPr>
        <w:pStyle w:val="FootnoteText"/>
        <w:jc w:val="both"/>
        <w:rPr>
          <w:rFonts w:asciiTheme="majorBidi" w:hAnsiTheme="majorBidi" w:cstheme="majorBidi"/>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Model Business Corp. Act, </w:t>
      </w:r>
      <w:r w:rsidRPr="00431BAC">
        <w:rPr>
          <w:rFonts w:asciiTheme="majorBidi" w:hAnsiTheme="majorBidi" w:cstheme="majorBidi"/>
          <w:i/>
          <w:iCs/>
          <w:sz w:val="20"/>
          <w:szCs w:val="20"/>
        </w:rPr>
        <w:t>supra</w:t>
      </w:r>
      <w:r w:rsidRPr="00431BAC">
        <w:rPr>
          <w:rFonts w:asciiTheme="majorBidi" w:hAnsiTheme="majorBidi" w:cstheme="majorBidi"/>
          <w:sz w:val="20"/>
          <w:szCs w:val="20"/>
        </w:rPr>
        <w:t xml:space="preserve"> note </w:t>
      </w:r>
      <w:r w:rsidRPr="00431BAC">
        <w:rPr>
          <w:rFonts w:asciiTheme="majorBidi" w:hAnsiTheme="majorBidi" w:cstheme="majorBidi"/>
          <w:i/>
          <w:iCs/>
          <w:sz w:val="20"/>
          <w:szCs w:val="20"/>
        </w:rPr>
        <w:fldChar w:fldCharType="begin"/>
      </w:r>
      <w:r w:rsidRPr="00431BAC">
        <w:rPr>
          <w:rFonts w:asciiTheme="majorBidi" w:hAnsiTheme="majorBidi" w:cstheme="majorBidi"/>
          <w:sz w:val="20"/>
          <w:szCs w:val="20"/>
        </w:rPr>
        <w:instrText xml:space="preserve"> NOTEREF _Ref492807210 \h </w:instrText>
      </w:r>
      <w:r w:rsidRPr="00431BAC">
        <w:rPr>
          <w:rFonts w:asciiTheme="majorBidi" w:hAnsiTheme="majorBidi" w:cstheme="majorBidi"/>
          <w:i/>
          <w:iCs/>
          <w:sz w:val="20"/>
          <w:szCs w:val="20"/>
        </w:rPr>
        <w:instrText xml:space="preserve"> \* MERGEFORMAT </w:instrText>
      </w:r>
      <w:r w:rsidRPr="00431BAC">
        <w:rPr>
          <w:rFonts w:asciiTheme="majorBidi" w:hAnsiTheme="majorBidi" w:cstheme="majorBidi"/>
          <w:i/>
          <w:iCs/>
          <w:sz w:val="20"/>
          <w:szCs w:val="20"/>
        </w:rPr>
      </w:r>
      <w:r w:rsidRPr="00431BAC">
        <w:rPr>
          <w:rFonts w:asciiTheme="majorBidi" w:hAnsiTheme="majorBidi" w:cstheme="majorBidi"/>
          <w:i/>
          <w:iCs/>
          <w:sz w:val="20"/>
          <w:szCs w:val="20"/>
        </w:rPr>
        <w:fldChar w:fldCharType="separate"/>
      </w:r>
      <w:r>
        <w:rPr>
          <w:rFonts w:asciiTheme="majorBidi" w:hAnsiTheme="majorBidi" w:cstheme="majorBidi"/>
          <w:sz w:val="20"/>
          <w:szCs w:val="20"/>
        </w:rPr>
        <w:t>38</w:t>
      </w:r>
      <w:r w:rsidRPr="00431BAC">
        <w:rPr>
          <w:rFonts w:asciiTheme="majorBidi" w:hAnsiTheme="majorBidi" w:cstheme="majorBidi"/>
          <w:i/>
          <w:iCs/>
          <w:sz w:val="20"/>
          <w:szCs w:val="20"/>
        </w:rPr>
        <w:fldChar w:fldCharType="end"/>
      </w:r>
      <w:r>
        <w:rPr>
          <w:rFonts w:asciiTheme="majorBidi" w:hAnsiTheme="majorBidi" w:cstheme="majorBidi"/>
          <w:sz w:val="20"/>
          <w:szCs w:val="20"/>
        </w:rPr>
        <w:t xml:space="preserve"> (</w:t>
      </w:r>
      <w:r w:rsidRPr="00431BAC">
        <w:rPr>
          <w:rFonts w:asciiTheme="majorBidi" w:hAnsiTheme="majorBidi" w:cstheme="majorBidi"/>
          <w:sz w:val="20"/>
          <w:szCs w:val="20"/>
        </w:rPr>
        <w:t>e.g. § 8.09)</w:t>
      </w:r>
      <w:r>
        <w:rPr>
          <w:rFonts w:asciiTheme="majorBidi" w:hAnsiTheme="majorBidi" w:cstheme="majorBidi"/>
          <w:sz w:val="20"/>
          <w:szCs w:val="20"/>
        </w:rPr>
        <w:t>.</w:t>
      </w:r>
    </w:p>
  </w:footnote>
  <w:footnote w:id="134">
    <w:p w14:paraId="395675ED" w14:textId="596991BC" w:rsidR="00510A7E" w:rsidRPr="00DD0146" w:rsidRDefault="00510A7E" w:rsidP="00DE4136">
      <w:pPr>
        <w:pStyle w:val="FootnoteText"/>
        <w:jc w:val="both"/>
        <w:rPr>
          <w:sz w:val="20"/>
          <w:szCs w:val="20"/>
        </w:rPr>
      </w:pPr>
      <w:r w:rsidRPr="00431BAC">
        <w:rPr>
          <w:rStyle w:val="FootnoteReference"/>
          <w:rFonts w:asciiTheme="majorBidi" w:hAnsiTheme="majorBidi" w:cstheme="majorBidi"/>
          <w:sz w:val="20"/>
          <w:szCs w:val="20"/>
        </w:rPr>
        <w:footnoteRef/>
      </w:r>
      <w:r w:rsidRPr="00431BAC">
        <w:rPr>
          <w:rFonts w:asciiTheme="majorBidi" w:hAnsiTheme="majorBidi" w:cstheme="majorBidi"/>
          <w:sz w:val="20"/>
          <w:szCs w:val="20"/>
        </w:rPr>
        <w:t xml:space="preserve"> Model Business Corp. Act, </w:t>
      </w:r>
      <w:r w:rsidRPr="00431BAC">
        <w:rPr>
          <w:rFonts w:asciiTheme="majorBidi" w:hAnsiTheme="majorBidi" w:cstheme="majorBidi"/>
          <w:i/>
          <w:iCs/>
          <w:sz w:val="20"/>
          <w:szCs w:val="20"/>
        </w:rPr>
        <w:t>id.</w:t>
      </w:r>
      <w:r w:rsidRPr="00431BAC">
        <w:rPr>
          <w:rFonts w:asciiTheme="majorBidi" w:hAnsiTheme="majorBidi" w:cstheme="majorBidi"/>
          <w:sz w:val="20"/>
          <w:szCs w:val="20"/>
        </w:rPr>
        <w:t xml:space="preserve"> (§ 8.30).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D7DF7"/>
    <w:multiLevelType w:val="hybridMultilevel"/>
    <w:tmpl w:val="E30AA3BE"/>
    <w:lvl w:ilvl="0" w:tplc="2BA478FE">
      <w:start w:val="1"/>
      <w:numFmt w:val="decimal"/>
      <w:lvlText w:val="%1."/>
      <w:lvlJc w:val="left"/>
      <w:pPr>
        <w:ind w:left="720" w:hanging="360"/>
      </w:pPr>
      <w:rPr>
        <w:rFonts w:asciiTheme="majorBidi" w:hAnsiTheme="majorBidi" w:cstheme="majorBidi" w:hint="default"/>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906174"/>
    <w:multiLevelType w:val="hybridMultilevel"/>
    <w:tmpl w:val="73866942"/>
    <w:lvl w:ilvl="0" w:tplc="807C83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0F0872"/>
    <w:multiLevelType w:val="multilevel"/>
    <w:tmpl w:val="8A520806"/>
    <w:numStyleLink w:val="Style1"/>
  </w:abstractNum>
  <w:abstractNum w:abstractNumId="3">
    <w:nsid w:val="289E6B8D"/>
    <w:multiLevelType w:val="hybridMultilevel"/>
    <w:tmpl w:val="8342F016"/>
    <w:lvl w:ilvl="0" w:tplc="D714993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490D8D"/>
    <w:multiLevelType w:val="multilevel"/>
    <w:tmpl w:val="8A520806"/>
    <w:styleLink w:val="Style1"/>
    <w:lvl w:ilvl="0">
      <w:start w:val="1"/>
      <w:numFmt w:val="upperRoman"/>
      <w:lvlText w:val="%1."/>
      <w:lvlJc w:val="left"/>
      <w:pPr>
        <w:ind w:left="720" w:hanging="720"/>
      </w:pPr>
      <w:rPr>
        <w:rFonts w:hint="default"/>
      </w:rPr>
    </w:lvl>
    <w:lvl w:ilvl="1">
      <w:start w:val="1"/>
      <w:numFmt w:val="lowerLetter"/>
      <w:isLgl/>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nsid w:val="365B7D05"/>
    <w:multiLevelType w:val="multilevel"/>
    <w:tmpl w:val="AF6E990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55E5CFE"/>
    <w:multiLevelType w:val="multilevel"/>
    <w:tmpl w:val="1E5AB056"/>
    <w:lvl w:ilvl="0">
      <w:start w:val="1"/>
      <w:numFmt w:val="upperRoman"/>
      <w:lvlText w:val="%1."/>
      <w:lvlJc w:val="right"/>
      <w:pPr>
        <w:ind w:left="360" w:hanging="360"/>
      </w:pPr>
      <w:rPr>
        <w:rFonts w:hint="default"/>
      </w:rPr>
    </w:lvl>
    <w:lvl w:ilvl="1">
      <w:start w:val="1"/>
      <w:numFmt w:val="upperLetter"/>
      <w:lvlText w:val="I.%2."/>
      <w:lvlJc w:val="left"/>
      <w:pPr>
        <w:ind w:left="792" w:hanging="432"/>
      </w:pPr>
      <w:rPr>
        <w:rFonts w:hint="default"/>
        <w:b/>
        <w:bCs/>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4B524F2F"/>
    <w:multiLevelType w:val="hybridMultilevel"/>
    <w:tmpl w:val="502E86F6"/>
    <w:lvl w:ilvl="0" w:tplc="3984D642">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385151"/>
    <w:multiLevelType w:val="multilevel"/>
    <w:tmpl w:val="0409001D"/>
    <w:styleLink w:val="Style2"/>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224482A"/>
    <w:multiLevelType w:val="multilevel"/>
    <w:tmpl w:val="A4DABCF0"/>
    <w:lvl w:ilvl="0">
      <w:start w:val="1"/>
      <w:numFmt w:val="decimal"/>
      <w:lvlText w:val="%1."/>
      <w:lvlJc w:val="left"/>
      <w:pPr>
        <w:ind w:left="360" w:hanging="360"/>
      </w:pPr>
      <w:rPr>
        <w:rFonts w:hint="default"/>
      </w:rPr>
    </w:lvl>
    <w:lvl w:ilvl="1">
      <w:start w:val="1"/>
      <w:numFmt w:val="upperLetter"/>
      <w:lvlText w:val="%1.%2."/>
      <w:lvlJc w:val="left"/>
      <w:pPr>
        <w:ind w:left="792" w:hanging="432"/>
      </w:pPr>
      <w:rPr>
        <w:rFonts w:hint="default"/>
        <w:b/>
        <w:bCs/>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CC74CBE"/>
    <w:multiLevelType w:val="hybridMultilevel"/>
    <w:tmpl w:val="E954F40C"/>
    <w:lvl w:ilvl="0" w:tplc="E71493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4A0E55"/>
    <w:multiLevelType w:val="multilevel"/>
    <w:tmpl w:val="7F4615BA"/>
    <w:lvl w:ilvl="0">
      <w:start w:val="1"/>
      <w:numFmt w:val="upperRoman"/>
      <w:lvlText w:val="%1."/>
      <w:lvlJc w:val="left"/>
      <w:pPr>
        <w:ind w:left="360" w:hanging="360"/>
      </w:pPr>
      <w:rPr>
        <w:rFonts w:hint="default"/>
        <w:b/>
        <w:bCs/>
      </w:rPr>
    </w:lvl>
    <w:lvl w:ilvl="1">
      <w:start w:val="1"/>
      <w:numFmt w:val="upperLetter"/>
      <w:pStyle w:val="a"/>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
  </w:num>
  <w:num w:numId="3">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1"/>
  </w:num>
  <w:num w:numId="11">
    <w:abstractNumId w:val="0"/>
  </w:num>
  <w:num w:numId="12">
    <w:abstractNumId w:val="6"/>
  </w:num>
  <w:num w:numId="13">
    <w:abstractNumId w:val="10"/>
  </w:num>
  <w:num w:numId="14">
    <w:abstractNumId w:val="11"/>
  </w:num>
  <w:num w:numId="15">
    <w:abstractNumId w:val="9"/>
  </w:num>
  <w:num w:numId="16">
    <w:abstractNumId w:val="11"/>
  </w:num>
  <w:num w:numId="17">
    <w:abstractNumId w:val="11"/>
  </w:num>
  <w:num w:numId="18">
    <w:abstractNumId w:val="11"/>
  </w:num>
  <w:num w:numId="19">
    <w:abstractNumId w:val="11"/>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AE3"/>
    <w:rsid w:val="00004960"/>
    <w:rsid w:val="00006792"/>
    <w:rsid w:val="000079C2"/>
    <w:rsid w:val="00012871"/>
    <w:rsid w:val="000146C2"/>
    <w:rsid w:val="00015FED"/>
    <w:rsid w:val="00016402"/>
    <w:rsid w:val="00016DFC"/>
    <w:rsid w:val="00020119"/>
    <w:rsid w:val="000203E1"/>
    <w:rsid w:val="000210AE"/>
    <w:rsid w:val="00021519"/>
    <w:rsid w:val="000258D6"/>
    <w:rsid w:val="0002595A"/>
    <w:rsid w:val="00030C52"/>
    <w:rsid w:val="0003126B"/>
    <w:rsid w:val="0003183A"/>
    <w:rsid w:val="00031FBC"/>
    <w:rsid w:val="00032FBD"/>
    <w:rsid w:val="00033BB2"/>
    <w:rsid w:val="00037A00"/>
    <w:rsid w:val="00037C1B"/>
    <w:rsid w:val="00040732"/>
    <w:rsid w:val="00040F84"/>
    <w:rsid w:val="00042171"/>
    <w:rsid w:val="000454C0"/>
    <w:rsid w:val="00045E12"/>
    <w:rsid w:val="000477BF"/>
    <w:rsid w:val="00050143"/>
    <w:rsid w:val="00051329"/>
    <w:rsid w:val="00053487"/>
    <w:rsid w:val="00055501"/>
    <w:rsid w:val="0005697D"/>
    <w:rsid w:val="0006069B"/>
    <w:rsid w:val="00060FB9"/>
    <w:rsid w:val="00063191"/>
    <w:rsid w:val="000640DD"/>
    <w:rsid w:val="00067AFA"/>
    <w:rsid w:val="00072F15"/>
    <w:rsid w:val="0007603F"/>
    <w:rsid w:val="00080C2F"/>
    <w:rsid w:val="00081772"/>
    <w:rsid w:val="000823FF"/>
    <w:rsid w:val="000830A7"/>
    <w:rsid w:val="00083695"/>
    <w:rsid w:val="000837D2"/>
    <w:rsid w:val="00087BEC"/>
    <w:rsid w:val="00087E01"/>
    <w:rsid w:val="00090185"/>
    <w:rsid w:val="000925F7"/>
    <w:rsid w:val="00094321"/>
    <w:rsid w:val="000961C6"/>
    <w:rsid w:val="00097254"/>
    <w:rsid w:val="000A21C9"/>
    <w:rsid w:val="000A22C3"/>
    <w:rsid w:val="000A42A0"/>
    <w:rsid w:val="000A6725"/>
    <w:rsid w:val="000B0576"/>
    <w:rsid w:val="000B2701"/>
    <w:rsid w:val="000B50AA"/>
    <w:rsid w:val="000C0180"/>
    <w:rsid w:val="000C0840"/>
    <w:rsid w:val="000C28DD"/>
    <w:rsid w:val="000C357E"/>
    <w:rsid w:val="000C3CAC"/>
    <w:rsid w:val="000C3D76"/>
    <w:rsid w:val="000C560C"/>
    <w:rsid w:val="000C60C0"/>
    <w:rsid w:val="000C6876"/>
    <w:rsid w:val="000C6A29"/>
    <w:rsid w:val="000C6E51"/>
    <w:rsid w:val="000C7FF0"/>
    <w:rsid w:val="000D0884"/>
    <w:rsid w:val="000D2AF5"/>
    <w:rsid w:val="000D31C1"/>
    <w:rsid w:val="000D3709"/>
    <w:rsid w:val="000D4477"/>
    <w:rsid w:val="000D4F31"/>
    <w:rsid w:val="000D5305"/>
    <w:rsid w:val="000E0333"/>
    <w:rsid w:val="000E33E7"/>
    <w:rsid w:val="000E3ECA"/>
    <w:rsid w:val="000E679D"/>
    <w:rsid w:val="000E6896"/>
    <w:rsid w:val="000F0372"/>
    <w:rsid w:val="000F2EF6"/>
    <w:rsid w:val="000F4055"/>
    <w:rsid w:val="000F5570"/>
    <w:rsid w:val="000F7AD8"/>
    <w:rsid w:val="00100C78"/>
    <w:rsid w:val="001033B5"/>
    <w:rsid w:val="00104D90"/>
    <w:rsid w:val="00105BE6"/>
    <w:rsid w:val="00111A39"/>
    <w:rsid w:val="00112E2A"/>
    <w:rsid w:val="00114F72"/>
    <w:rsid w:val="00121454"/>
    <w:rsid w:val="00123213"/>
    <w:rsid w:val="00123C93"/>
    <w:rsid w:val="00126BB5"/>
    <w:rsid w:val="00127F2C"/>
    <w:rsid w:val="00131C65"/>
    <w:rsid w:val="0013443B"/>
    <w:rsid w:val="0013700B"/>
    <w:rsid w:val="00142674"/>
    <w:rsid w:val="0014389C"/>
    <w:rsid w:val="00144655"/>
    <w:rsid w:val="00145557"/>
    <w:rsid w:val="00147534"/>
    <w:rsid w:val="001518F8"/>
    <w:rsid w:val="00153182"/>
    <w:rsid w:val="0015350E"/>
    <w:rsid w:val="001546A9"/>
    <w:rsid w:val="001573E0"/>
    <w:rsid w:val="00161D01"/>
    <w:rsid w:val="00163380"/>
    <w:rsid w:val="00163A09"/>
    <w:rsid w:val="00167882"/>
    <w:rsid w:val="00171B6E"/>
    <w:rsid w:val="00173796"/>
    <w:rsid w:val="001773BB"/>
    <w:rsid w:val="0018194A"/>
    <w:rsid w:val="0018388D"/>
    <w:rsid w:val="001845B2"/>
    <w:rsid w:val="001851F6"/>
    <w:rsid w:val="00185A76"/>
    <w:rsid w:val="00185CBE"/>
    <w:rsid w:val="00186CB9"/>
    <w:rsid w:val="00187B73"/>
    <w:rsid w:val="001951EA"/>
    <w:rsid w:val="00196B79"/>
    <w:rsid w:val="001A0A66"/>
    <w:rsid w:val="001A644A"/>
    <w:rsid w:val="001A7397"/>
    <w:rsid w:val="001A7EA0"/>
    <w:rsid w:val="001B0E0C"/>
    <w:rsid w:val="001B16FA"/>
    <w:rsid w:val="001B1A0B"/>
    <w:rsid w:val="001B29BB"/>
    <w:rsid w:val="001B33FC"/>
    <w:rsid w:val="001B3520"/>
    <w:rsid w:val="001B478B"/>
    <w:rsid w:val="001B500D"/>
    <w:rsid w:val="001B6442"/>
    <w:rsid w:val="001B752C"/>
    <w:rsid w:val="001B7BAB"/>
    <w:rsid w:val="001C13D6"/>
    <w:rsid w:val="001C1DA6"/>
    <w:rsid w:val="001C3489"/>
    <w:rsid w:val="001C3CBE"/>
    <w:rsid w:val="001C6816"/>
    <w:rsid w:val="001C70C1"/>
    <w:rsid w:val="001D28B8"/>
    <w:rsid w:val="001D2D0D"/>
    <w:rsid w:val="001D380E"/>
    <w:rsid w:val="001D7030"/>
    <w:rsid w:val="001E1363"/>
    <w:rsid w:val="001E1478"/>
    <w:rsid w:val="001E22A4"/>
    <w:rsid w:val="001E2A11"/>
    <w:rsid w:val="001E3163"/>
    <w:rsid w:val="001E4276"/>
    <w:rsid w:val="001E4E3E"/>
    <w:rsid w:val="001F036D"/>
    <w:rsid w:val="001F0B38"/>
    <w:rsid w:val="001F20F4"/>
    <w:rsid w:val="001F3CF9"/>
    <w:rsid w:val="001F7228"/>
    <w:rsid w:val="002007A0"/>
    <w:rsid w:val="00201589"/>
    <w:rsid w:val="00203F3A"/>
    <w:rsid w:val="002045E4"/>
    <w:rsid w:val="00206B93"/>
    <w:rsid w:val="002108E6"/>
    <w:rsid w:val="0021331C"/>
    <w:rsid w:val="002162B0"/>
    <w:rsid w:val="00227B0F"/>
    <w:rsid w:val="00230091"/>
    <w:rsid w:val="002301D1"/>
    <w:rsid w:val="00231E2C"/>
    <w:rsid w:val="0023329E"/>
    <w:rsid w:val="00236DEF"/>
    <w:rsid w:val="00241B86"/>
    <w:rsid w:val="00242EC9"/>
    <w:rsid w:val="00246216"/>
    <w:rsid w:val="00246D3F"/>
    <w:rsid w:val="002605CE"/>
    <w:rsid w:val="00263050"/>
    <w:rsid w:val="002704EE"/>
    <w:rsid w:val="00272C78"/>
    <w:rsid w:val="00272FCD"/>
    <w:rsid w:val="00273680"/>
    <w:rsid w:val="00277B5F"/>
    <w:rsid w:val="00277D65"/>
    <w:rsid w:val="002804F8"/>
    <w:rsid w:val="0028226D"/>
    <w:rsid w:val="00285D35"/>
    <w:rsid w:val="0028748B"/>
    <w:rsid w:val="0029120E"/>
    <w:rsid w:val="00292547"/>
    <w:rsid w:val="00296CEE"/>
    <w:rsid w:val="002A015B"/>
    <w:rsid w:val="002A1144"/>
    <w:rsid w:val="002A2BEC"/>
    <w:rsid w:val="002A3E13"/>
    <w:rsid w:val="002A6A80"/>
    <w:rsid w:val="002B0876"/>
    <w:rsid w:val="002B1B16"/>
    <w:rsid w:val="002B38DF"/>
    <w:rsid w:val="002B46F5"/>
    <w:rsid w:val="002B7694"/>
    <w:rsid w:val="002B773E"/>
    <w:rsid w:val="002C164D"/>
    <w:rsid w:val="002C1957"/>
    <w:rsid w:val="002C45D3"/>
    <w:rsid w:val="002C4B8D"/>
    <w:rsid w:val="002C6AF9"/>
    <w:rsid w:val="002D2C9B"/>
    <w:rsid w:val="002D527D"/>
    <w:rsid w:val="002D5BB7"/>
    <w:rsid w:val="002D5C32"/>
    <w:rsid w:val="002D5CCE"/>
    <w:rsid w:val="002D672A"/>
    <w:rsid w:val="002E3C00"/>
    <w:rsid w:val="002E43CB"/>
    <w:rsid w:val="002E4DB5"/>
    <w:rsid w:val="002F1FE4"/>
    <w:rsid w:val="002F359A"/>
    <w:rsid w:val="002F46C0"/>
    <w:rsid w:val="0030726D"/>
    <w:rsid w:val="00310D6A"/>
    <w:rsid w:val="00313847"/>
    <w:rsid w:val="00314501"/>
    <w:rsid w:val="00314F6F"/>
    <w:rsid w:val="0032021D"/>
    <w:rsid w:val="003212DC"/>
    <w:rsid w:val="00322B08"/>
    <w:rsid w:val="00324BCB"/>
    <w:rsid w:val="0032582F"/>
    <w:rsid w:val="00327A5D"/>
    <w:rsid w:val="00331724"/>
    <w:rsid w:val="00331E35"/>
    <w:rsid w:val="00332F5F"/>
    <w:rsid w:val="00334636"/>
    <w:rsid w:val="00337683"/>
    <w:rsid w:val="00340570"/>
    <w:rsid w:val="003452F2"/>
    <w:rsid w:val="003464F3"/>
    <w:rsid w:val="00346A0D"/>
    <w:rsid w:val="00346D2C"/>
    <w:rsid w:val="0035054A"/>
    <w:rsid w:val="00351DDB"/>
    <w:rsid w:val="00353331"/>
    <w:rsid w:val="00355DEA"/>
    <w:rsid w:val="00356218"/>
    <w:rsid w:val="0036011E"/>
    <w:rsid w:val="00361189"/>
    <w:rsid w:val="00361954"/>
    <w:rsid w:val="00363353"/>
    <w:rsid w:val="0036607D"/>
    <w:rsid w:val="00366724"/>
    <w:rsid w:val="00370FDC"/>
    <w:rsid w:val="00375DF4"/>
    <w:rsid w:val="00383024"/>
    <w:rsid w:val="00385F25"/>
    <w:rsid w:val="003873BF"/>
    <w:rsid w:val="00387BE8"/>
    <w:rsid w:val="00392337"/>
    <w:rsid w:val="003940E0"/>
    <w:rsid w:val="00396025"/>
    <w:rsid w:val="0039608C"/>
    <w:rsid w:val="00397EDC"/>
    <w:rsid w:val="003A5162"/>
    <w:rsid w:val="003B140C"/>
    <w:rsid w:val="003B26DB"/>
    <w:rsid w:val="003B5C6D"/>
    <w:rsid w:val="003B7401"/>
    <w:rsid w:val="003C2D94"/>
    <w:rsid w:val="003C3341"/>
    <w:rsid w:val="003C3C73"/>
    <w:rsid w:val="003C4231"/>
    <w:rsid w:val="003C76E1"/>
    <w:rsid w:val="003D0E4B"/>
    <w:rsid w:val="003D2328"/>
    <w:rsid w:val="003D273A"/>
    <w:rsid w:val="003D3D31"/>
    <w:rsid w:val="003D3DF2"/>
    <w:rsid w:val="003D40AB"/>
    <w:rsid w:val="003D456F"/>
    <w:rsid w:val="003D7E81"/>
    <w:rsid w:val="003E7146"/>
    <w:rsid w:val="003F039E"/>
    <w:rsid w:val="003F1E64"/>
    <w:rsid w:val="003F2837"/>
    <w:rsid w:val="003F3958"/>
    <w:rsid w:val="003F55BA"/>
    <w:rsid w:val="003F613F"/>
    <w:rsid w:val="003F7E45"/>
    <w:rsid w:val="00400B30"/>
    <w:rsid w:val="00403079"/>
    <w:rsid w:val="00404225"/>
    <w:rsid w:val="00405A6D"/>
    <w:rsid w:val="00414E28"/>
    <w:rsid w:val="00415669"/>
    <w:rsid w:val="00416894"/>
    <w:rsid w:val="00421306"/>
    <w:rsid w:val="004220C4"/>
    <w:rsid w:val="00422462"/>
    <w:rsid w:val="00422A95"/>
    <w:rsid w:val="00426483"/>
    <w:rsid w:val="00426985"/>
    <w:rsid w:val="00431BAC"/>
    <w:rsid w:val="004331F4"/>
    <w:rsid w:val="00433552"/>
    <w:rsid w:val="00433908"/>
    <w:rsid w:val="00435300"/>
    <w:rsid w:val="004372F9"/>
    <w:rsid w:val="00440B14"/>
    <w:rsid w:val="00440FB8"/>
    <w:rsid w:val="004430E8"/>
    <w:rsid w:val="004432E5"/>
    <w:rsid w:val="00443894"/>
    <w:rsid w:val="004460B1"/>
    <w:rsid w:val="00451EAB"/>
    <w:rsid w:val="00453B80"/>
    <w:rsid w:val="00453E1B"/>
    <w:rsid w:val="00460046"/>
    <w:rsid w:val="004613FB"/>
    <w:rsid w:val="00461CEB"/>
    <w:rsid w:val="00462130"/>
    <w:rsid w:val="00463787"/>
    <w:rsid w:val="00464E66"/>
    <w:rsid w:val="00466399"/>
    <w:rsid w:val="00472E62"/>
    <w:rsid w:val="004737C1"/>
    <w:rsid w:val="00473BA8"/>
    <w:rsid w:val="004740C8"/>
    <w:rsid w:val="004741E6"/>
    <w:rsid w:val="0047564D"/>
    <w:rsid w:val="004779CC"/>
    <w:rsid w:val="00482029"/>
    <w:rsid w:val="00483A75"/>
    <w:rsid w:val="0048401A"/>
    <w:rsid w:val="004876DB"/>
    <w:rsid w:val="004912A3"/>
    <w:rsid w:val="004950DA"/>
    <w:rsid w:val="004965F8"/>
    <w:rsid w:val="00497E85"/>
    <w:rsid w:val="00497EF4"/>
    <w:rsid w:val="004A0C0A"/>
    <w:rsid w:val="004A4BE5"/>
    <w:rsid w:val="004A5F01"/>
    <w:rsid w:val="004B14CE"/>
    <w:rsid w:val="004B2A62"/>
    <w:rsid w:val="004C1787"/>
    <w:rsid w:val="004C27C6"/>
    <w:rsid w:val="004C28C2"/>
    <w:rsid w:val="004C5E2E"/>
    <w:rsid w:val="004D3304"/>
    <w:rsid w:val="004D3641"/>
    <w:rsid w:val="004D5B24"/>
    <w:rsid w:val="004D5C81"/>
    <w:rsid w:val="004E137C"/>
    <w:rsid w:val="004E2287"/>
    <w:rsid w:val="004E2D67"/>
    <w:rsid w:val="004E2F62"/>
    <w:rsid w:val="004E3148"/>
    <w:rsid w:val="004E35CD"/>
    <w:rsid w:val="004E6C1B"/>
    <w:rsid w:val="004E73F0"/>
    <w:rsid w:val="004F2287"/>
    <w:rsid w:val="004F33CF"/>
    <w:rsid w:val="004F3B13"/>
    <w:rsid w:val="004F59F9"/>
    <w:rsid w:val="004F5BC4"/>
    <w:rsid w:val="004F7706"/>
    <w:rsid w:val="00500D29"/>
    <w:rsid w:val="00503A0B"/>
    <w:rsid w:val="0050589C"/>
    <w:rsid w:val="00505E16"/>
    <w:rsid w:val="00507FCB"/>
    <w:rsid w:val="005103E7"/>
    <w:rsid w:val="00510A7E"/>
    <w:rsid w:val="005237B4"/>
    <w:rsid w:val="00525E5A"/>
    <w:rsid w:val="0052643B"/>
    <w:rsid w:val="005300E6"/>
    <w:rsid w:val="00531C73"/>
    <w:rsid w:val="00531D4E"/>
    <w:rsid w:val="00532AB2"/>
    <w:rsid w:val="005342B9"/>
    <w:rsid w:val="00536273"/>
    <w:rsid w:val="00536CED"/>
    <w:rsid w:val="00542862"/>
    <w:rsid w:val="0054328D"/>
    <w:rsid w:val="00543C29"/>
    <w:rsid w:val="00546419"/>
    <w:rsid w:val="0055159C"/>
    <w:rsid w:val="00551689"/>
    <w:rsid w:val="005535FD"/>
    <w:rsid w:val="00555C74"/>
    <w:rsid w:val="00555D96"/>
    <w:rsid w:val="00563F07"/>
    <w:rsid w:val="005653D4"/>
    <w:rsid w:val="005655D0"/>
    <w:rsid w:val="00567539"/>
    <w:rsid w:val="00570F73"/>
    <w:rsid w:val="00571E4C"/>
    <w:rsid w:val="00571EDE"/>
    <w:rsid w:val="00573884"/>
    <w:rsid w:val="00574DA3"/>
    <w:rsid w:val="00577C0D"/>
    <w:rsid w:val="005824D4"/>
    <w:rsid w:val="00587034"/>
    <w:rsid w:val="00587F50"/>
    <w:rsid w:val="005905A1"/>
    <w:rsid w:val="005937AA"/>
    <w:rsid w:val="00593E1C"/>
    <w:rsid w:val="005A0DBC"/>
    <w:rsid w:val="005A42BE"/>
    <w:rsid w:val="005A4AF2"/>
    <w:rsid w:val="005A54C4"/>
    <w:rsid w:val="005A708E"/>
    <w:rsid w:val="005B11BF"/>
    <w:rsid w:val="005B25D8"/>
    <w:rsid w:val="005B30C6"/>
    <w:rsid w:val="005B3C88"/>
    <w:rsid w:val="005B635D"/>
    <w:rsid w:val="005B695B"/>
    <w:rsid w:val="005B7D5E"/>
    <w:rsid w:val="005C1F4A"/>
    <w:rsid w:val="005C2C1E"/>
    <w:rsid w:val="005C66C9"/>
    <w:rsid w:val="005C6B74"/>
    <w:rsid w:val="005C78E6"/>
    <w:rsid w:val="005D0F7A"/>
    <w:rsid w:val="005D2A79"/>
    <w:rsid w:val="005D5AB9"/>
    <w:rsid w:val="005D703D"/>
    <w:rsid w:val="005D7799"/>
    <w:rsid w:val="005E3121"/>
    <w:rsid w:val="005E5AE0"/>
    <w:rsid w:val="005F2E14"/>
    <w:rsid w:val="005F76DA"/>
    <w:rsid w:val="005F7EA5"/>
    <w:rsid w:val="0060017E"/>
    <w:rsid w:val="006001EA"/>
    <w:rsid w:val="00601E46"/>
    <w:rsid w:val="006029DF"/>
    <w:rsid w:val="006074D2"/>
    <w:rsid w:val="00607765"/>
    <w:rsid w:val="006120FC"/>
    <w:rsid w:val="006132CA"/>
    <w:rsid w:val="006165B4"/>
    <w:rsid w:val="00617150"/>
    <w:rsid w:val="00621014"/>
    <w:rsid w:val="006213A2"/>
    <w:rsid w:val="00626B8F"/>
    <w:rsid w:val="00626F72"/>
    <w:rsid w:val="006308BA"/>
    <w:rsid w:val="00636343"/>
    <w:rsid w:val="00636A68"/>
    <w:rsid w:val="00636FFE"/>
    <w:rsid w:val="00640062"/>
    <w:rsid w:val="00640FF7"/>
    <w:rsid w:val="00641FBF"/>
    <w:rsid w:val="00642F61"/>
    <w:rsid w:val="006434D1"/>
    <w:rsid w:val="00644320"/>
    <w:rsid w:val="00644AB5"/>
    <w:rsid w:val="00646D27"/>
    <w:rsid w:val="00650BAE"/>
    <w:rsid w:val="00650F2F"/>
    <w:rsid w:val="00652A4E"/>
    <w:rsid w:val="00654D91"/>
    <w:rsid w:val="006555EA"/>
    <w:rsid w:val="006607A4"/>
    <w:rsid w:val="006620D7"/>
    <w:rsid w:val="00664E6F"/>
    <w:rsid w:val="00665A12"/>
    <w:rsid w:val="006719B8"/>
    <w:rsid w:val="00672E4F"/>
    <w:rsid w:val="00680C82"/>
    <w:rsid w:val="006813D1"/>
    <w:rsid w:val="0068142B"/>
    <w:rsid w:val="00687BEA"/>
    <w:rsid w:val="00690730"/>
    <w:rsid w:val="00692A28"/>
    <w:rsid w:val="00695FCC"/>
    <w:rsid w:val="00697439"/>
    <w:rsid w:val="006A1657"/>
    <w:rsid w:val="006B410A"/>
    <w:rsid w:val="006B4DFE"/>
    <w:rsid w:val="006B7E04"/>
    <w:rsid w:val="006C2BB9"/>
    <w:rsid w:val="006C6AE3"/>
    <w:rsid w:val="006D37CC"/>
    <w:rsid w:val="006D4730"/>
    <w:rsid w:val="006E02D1"/>
    <w:rsid w:val="006E1125"/>
    <w:rsid w:val="006E2ED3"/>
    <w:rsid w:val="006E6529"/>
    <w:rsid w:val="006E70D4"/>
    <w:rsid w:val="006F78B1"/>
    <w:rsid w:val="00702993"/>
    <w:rsid w:val="0070440C"/>
    <w:rsid w:val="0070678A"/>
    <w:rsid w:val="00707B14"/>
    <w:rsid w:val="00710376"/>
    <w:rsid w:val="0071058B"/>
    <w:rsid w:val="00714114"/>
    <w:rsid w:val="00714966"/>
    <w:rsid w:val="0071578C"/>
    <w:rsid w:val="00716AA2"/>
    <w:rsid w:val="00716FF8"/>
    <w:rsid w:val="00717B16"/>
    <w:rsid w:val="00717BCA"/>
    <w:rsid w:val="00720CC0"/>
    <w:rsid w:val="00724091"/>
    <w:rsid w:val="00724484"/>
    <w:rsid w:val="00731124"/>
    <w:rsid w:val="00733DA0"/>
    <w:rsid w:val="00735AD9"/>
    <w:rsid w:val="007402FB"/>
    <w:rsid w:val="007408A8"/>
    <w:rsid w:val="007409A8"/>
    <w:rsid w:val="00743842"/>
    <w:rsid w:val="00745513"/>
    <w:rsid w:val="007511F5"/>
    <w:rsid w:val="00751C73"/>
    <w:rsid w:val="0075209B"/>
    <w:rsid w:val="00755D72"/>
    <w:rsid w:val="007565FA"/>
    <w:rsid w:val="0075753C"/>
    <w:rsid w:val="00767350"/>
    <w:rsid w:val="0076771C"/>
    <w:rsid w:val="007706EA"/>
    <w:rsid w:val="00773310"/>
    <w:rsid w:val="0077331A"/>
    <w:rsid w:val="007768A0"/>
    <w:rsid w:val="00776CCF"/>
    <w:rsid w:val="007826BE"/>
    <w:rsid w:val="00782DF3"/>
    <w:rsid w:val="00796D69"/>
    <w:rsid w:val="007979C3"/>
    <w:rsid w:val="007B1CFA"/>
    <w:rsid w:val="007B2502"/>
    <w:rsid w:val="007B291A"/>
    <w:rsid w:val="007B2F2D"/>
    <w:rsid w:val="007B3830"/>
    <w:rsid w:val="007B6488"/>
    <w:rsid w:val="007B6742"/>
    <w:rsid w:val="007B79EF"/>
    <w:rsid w:val="007C14BE"/>
    <w:rsid w:val="007C421D"/>
    <w:rsid w:val="007C56DD"/>
    <w:rsid w:val="007D0825"/>
    <w:rsid w:val="007D361A"/>
    <w:rsid w:val="007D5B77"/>
    <w:rsid w:val="007E01FB"/>
    <w:rsid w:val="007E2D74"/>
    <w:rsid w:val="007E4C18"/>
    <w:rsid w:val="007F1294"/>
    <w:rsid w:val="007F32CE"/>
    <w:rsid w:val="007F3DD3"/>
    <w:rsid w:val="007F44B9"/>
    <w:rsid w:val="007F504F"/>
    <w:rsid w:val="007F5100"/>
    <w:rsid w:val="007F5ACF"/>
    <w:rsid w:val="007F685A"/>
    <w:rsid w:val="007F6AD4"/>
    <w:rsid w:val="0080179B"/>
    <w:rsid w:val="008032CF"/>
    <w:rsid w:val="008042AB"/>
    <w:rsid w:val="00805A46"/>
    <w:rsid w:val="00805FCE"/>
    <w:rsid w:val="00807CA4"/>
    <w:rsid w:val="0081024B"/>
    <w:rsid w:val="0081099D"/>
    <w:rsid w:val="008116B0"/>
    <w:rsid w:val="00811B05"/>
    <w:rsid w:val="0081376C"/>
    <w:rsid w:val="00814F2E"/>
    <w:rsid w:val="0082171E"/>
    <w:rsid w:val="008230F3"/>
    <w:rsid w:val="00823117"/>
    <w:rsid w:val="008257ED"/>
    <w:rsid w:val="0083279C"/>
    <w:rsid w:val="00834E10"/>
    <w:rsid w:val="00836951"/>
    <w:rsid w:val="00847335"/>
    <w:rsid w:val="008508EC"/>
    <w:rsid w:val="008531E5"/>
    <w:rsid w:val="00855B1A"/>
    <w:rsid w:val="0085652A"/>
    <w:rsid w:val="008567FE"/>
    <w:rsid w:val="008574E2"/>
    <w:rsid w:val="00860453"/>
    <w:rsid w:val="008613FF"/>
    <w:rsid w:val="00865209"/>
    <w:rsid w:val="00865233"/>
    <w:rsid w:val="008654CA"/>
    <w:rsid w:val="00867B7D"/>
    <w:rsid w:val="00873F0C"/>
    <w:rsid w:val="00874F14"/>
    <w:rsid w:val="00875D69"/>
    <w:rsid w:val="00875EC5"/>
    <w:rsid w:val="00876B6F"/>
    <w:rsid w:val="00881C6C"/>
    <w:rsid w:val="0088210E"/>
    <w:rsid w:val="00883AAE"/>
    <w:rsid w:val="00884AB4"/>
    <w:rsid w:val="008850AB"/>
    <w:rsid w:val="00887E7A"/>
    <w:rsid w:val="00894A07"/>
    <w:rsid w:val="0089536D"/>
    <w:rsid w:val="008977ED"/>
    <w:rsid w:val="008A0AB9"/>
    <w:rsid w:val="008A4F1D"/>
    <w:rsid w:val="008B0A9C"/>
    <w:rsid w:val="008B0DDF"/>
    <w:rsid w:val="008B17DF"/>
    <w:rsid w:val="008B5CD7"/>
    <w:rsid w:val="008C0625"/>
    <w:rsid w:val="008C32CE"/>
    <w:rsid w:val="008C35A1"/>
    <w:rsid w:val="008C6D2E"/>
    <w:rsid w:val="008D09B2"/>
    <w:rsid w:val="008D2270"/>
    <w:rsid w:val="008D2EA3"/>
    <w:rsid w:val="008D3862"/>
    <w:rsid w:val="008D453A"/>
    <w:rsid w:val="008D5043"/>
    <w:rsid w:val="008D6748"/>
    <w:rsid w:val="008D6E05"/>
    <w:rsid w:val="008E0158"/>
    <w:rsid w:val="008E10D8"/>
    <w:rsid w:val="008E2330"/>
    <w:rsid w:val="008E3771"/>
    <w:rsid w:val="008E593D"/>
    <w:rsid w:val="008E7850"/>
    <w:rsid w:val="008F14C3"/>
    <w:rsid w:val="008F68F0"/>
    <w:rsid w:val="008F743E"/>
    <w:rsid w:val="00903C01"/>
    <w:rsid w:val="00906F6F"/>
    <w:rsid w:val="00912A52"/>
    <w:rsid w:val="009143C4"/>
    <w:rsid w:val="009148E8"/>
    <w:rsid w:val="00914ED0"/>
    <w:rsid w:val="00920A0A"/>
    <w:rsid w:val="0092509C"/>
    <w:rsid w:val="0092512E"/>
    <w:rsid w:val="00927258"/>
    <w:rsid w:val="00933CEF"/>
    <w:rsid w:val="009406EB"/>
    <w:rsid w:val="00943396"/>
    <w:rsid w:val="00946524"/>
    <w:rsid w:val="0095016A"/>
    <w:rsid w:val="00953440"/>
    <w:rsid w:val="009567AB"/>
    <w:rsid w:val="00960A89"/>
    <w:rsid w:val="009611AD"/>
    <w:rsid w:val="0096151B"/>
    <w:rsid w:val="00962111"/>
    <w:rsid w:val="00964F11"/>
    <w:rsid w:val="00965B55"/>
    <w:rsid w:val="00965E04"/>
    <w:rsid w:val="00966B6E"/>
    <w:rsid w:val="009670F2"/>
    <w:rsid w:val="00967771"/>
    <w:rsid w:val="009720B7"/>
    <w:rsid w:val="009826DD"/>
    <w:rsid w:val="00987A6C"/>
    <w:rsid w:val="00990DFE"/>
    <w:rsid w:val="00990F3A"/>
    <w:rsid w:val="00991DA6"/>
    <w:rsid w:val="009920D6"/>
    <w:rsid w:val="009946C4"/>
    <w:rsid w:val="0099504E"/>
    <w:rsid w:val="00996012"/>
    <w:rsid w:val="009A062E"/>
    <w:rsid w:val="009A3099"/>
    <w:rsid w:val="009A69CD"/>
    <w:rsid w:val="009B0573"/>
    <w:rsid w:val="009C3900"/>
    <w:rsid w:val="009C6A79"/>
    <w:rsid w:val="009C75B7"/>
    <w:rsid w:val="009D1A12"/>
    <w:rsid w:val="009D1DBB"/>
    <w:rsid w:val="009D34F9"/>
    <w:rsid w:val="009D41C9"/>
    <w:rsid w:val="009D5609"/>
    <w:rsid w:val="009D593A"/>
    <w:rsid w:val="009D76B4"/>
    <w:rsid w:val="009D7A10"/>
    <w:rsid w:val="009E2C71"/>
    <w:rsid w:val="009E2CA5"/>
    <w:rsid w:val="009E68F4"/>
    <w:rsid w:val="009E755C"/>
    <w:rsid w:val="009F145A"/>
    <w:rsid w:val="009F1794"/>
    <w:rsid w:val="009F5A88"/>
    <w:rsid w:val="009F78E3"/>
    <w:rsid w:val="009F79DD"/>
    <w:rsid w:val="00A012D6"/>
    <w:rsid w:val="00A02F3C"/>
    <w:rsid w:val="00A10BB1"/>
    <w:rsid w:val="00A1372F"/>
    <w:rsid w:val="00A15DD4"/>
    <w:rsid w:val="00A15E1E"/>
    <w:rsid w:val="00A17758"/>
    <w:rsid w:val="00A2250B"/>
    <w:rsid w:val="00A24D35"/>
    <w:rsid w:val="00A24DBA"/>
    <w:rsid w:val="00A26866"/>
    <w:rsid w:val="00A32509"/>
    <w:rsid w:val="00A345F8"/>
    <w:rsid w:val="00A3511F"/>
    <w:rsid w:val="00A35734"/>
    <w:rsid w:val="00A369A4"/>
    <w:rsid w:val="00A42CC2"/>
    <w:rsid w:val="00A53163"/>
    <w:rsid w:val="00A54A61"/>
    <w:rsid w:val="00A57341"/>
    <w:rsid w:val="00A62B33"/>
    <w:rsid w:val="00A62FB4"/>
    <w:rsid w:val="00A72020"/>
    <w:rsid w:val="00A755C2"/>
    <w:rsid w:val="00A81909"/>
    <w:rsid w:val="00A821EF"/>
    <w:rsid w:val="00A83751"/>
    <w:rsid w:val="00A85169"/>
    <w:rsid w:val="00A873E7"/>
    <w:rsid w:val="00A91CC4"/>
    <w:rsid w:val="00A924A0"/>
    <w:rsid w:val="00A92617"/>
    <w:rsid w:val="00A928E6"/>
    <w:rsid w:val="00A93F17"/>
    <w:rsid w:val="00A9583E"/>
    <w:rsid w:val="00AA0DDE"/>
    <w:rsid w:val="00AA44B8"/>
    <w:rsid w:val="00AB1D4E"/>
    <w:rsid w:val="00AB33B3"/>
    <w:rsid w:val="00AB3F38"/>
    <w:rsid w:val="00AB4F03"/>
    <w:rsid w:val="00AC1400"/>
    <w:rsid w:val="00AC255D"/>
    <w:rsid w:val="00AC4174"/>
    <w:rsid w:val="00AC5392"/>
    <w:rsid w:val="00AC563C"/>
    <w:rsid w:val="00AC567E"/>
    <w:rsid w:val="00AC5956"/>
    <w:rsid w:val="00AC7791"/>
    <w:rsid w:val="00AD061D"/>
    <w:rsid w:val="00AD1BEF"/>
    <w:rsid w:val="00AD5600"/>
    <w:rsid w:val="00AD5CE1"/>
    <w:rsid w:val="00AD6864"/>
    <w:rsid w:val="00AD6AE0"/>
    <w:rsid w:val="00AD6FFA"/>
    <w:rsid w:val="00AD784B"/>
    <w:rsid w:val="00AE0B20"/>
    <w:rsid w:val="00AE104F"/>
    <w:rsid w:val="00AE151B"/>
    <w:rsid w:val="00AE29C9"/>
    <w:rsid w:val="00AE3954"/>
    <w:rsid w:val="00AE4552"/>
    <w:rsid w:val="00AE57F7"/>
    <w:rsid w:val="00AE5BFD"/>
    <w:rsid w:val="00AE6591"/>
    <w:rsid w:val="00AE7D0D"/>
    <w:rsid w:val="00AE7E18"/>
    <w:rsid w:val="00AF15F9"/>
    <w:rsid w:val="00AF3F11"/>
    <w:rsid w:val="00AF450A"/>
    <w:rsid w:val="00AF62E5"/>
    <w:rsid w:val="00B000D4"/>
    <w:rsid w:val="00B0118B"/>
    <w:rsid w:val="00B0215F"/>
    <w:rsid w:val="00B024FE"/>
    <w:rsid w:val="00B02CDF"/>
    <w:rsid w:val="00B077D0"/>
    <w:rsid w:val="00B07FC0"/>
    <w:rsid w:val="00B10E76"/>
    <w:rsid w:val="00B133F5"/>
    <w:rsid w:val="00B13A73"/>
    <w:rsid w:val="00B17034"/>
    <w:rsid w:val="00B17D48"/>
    <w:rsid w:val="00B20C92"/>
    <w:rsid w:val="00B22790"/>
    <w:rsid w:val="00B240D4"/>
    <w:rsid w:val="00B2468F"/>
    <w:rsid w:val="00B26525"/>
    <w:rsid w:val="00B26F9E"/>
    <w:rsid w:val="00B30A79"/>
    <w:rsid w:val="00B32849"/>
    <w:rsid w:val="00B34105"/>
    <w:rsid w:val="00B34943"/>
    <w:rsid w:val="00B42F88"/>
    <w:rsid w:val="00B43C5A"/>
    <w:rsid w:val="00B44FDB"/>
    <w:rsid w:val="00B45C0B"/>
    <w:rsid w:val="00B47F94"/>
    <w:rsid w:val="00B515D4"/>
    <w:rsid w:val="00B56CC6"/>
    <w:rsid w:val="00B608C5"/>
    <w:rsid w:val="00B6172B"/>
    <w:rsid w:val="00B62AC3"/>
    <w:rsid w:val="00B6376F"/>
    <w:rsid w:val="00B65367"/>
    <w:rsid w:val="00B66391"/>
    <w:rsid w:val="00B70D21"/>
    <w:rsid w:val="00B72638"/>
    <w:rsid w:val="00B728F2"/>
    <w:rsid w:val="00B731AB"/>
    <w:rsid w:val="00B73D04"/>
    <w:rsid w:val="00B73E7E"/>
    <w:rsid w:val="00B73EBD"/>
    <w:rsid w:val="00B8069C"/>
    <w:rsid w:val="00B86C35"/>
    <w:rsid w:val="00B90145"/>
    <w:rsid w:val="00B92DAD"/>
    <w:rsid w:val="00B93493"/>
    <w:rsid w:val="00B979BF"/>
    <w:rsid w:val="00BA4D9C"/>
    <w:rsid w:val="00BA6F62"/>
    <w:rsid w:val="00BA7BD4"/>
    <w:rsid w:val="00BB05DF"/>
    <w:rsid w:val="00BB21B8"/>
    <w:rsid w:val="00BB2B96"/>
    <w:rsid w:val="00BB7312"/>
    <w:rsid w:val="00BB7CB1"/>
    <w:rsid w:val="00BC0A34"/>
    <w:rsid w:val="00BC3A11"/>
    <w:rsid w:val="00BC58D1"/>
    <w:rsid w:val="00BC7B3A"/>
    <w:rsid w:val="00BD075E"/>
    <w:rsid w:val="00BD0840"/>
    <w:rsid w:val="00BD1DA9"/>
    <w:rsid w:val="00BD272B"/>
    <w:rsid w:val="00BD2799"/>
    <w:rsid w:val="00BD2C66"/>
    <w:rsid w:val="00BD4DFA"/>
    <w:rsid w:val="00BD61CC"/>
    <w:rsid w:val="00BD63B7"/>
    <w:rsid w:val="00BE2CC0"/>
    <w:rsid w:val="00BE421A"/>
    <w:rsid w:val="00BE4E93"/>
    <w:rsid w:val="00BE4F03"/>
    <w:rsid w:val="00BE6CDE"/>
    <w:rsid w:val="00BF126B"/>
    <w:rsid w:val="00BF19D8"/>
    <w:rsid w:val="00BF2A8D"/>
    <w:rsid w:val="00BF2DAF"/>
    <w:rsid w:val="00BF2FF3"/>
    <w:rsid w:val="00BF318B"/>
    <w:rsid w:val="00BF4FA6"/>
    <w:rsid w:val="00BF587B"/>
    <w:rsid w:val="00C01F9C"/>
    <w:rsid w:val="00C0438C"/>
    <w:rsid w:val="00C07A20"/>
    <w:rsid w:val="00C10C38"/>
    <w:rsid w:val="00C11156"/>
    <w:rsid w:val="00C12F1E"/>
    <w:rsid w:val="00C13E5C"/>
    <w:rsid w:val="00C14EDD"/>
    <w:rsid w:val="00C151ED"/>
    <w:rsid w:val="00C15989"/>
    <w:rsid w:val="00C16459"/>
    <w:rsid w:val="00C203F8"/>
    <w:rsid w:val="00C20592"/>
    <w:rsid w:val="00C212B5"/>
    <w:rsid w:val="00C26906"/>
    <w:rsid w:val="00C26FF5"/>
    <w:rsid w:val="00C27460"/>
    <w:rsid w:val="00C27508"/>
    <w:rsid w:val="00C31B65"/>
    <w:rsid w:val="00C365AE"/>
    <w:rsid w:val="00C36C0C"/>
    <w:rsid w:val="00C378BC"/>
    <w:rsid w:val="00C43D96"/>
    <w:rsid w:val="00C444EC"/>
    <w:rsid w:val="00C44A7F"/>
    <w:rsid w:val="00C510E6"/>
    <w:rsid w:val="00C528CA"/>
    <w:rsid w:val="00C52D1E"/>
    <w:rsid w:val="00C5303F"/>
    <w:rsid w:val="00C53F1D"/>
    <w:rsid w:val="00C540D9"/>
    <w:rsid w:val="00C5446B"/>
    <w:rsid w:val="00C549EA"/>
    <w:rsid w:val="00C54C8C"/>
    <w:rsid w:val="00C55438"/>
    <w:rsid w:val="00C635FE"/>
    <w:rsid w:val="00C64537"/>
    <w:rsid w:val="00C66700"/>
    <w:rsid w:val="00C702E1"/>
    <w:rsid w:val="00C77210"/>
    <w:rsid w:val="00C77558"/>
    <w:rsid w:val="00C7796B"/>
    <w:rsid w:val="00C83CED"/>
    <w:rsid w:val="00C90C24"/>
    <w:rsid w:val="00C914D4"/>
    <w:rsid w:val="00C9194E"/>
    <w:rsid w:val="00C929C1"/>
    <w:rsid w:val="00C92DE0"/>
    <w:rsid w:val="00C935AF"/>
    <w:rsid w:val="00C94556"/>
    <w:rsid w:val="00C952DC"/>
    <w:rsid w:val="00C95C67"/>
    <w:rsid w:val="00CA07B6"/>
    <w:rsid w:val="00CA2B19"/>
    <w:rsid w:val="00CA3831"/>
    <w:rsid w:val="00CB0567"/>
    <w:rsid w:val="00CB1A31"/>
    <w:rsid w:val="00CB2507"/>
    <w:rsid w:val="00CB28B6"/>
    <w:rsid w:val="00CB4747"/>
    <w:rsid w:val="00CB5820"/>
    <w:rsid w:val="00CB5E04"/>
    <w:rsid w:val="00CC14AA"/>
    <w:rsid w:val="00CC1B2A"/>
    <w:rsid w:val="00CC1E82"/>
    <w:rsid w:val="00CC322A"/>
    <w:rsid w:val="00CC3398"/>
    <w:rsid w:val="00CC55DB"/>
    <w:rsid w:val="00CC75EB"/>
    <w:rsid w:val="00CD6C4F"/>
    <w:rsid w:val="00CD78E5"/>
    <w:rsid w:val="00CE12AA"/>
    <w:rsid w:val="00CE1F3E"/>
    <w:rsid w:val="00CE398A"/>
    <w:rsid w:val="00CE69F1"/>
    <w:rsid w:val="00CE7F0C"/>
    <w:rsid w:val="00CF3009"/>
    <w:rsid w:val="00CF6898"/>
    <w:rsid w:val="00D00766"/>
    <w:rsid w:val="00D02D68"/>
    <w:rsid w:val="00D0471F"/>
    <w:rsid w:val="00D057A4"/>
    <w:rsid w:val="00D107A0"/>
    <w:rsid w:val="00D113B0"/>
    <w:rsid w:val="00D115CD"/>
    <w:rsid w:val="00D118AD"/>
    <w:rsid w:val="00D15AA5"/>
    <w:rsid w:val="00D17721"/>
    <w:rsid w:val="00D265D6"/>
    <w:rsid w:val="00D279CB"/>
    <w:rsid w:val="00D30A60"/>
    <w:rsid w:val="00D31494"/>
    <w:rsid w:val="00D3221A"/>
    <w:rsid w:val="00D33493"/>
    <w:rsid w:val="00D33FC5"/>
    <w:rsid w:val="00D35DD0"/>
    <w:rsid w:val="00D35F11"/>
    <w:rsid w:val="00D4040B"/>
    <w:rsid w:val="00D40CBC"/>
    <w:rsid w:val="00D40F89"/>
    <w:rsid w:val="00D42388"/>
    <w:rsid w:val="00D462A3"/>
    <w:rsid w:val="00D47579"/>
    <w:rsid w:val="00D50D48"/>
    <w:rsid w:val="00D521D9"/>
    <w:rsid w:val="00D52700"/>
    <w:rsid w:val="00D5291D"/>
    <w:rsid w:val="00D52AEF"/>
    <w:rsid w:val="00D53853"/>
    <w:rsid w:val="00D54FC5"/>
    <w:rsid w:val="00D559B4"/>
    <w:rsid w:val="00D55A4D"/>
    <w:rsid w:val="00D56A22"/>
    <w:rsid w:val="00D6514F"/>
    <w:rsid w:val="00D665C6"/>
    <w:rsid w:val="00D721DC"/>
    <w:rsid w:val="00D72862"/>
    <w:rsid w:val="00D72DAA"/>
    <w:rsid w:val="00D74E6F"/>
    <w:rsid w:val="00D7501B"/>
    <w:rsid w:val="00D814A0"/>
    <w:rsid w:val="00D83894"/>
    <w:rsid w:val="00D91C7E"/>
    <w:rsid w:val="00D93C2E"/>
    <w:rsid w:val="00D963BA"/>
    <w:rsid w:val="00D964C8"/>
    <w:rsid w:val="00D96B5E"/>
    <w:rsid w:val="00DA1B75"/>
    <w:rsid w:val="00DA1E95"/>
    <w:rsid w:val="00DA49B4"/>
    <w:rsid w:val="00DA6FA9"/>
    <w:rsid w:val="00DA7E2A"/>
    <w:rsid w:val="00DB277A"/>
    <w:rsid w:val="00DB2FCA"/>
    <w:rsid w:val="00DB456B"/>
    <w:rsid w:val="00DB5ECF"/>
    <w:rsid w:val="00DB78B8"/>
    <w:rsid w:val="00DC132A"/>
    <w:rsid w:val="00DC279A"/>
    <w:rsid w:val="00DC2D84"/>
    <w:rsid w:val="00DC3534"/>
    <w:rsid w:val="00DC47C4"/>
    <w:rsid w:val="00DD0146"/>
    <w:rsid w:val="00DD1A23"/>
    <w:rsid w:val="00DD264C"/>
    <w:rsid w:val="00DD342C"/>
    <w:rsid w:val="00DD5274"/>
    <w:rsid w:val="00DD58CC"/>
    <w:rsid w:val="00DD5D21"/>
    <w:rsid w:val="00DD69E0"/>
    <w:rsid w:val="00DD7CD6"/>
    <w:rsid w:val="00DE0154"/>
    <w:rsid w:val="00DE32D6"/>
    <w:rsid w:val="00DE3D46"/>
    <w:rsid w:val="00DE4136"/>
    <w:rsid w:val="00DE69A2"/>
    <w:rsid w:val="00DE77FA"/>
    <w:rsid w:val="00DE7EA6"/>
    <w:rsid w:val="00DE7F75"/>
    <w:rsid w:val="00DE7FE0"/>
    <w:rsid w:val="00DF26AC"/>
    <w:rsid w:val="00DF39C0"/>
    <w:rsid w:val="00DF7A5F"/>
    <w:rsid w:val="00E001AE"/>
    <w:rsid w:val="00E01C6E"/>
    <w:rsid w:val="00E02830"/>
    <w:rsid w:val="00E0329F"/>
    <w:rsid w:val="00E04631"/>
    <w:rsid w:val="00E0538F"/>
    <w:rsid w:val="00E11088"/>
    <w:rsid w:val="00E1334A"/>
    <w:rsid w:val="00E13C13"/>
    <w:rsid w:val="00E159B7"/>
    <w:rsid w:val="00E16DF9"/>
    <w:rsid w:val="00E2178C"/>
    <w:rsid w:val="00E26C98"/>
    <w:rsid w:val="00E30A3D"/>
    <w:rsid w:val="00E3310F"/>
    <w:rsid w:val="00E3494F"/>
    <w:rsid w:val="00E35E5B"/>
    <w:rsid w:val="00E40EF5"/>
    <w:rsid w:val="00E410B9"/>
    <w:rsid w:val="00E44374"/>
    <w:rsid w:val="00E45004"/>
    <w:rsid w:val="00E503F5"/>
    <w:rsid w:val="00E50B01"/>
    <w:rsid w:val="00E52D28"/>
    <w:rsid w:val="00E53285"/>
    <w:rsid w:val="00E53A73"/>
    <w:rsid w:val="00E55973"/>
    <w:rsid w:val="00E55DE1"/>
    <w:rsid w:val="00E5607E"/>
    <w:rsid w:val="00E647F5"/>
    <w:rsid w:val="00E66C87"/>
    <w:rsid w:val="00E67E5D"/>
    <w:rsid w:val="00E73FD0"/>
    <w:rsid w:val="00E7552C"/>
    <w:rsid w:val="00E7570A"/>
    <w:rsid w:val="00E75B25"/>
    <w:rsid w:val="00E75D0B"/>
    <w:rsid w:val="00E81B37"/>
    <w:rsid w:val="00E820E0"/>
    <w:rsid w:val="00E823B3"/>
    <w:rsid w:val="00E827E7"/>
    <w:rsid w:val="00E87761"/>
    <w:rsid w:val="00E90819"/>
    <w:rsid w:val="00E92CDD"/>
    <w:rsid w:val="00E948BD"/>
    <w:rsid w:val="00E9728B"/>
    <w:rsid w:val="00E97408"/>
    <w:rsid w:val="00E9743D"/>
    <w:rsid w:val="00E97963"/>
    <w:rsid w:val="00E97E72"/>
    <w:rsid w:val="00EA03F6"/>
    <w:rsid w:val="00EA27E8"/>
    <w:rsid w:val="00EB05A3"/>
    <w:rsid w:val="00EB0A51"/>
    <w:rsid w:val="00EB11FE"/>
    <w:rsid w:val="00EB5C7E"/>
    <w:rsid w:val="00EB6D2F"/>
    <w:rsid w:val="00EB6E51"/>
    <w:rsid w:val="00EB6EBC"/>
    <w:rsid w:val="00EC1339"/>
    <w:rsid w:val="00EC183D"/>
    <w:rsid w:val="00ED160F"/>
    <w:rsid w:val="00ED1834"/>
    <w:rsid w:val="00ED2073"/>
    <w:rsid w:val="00ED2AAA"/>
    <w:rsid w:val="00ED5152"/>
    <w:rsid w:val="00ED6156"/>
    <w:rsid w:val="00ED6B76"/>
    <w:rsid w:val="00EE58C9"/>
    <w:rsid w:val="00EF13B1"/>
    <w:rsid w:val="00EF5964"/>
    <w:rsid w:val="00EF5E12"/>
    <w:rsid w:val="00EF7AC9"/>
    <w:rsid w:val="00F01DB8"/>
    <w:rsid w:val="00F04ED8"/>
    <w:rsid w:val="00F0612A"/>
    <w:rsid w:val="00F12A8B"/>
    <w:rsid w:val="00F1382A"/>
    <w:rsid w:val="00F236D9"/>
    <w:rsid w:val="00F27BCB"/>
    <w:rsid w:val="00F31669"/>
    <w:rsid w:val="00F36102"/>
    <w:rsid w:val="00F37566"/>
    <w:rsid w:val="00F40094"/>
    <w:rsid w:val="00F4034E"/>
    <w:rsid w:val="00F4143F"/>
    <w:rsid w:val="00F42D67"/>
    <w:rsid w:val="00F54198"/>
    <w:rsid w:val="00F565A5"/>
    <w:rsid w:val="00F566B9"/>
    <w:rsid w:val="00F60614"/>
    <w:rsid w:val="00F63C82"/>
    <w:rsid w:val="00F66D49"/>
    <w:rsid w:val="00F705D2"/>
    <w:rsid w:val="00F71F59"/>
    <w:rsid w:val="00F71F85"/>
    <w:rsid w:val="00F72287"/>
    <w:rsid w:val="00F72B9C"/>
    <w:rsid w:val="00F72D76"/>
    <w:rsid w:val="00F73752"/>
    <w:rsid w:val="00F73789"/>
    <w:rsid w:val="00F7493D"/>
    <w:rsid w:val="00F750F4"/>
    <w:rsid w:val="00F80880"/>
    <w:rsid w:val="00F811CB"/>
    <w:rsid w:val="00F81309"/>
    <w:rsid w:val="00F862C8"/>
    <w:rsid w:val="00F868E7"/>
    <w:rsid w:val="00F8693A"/>
    <w:rsid w:val="00F87DDF"/>
    <w:rsid w:val="00F97F6A"/>
    <w:rsid w:val="00FA0028"/>
    <w:rsid w:val="00FA00A5"/>
    <w:rsid w:val="00FA0DE5"/>
    <w:rsid w:val="00FA1657"/>
    <w:rsid w:val="00FA32F6"/>
    <w:rsid w:val="00FA4B52"/>
    <w:rsid w:val="00FA5711"/>
    <w:rsid w:val="00FA6E14"/>
    <w:rsid w:val="00FA766F"/>
    <w:rsid w:val="00FB29AD"/>
    <w:rsid w:val="00FB4D9D"/>
    <w:rsid w:val="00FC01E7"/>
    <w:rsid w:val="00FC3430"/>
    <w:rsid w:val="00FC36E3"/>
    <w:rsid w:val="00FC49E0"/>
    <w:rsid w:val="00FC5638"/>
    <w:rsid w:val="00FC579B"/>
    <w:rsid w:val="00FC6E6D"/>
    <w:rsid w:val="00FD142D"/>
    <w:rsid w:val="00FD43BF"/>
    <w:rsid w:val="00FD470D"/>
    <w:rsid w:val="00FD4814"/>
    <w:rsid w:val="00FD5420"/>
    <w:rsid w:val="00FD6156"/>
    <w:rsid w:val="00FD67D0"/>
    <w:rsid w:val="00FE34E3"/>
    <w:rsid w:val="00FE53C5"/>
    <w:rsid w:val="00FE5ABF"/>
    <w:rsid w:val="00FE5B69"/>
    <w:rsid w:val="00FE5EC9"/>
    <w:rsid w:val="00FF04EF"/>
    <w:rsid w:val="00FF2C7F"/>
    <w:rsid w:val="00FF4180"/>
    <w:rsid w:val="00FF5775"/>
    <w:rsid w:val="00FF6CA4"/>
    <w:rsid w:val="00FF6D1C"/>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B4BF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7683"/>
    <w:rPr>
      <w:rFonts w:ascii="Times New Roman" w:hAnsi="Times New Roman" w:cs="Times New Roman"/>
    </w:rPr>
  </w:style>
  <w:style w:type="paragraph" w:styleId="Heading1">
    <w:name w:val="heading 1"/>
    <w:basedOn w:val="Normal"/>
    <w:next w:val="Normal"/>
    <w:link w:val="Heading1Char"/>
    <w:uiPriority w:val="9"/>
    <w:qFormat/>
    <w:rsid w:val="006C6AE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a"/>
    <w:next w:val="Normal"/>
    <w:link w:val="Heading2Char"/>
    <w:uiPriority w:val="9"/>
    <w:unhideWhenUsed/>
    <w:qFormat/>
    <w:rsid w:val="00E0538F"/>
    <w:pPr>
      <w:outlineLvl w:val="1"/>
    </w:pPr>
  </w:style>
  <w:style w:type="paragraph" w:styleId="Heading3">
    <w:name w:val="heading 3"/>
    <w:basedOn w:val="Normal"/>
    <w:next w:val="Normal"/>
    <w:link w:val="Heading3Char"/>
    <w:uiPriority w:val="9"/>
    <w:semiHidden/>
    <w:unhideWhenUsed/>
    <w:qFormat/>
    <w:rsid w:val="0035054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E3"/>
    <w:rPr>
      <w:rFonts w:asciiTheme="majorHAnsi" w:eastAsiaTheme="majorEastAsia" w:hAnsiTheme="majorHAnsi" w:cstheme="majorBidi"/>
      <w:b/>
      <w:bCs/>
      <w:color w:val="2F5496" w:themeColor="accent1" w:themeShade="BF"/>
      <w:sz w:val="28"/>
      <w:szCs w:val="28"/>
      <w:lang w:bidi="en-US"/>
    </w:rPr>
  </w:style>
  <w:style w:type="paragraph" w:styleId="FootnoteText">
    <w:name w:val="footnote text"/>
    <w:basedOn w:val="Normal"/>
    <w:link w:val="FootnoteTextChar"/>
    <w:uiPriority w:val="99"/>
    <w:unhideWhenUsed/>
    <w:rsid w:val="00D02D68"/>
    <w:rPr>
      <w:rFonts w:asciiTheme="minorHAnsi" w:hAnsiTheme="minorHAnsi" w:cstheme="minorBidi"/>
    </w:rPr>
  </w:style>
  <w:style w:type="character" w:customStyle="1" w:styleId="FootnoteTextChar">
    <w:name w:val="Footnote Text Char"/>
    <w:basedOn w:val="DefaultParagraphFont"/>
    <w:link w:val="FootnoteText"/>
    <w:uiPriority w:val="99"/>
    <w:rsid w:val="00D02D68"/>
  </w:style>
  <w:style w:type="character" w:styleId="FootnoteReference">
    <w:name w:val="footnote reference"/>
    <w:basedOn w:val="DefaultParagraphFont"/>
    <w:uiPriority w:val="99"/>
    <w:unhideWhenUsed/>
    <w:rsid w:val="00D02D68"/>
    <w:rPr>
      <w:vertAlign w:val="superscript"/>
    </w:rPr>
  </w:style>
  <w:style w:type="character" w:styleId="Hyperlink">
    <w:name w:val="Hyperlink"/>
    <w:basedOn w:val="DefaultParagraphFont"/>
    <w:uiPriority w:val="99"/>
    <w:unhideWhenUsed/>
    <w:rsid w:val="00933CEF"/>
    <w:rPr>
      <w:color w:val="0563C1" w:themeColor="hyperlink"/>
      <w:u w:val="single"/>
    </w:rPr>
  </w:style>
  <w:style w:type="table" w:styleId="TableGrid">
    <w:name w:val="Table Grid"/>
    <w:basedOn w:val="TableNormal"/>
    <w:uiPriority w:val="39"/>
    <w:rsid w:val="004F22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2287"/>
    <w:pPr>
      <w:ind w:left="720"/>
      <w:contextualSpacing/>
    </w:pPr>
    <w:rPr>
      <w:rFonts w:asciiTheme="minorHAnsi" w:hAnsiTheme="minorHAnsi" w:cstheme="minorBidi"/>
    </w:rPr>
  </w:style>
  <w:style w:type="paragraph" w:customStyle="1" w:styleId="a">
    <w:name w:val="כותרת פרק ראשית"/>
    <w:basedOn w:val="ListParagraph"/>
    <w:qFormat/>
    <w:rsid w:val="003D0E4B"/>
    <w:pPr>
      <w:numPr>
        <w:ilvl w:val="1"/>
        <w:numId w:val="14"/>
      </w:numPr>
      <w:jc w:val="both"/>
    </w:pPr>
    <w:rPr>
      <w:rFonts w:asciiTheme="majorBidi" w:hAnsiTheme="majorBidi" w:cstheme="majorBidi"/>
      <w:b/>
      <w:bCs/>
      <w:i/>
      <w:iCs/>
      <w:u w:val="single"/>
    </w:rPr>
  </w:style>
  <w:style w:type="numbering" w:customStyle="1" w:styleId="Style1">
    <w:name w:val="Style1"/>
    <w:uiPriority w:val="99"/>
    <w:rsid w:val="00D35F11"/>
    <w:pPr>
      <w:numPr>
        <w:numId w:val="8"/>
      </w:numPr>
    </w:pPr>
  </w:style>
  <w:style w:type="numbering" w:customStyle="1" w:styleId="Style2">
    <w:name w:val="Style2"/>
    <w:uiPriority w:val="99"/>
    <w:rsid w:val="00D35F11"/>
    <w:pPr>
      <w:numPr>
        <w:numId w:val="9"/>
      </w:numPr>
    </w:pPr>
  </w:style>
  <w:style w:type="character" w:styleId="PlaceholderText">
    <w:name w:val="Placeholder Text"/>
    <w:basedOn w:val="DefaultParagraphFont"/>
    <w:uiPriority w:val="99"/>
    <w:semiHidden/>
    <w:rsid w:val="00F236D9"/>
    <w:rPr>
      <w:color w:val="808080"/>
    </w:rPr>
  </w:style>
  <w:style w:type="character" w:customStyle="1" w:styleId="Heading3Char">
    <w:name w:val="Heading 3 Char"/>
    <w:basedOn w:val="DefaultParagraphFont"/>
    <w:link w:val="Heading3"/>
    <w:uiPriority w:val="9"/>
    <w:semiHidden/>
    <w:rsid w:val="0035054A"/>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A10BB1"/>
    <w:rPr>
      <w:i/>
      <w:iCs/>
    </w:rPr>
  </w:style>
  <w:style w:type="character" w:styleId="Strong">
    <w:name w:val="Strong"/>
    <w:basedOn w:val="DefaultParagraphFont"/>
    <w:uiPriority w:val="22"/>
    <w:qFormat/>
    <w:rsid w:val="00AA0DDE"/>
    <w:rPr>
      <w:b/>
      <w:bCs/>
    </w:rPr>
  </w:style>
  <w:style w:type="paragraph" w:styleId="NormalWeb">
    <w:name w:val="Normal (Web)"/>
    <w:basedOn w:val="Normal"/>
    <w:uiPriority w:val="99"/>
    <w:semiHidden/>
    <w:unhideWhenUsed/>
    <w:rsid w:val="007826BE"/>
    <w:pPr>
      <w:spacing w:before="100" w:beforeAutospacing="1" w:after="100" w:afterAutospacing="1"/>
    </w:pPr>
  </w:style>
  <w:style w:type="paragraph" w:styleId="DocumentMap">
    <w:name w:val="Document Map"/>
    <w:basedOn w:val="Normal"/>
    <w:link w:val="DocumentMapChar"/>
    <w:uiPriority w:val="99"/>
    <w:semiHidden/>
    <w:unhideWhenUsed/>
    <w:rsid w:val="00B26F9E"/>
  </w:style>
  <w:style w:type="character" w:customStyle="1" w:styleId="DocumentMapChar">
    <w:name w:val="Document Map Char"/>
    <w:basedOn w:val="DefaultParagraphFont"/>
    <w:link w:val="DocumentMap"/>
    <w:uiPriority w:val="99"/>
    <w:semiHidden/>
    <w:rsid w:val="00B26F9E"/>
    <w:rPr>
      <w:rFonts w:ascii="Times New Roman" w:hAnsi="Times New Roman" w:cs="Times New Roman"/>
    </w:rPr>
  </w:style>
  <w:style w:type="character" w:styleId="FollowedHyperlink">
    <w:name w:val="FollowedHyperlink"/>
    <w:basedOn w:val="DefaultParagraphFont"/>
    <w:uiPriority w:val="99"/>
    <w:semiHidden/>
    <w:unhideWhenUsed/>
    <w:rsid w:val="00147534"/>
    <w:rPr>
      <w:color w:val="954F72" w:themeColor="followedHyperlink"/>
      <w:u w:val="single"/>
    </w:rPr>
  </w:style>
  <w:style w:type="character" w:customStyle="1" w:styleId="Heading2Char">
    <w:name w:val="Heading 2 Char"/>
    <w:basedOn w:val="DefaultParagraphFont"/>
    <w:link w:val="Heading2"/>
    <w:uiPriority w:val="9"/>
    <w:rsid w:val="00E0538F"/>
    <w:rPr>
      <w:rFonts w:asciiTheme="majorBidi" w:hAnsiTheme="majorBidi" w:cstheme="majorBidi"/>
      <w:b/>
      <w:bCs/>
      <w:i/>
      <w:iCs/>
      <w:u w:val="single"/>
    </w:rPr>
  </w:style>
  <w:style w:type="paragraph" w:styleId="Header">
    <w:name w:val="header"/>
    <w:basedOn w:val="Normal"/>
    <w:link w:val="HeaderChar"/>
    <w:rsid w:val="00FF2C7F"/>
    <w:pPr>
      <w:tabs>
        <w:tab w:val="center" w:pos="4153"/>
        <w:tab w:val="right" w:pos="8306"/>
      </w:tabs>
      <w:bidi/>
    </w:pPr>
    <w:rPr>
      <w:rFonts w:eastAsia="Times New Roman" w:cs="David"/>
      <w:noProof/>
    </w:rPr>
  </w:style>
  <w:style w:type="character" w:customStyle="1" w:styleId="HeaderChar">
    <w:name w:val="Header Char"/>
    <w:basedOn w:val="DefaultParagraphFont"/>
    <w:link w:val="Header"/>
    <w:rsid w:val="00FF2C7F"/>
    <w:rPr>
      <w:rFonts w:ascii="Times New Roman" w:eastAsia="Times New Roman" w:hAnsi="Times New Roman" w:cs="David"/>
      <w:noProof/>
    </w:rPr>
  </w:style>
  <w:style w:type="character" w:customStyle="1" w:styleId="text">
    <w:name w:val="text"/>
    <w:basedOn w:val="DefaultParagraphFont"/>
    <w:rsid w:val="00EB0A51"/>
  </w:style>
  <w:style w:type="paragraph" w:styleId="Footer">
    <w:name w:val="footer"/>
    <w:basedOn w:val="Normal"/>
    <w:link w:val="FooterChar"/>
    <w:uiPriority w:val="99"/>
    <w:unhideWhenUsed/>
    <w:rsid w:val="00DD0146"/>
    <w:pPr>
      <w:tabs>
        <w:tab w:val="center" w:pos="4680"/>
        <w:tab w:val="right" w:pos="9360"/>
      </w:tabs>
    </w:pPr>
  </w:style>
  <w:style w:type="character" w:customStyle="1" w:styleId="FooterChar">
    <w:name w:val="Footer Char"/>
    <w:basedOn w:val="DefaultParagraphFont"/>
    <w:link w:val="Footer"/>
    <w:uiPriority w:val="99"/>
    <w:rsid w:val="00DD0146"/>
    <w:rPr>
      <w:rFonts w:ascii="Times New Roman" w:hAnsi="Times New Roman" w:cs="Times New Roman"/>
    </w:rPr>
  </w:style>
  <w:style w:type="character" w:styleId="PageNumber">
    <w:name w:val="page number"/>
    <w:basedOn w:val="DefaultParagraphFont"/>
    <w:uiPriority w:val="99"/>
    <w:semiHidden/>
    <w:unhideWhenUsed/>
    <w:rsid w:val="00DD0146"/>
  </w:style>
  <w:style w:type="paragraph" w:customStyle="1" w:styleId="Heading21">
    <w:name w:val="Heading 21"/>
    <w:basedOn w:val="Normal"/>
    <w:qFormat/>
    <w:rsid w:val="00E0538F"/>
    <w:pPr>
      <w:jc w:val="both"/>
    </w:pPr>
    <w:rPr>
      <w:rFonts w:asciiTheme="majorBidi" w:hAnsiTheme="majorBid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3081">
      <w:bodyDiv w:val="1"/>
      <w:marLeft w:val="0"/>
      <w:marRight w:val="0"/>
      <w:marTop w:val="0"/>
      <w:marBottom w:val="0"/>
      <w:divBdr>
        <w:top w:val="none" w:sz="0" w:space="0" w:color="auto"/>
        <w:left w:val="none" w:sz="0" w:space="0" w:color="auto"/>
        <w:bottom w:val="none" w:sz="0" w:space="0" w:color="auto"/>
        <w:right w:val="none" w:sz="0" w:space="0" w:color="auto"/>
      </w:divBdr>
    </w:div>
    <w:div w:id="14233848">
      <w:bodyDiv w:val="1"/>
      <w:marLeft w:val="0"/>
      <w:marRight w:val="0"/>
      <w:marTop w:val="0"/>
      <w:marBottom w:val="0"/>
      <w:divBdr>
        <w:top w:val="none" w:sz="0" w:space="0" w:color="auto"/>
        <w:left w:val="none" w:sz="0" w:space="0" w:color="auto"/>
        <w:bottom w:val="none" w:sz="0" w:space="0" w:color="auto"/>
        <w:right w:val="none" w:sz="0" w:space="0" w:color="auto"/>
      </w:divBdr>
    </w:div>
    <w:div w:id="55976367">
      <w:bodyDiv w:val="1"/>
      <w:marLeft w:val="0"/>
      <w:marRight w:val="0"/>
      <w:marTop w:val="0"/>
      <w:marBottom w:val="0"/>
      <w:divBdr>
        <w:top w:val="none" w:sz="0" w:space="0" w:color="auto"/>
        <w:left w:val="none" w:sz="0" w:space="0" w:color="auto"/>
        <w:bottom w:val="none" w:sz="0" w:space="0" w:color="auto"/>
        <w:right w:val="none" w:sz="0" w:space="0" w:color="auto"/>
      </w:divBdr>
    </w:div>
    <w:div w:id="59135175">
      <w:bodyDiv w:val="1"/>
      <w:marLeft w:val="0"/>
      <w:marRight w:val="0"/>
      <w:marTop w:val="0"/>
      <w:marBottom w:val="0"/>
      <w:divBdr>
        <w:top w:val="none" w:sz="0" w:space="0" w:color="auto"/>
        <w:left w:val="none" w:sz="0" w:space="0" w:color="auto"/>
        <w:bottom w:val="none" w:sz="0" w:space="0" w:color="auto"/>
        <w:right w:val="none" w:sz="0" w:space="0" w:color="auto"/>
      </w:divBdr>
    </w:div>
    <w:div w:id="103043866">
      <w:bodyDiv w:val="1"/>
      <w:marLeft w:val="0"/>
      <w:marRight w:val="0"/>
      <w:marTop w:val="0"/>
      <w:marBottom w:val="0"/>
      <w:divBdr>
        <w:top w:val="none" w:sz="0" w:space="0" w:color="auto"/>
        <w:left w:val="none" w:sz="0" w:space="0" w:color="auto"/>
        <w:bottom w:val="none" w:sz="0" w:space="0" w:color="auto"/>
        <w:right w:val="none" w:sz="0" w:space="0" w:color="auto"/>
      </w:divBdr>
    </w:div>
    <w:div w:id="171342510">
      <w:bodyDiv w:val="1"/>
      <w:marLeft w:val="0"/>
      <w:marRight w:val="0"/>
      <w:marTop w:val="0"/>
      <w:marBottom w:val="0"/>
      <w:divBdr>
        <w:top w:val="none" w:sz="0" w:space="0" w:color="auto"/>
        <w:left w:val="none" w:sz="0" w:space="0" w:color="auto"/>
        <w:bottom w:val="none" w:sz="0" w:space="0" w:color="auto"/>
        <w:right w:val="none" w:sz="0" w:space="0" w:color="auto"/>
      </w:divBdr>
    </w:div>
    <w:div w:id="208146793">
      <w:bodyDiv w:val="1"/>
      <w:marLeft w:val="0"/>
      <w:marRight w:val="0"/>
      <w:marTop w:val="0"/>
      <w:marBottom w:val="0"/>
      <w:divBdr>
        <w:top w:val="none" w:sz="0" w:space="0" w:color="auto"/>
        <w:left w:val="none" w:sz="0" w:space="0" w:color="auto"/>
        <w:bottom w:val="none" w:sz="0" w:space="0" w:color="auto"/>
        <w:right w:val="none" w:sz="0" w:space="0" w:color="auto"/>
      </w:divBdr>
    </w:div>
    <w:div w:id="213584184">
      <w:bodyDiv w:val="1"/>
      <w:marLeft w:val="0"/>
      <w:marRight w:val="0"/>
      <w:marTop w:val="0"/>
      <w:marBottom w:val="0"/>
      <w:divBdr>
        <w:top w:val="none" w:sz="0" w:space="0" w:color="auto"/>
        <w:left w:val="none" w:sz="0" w:space="0" w:color="auto"/>
        <w:bottom w:val="none" w:sz="0" w:space="0" w:color="auto"/>
        <w:right w:val="none" w:sz="0" w:space="0" w:color="auto"/>
      </w:divBdr>
    </w:div>
    <w:div w:id="228614766">
      <w:bodyDiv w:val="1"/>
      <w:marLeft w:val="0"/>
      <w:marRight w:val="0"/>
      <w:marTop w:val="0"/>
      <w:marBottom w:val="0"/>
      <w:divBdr>
        <w:top w:val="none" w:sz="0" w:space="0" w:color="auto"/>
        <w:left w:val="none" w:sz="0" w:space="0" w:color="auto"/>
        <w:bottom w:val="none" w:sz="0" w:space="0" w:color="auto"/>
        <w:right w:val="none" w:sz="0" w:space="0" w:color="auto"/>
      </w:divBdr>
    </w:div>
    <w:div w:id="250624189">
      <w:bodyDiv w:val="1"/>
      <w:marLeft w:val="0"/>
      <w:marRight w:val="0"/>
      <w:marTop w:val="0"/>
      <w:marBottom w:val="0"/>
      <w:divBdr>
        <w:top w:val="none" w:sz="0" w:space="0" w:color="auto"/>
        <w:left w:val="none" w:sz="0" w:space="0" w:color="auto"/>
        <w:bottom w:val="none" w:sz="0" w:space="0" w:color="auto"/>
        <w:right w:val="none" w:sz="0" w:space="0" w:color="auto"/>
      </w:divBdr>
    </w:div>
    <w:div w:id="269777571">
      <w:bodyDiv w:val="1"/>
      <w:marLeft w:val="0"/>
      <w:marRight w:val="0"/>
      <w:marTop w:val="0"/>
      <w:marBottom w:val="0"/>
      <w:divBdr>
        <w:top w:val="none" w:sz="0" w:space="0" w:color="auto"/>
        <w:left w:val="none" w:sz="0" w:space="0" w:color="auto"/>
        <w:bottom w:val="none" w:sz="0" w:space="0" w:color="auto"/>
        <w:right w:val="none" w:sz="0" w:space="0" w:color="auto"/>
      </w:divBdr>
    </w:div>
    <w:div w:id="301275544">
      <w:bodyDiv w:val="1"/>
      <w:marLeft w:val="0"/>
      <w:marRight w:val="0"/>
      <w:marTop w:val="0"/>
      <w:marBottom w:val="0"/>
      <w:divBdr>
        <w:top w:val="none" w:sz="0" w:space="0" w:color="auto"/>
        <w:left w:val="none" w:sz="0" w:space="0" w:color="auto"/>
        <w:bottom w:val="none" w:sz="0" w:space="0" w:color="auto"/>
        <w:right w:val="none" w:sz="0" w:space="0" w:color="auto"/>
      </w:divBdr>
    </w:div>
    <w:div w:id="359476093">
      <w:bodyDiv w:val="1"/>
      <w:marLeft w:val="0"/>
      <w:marRight w:val="0"/>
      <w:marTop w:val="0"/>
      <w:marBottom w:val="0"/>
      <w:divBdr>
        <w:top w:val="none" w:sz="0" w:space="0" w:color="auto"/>
        <w:left w:val="none" w:sz="0" w:space="0" w:color="auto"/>
        <w:bottom w:val="none" w:sz="0" w:space="0" w:color="auto"/>
        <w:right w:val="none" w:sz="0" w:space="0" w:color="auto"/>
      </w:divBdr>
    </w:div>
    <w:div w:id="428277999">
      <w:bodyDiv w:val="1"/>
      <w:marLeft w:val="0"/>
      <w:marRight w:val="0"/>
      <w:marTop w:val="0"/>
      <w:marBottom w:val="0"/>
      <w:divBdr>
        <w:top w:val="none" w:sz="0" w:space="0" w:color="auto"/>
        <w:left w:val="none" w:sz="0" w:space="0" w:color="auto"/>
        <w:bottom w:val="none" w:sz="0" w:space="0" w:color="auto"/>
        <w:right w:val="none" w:sz="0" w:space="0" w:color="auto"/>
      </w:divBdr>
    </w:div>
    <w:div w:id="437410429">
      <w:bodyDiv w:val="1"/>
      <w:marLeft w:val="0"/>
      <w:marRight w:val="0"/>
      <w:marTop w:val="0"/>
      <w:marBottom w:val="0"/>
      <w:divBdr>
        <w:top w:val="none" w:sz="0" w:space="0" w:color="auto"/>
        <w:left w:val="none" w:sz="0" w:space="0" w:color="auto"/>
        <w:bottom w:val="none" w:sz="0" w:space="0" w:color="auto"/>
        <w:right w:val="none" w:sz="0" w:space="0" w:color="auto"/>
      </w:divBdr>
    </w:div>
    <w:div w:id="442576864">
      <w:bodyDiv w:val="1"/>
      <w:marLeft w:val="0"/>
      <w:marRight w:val="0"/>
      <w:marTop w:val="0"/>
      <w:marBottom w:val="0"/>
      <w:divBdr>
        <w:top w:val="none" w:sz="0" w:space="0" w:color="auto"/>
        <w:left w:val="none" w:sz="0" w:space="0" w:color="auto"/>
        <w:bottom w:val="none" w:sz="0" w:space="0" w:color="auto"/>
        <w:right w:val="none" w:sz="0" w:space="0" w:color="auto"/>
      </w:divBdr>
    </w:div>
    <w:div w:id="509291856">
      <w:bodyDiv w:val="1"/>
      <w:marLeft w:val="0"/>
      <w:marRight w:val="0"/>
      <w:marTop w:val="0"/>
      <w:marBottom w:val="0"/>
      <w:divBdr>
        <w:top w:val="none" w:sz="0" w:space="0" w:color="auto"/>
        <w:left w:val="none" w:sz="0" w:space="0" w:color="auto"/>
        <w:bottom w:val="none" w:sz="0" w:space="0" w:color="auto"/>
        <w:right w:val="none" w:sz="0" w:space="0" w:color="auto"/>
      </w:divBdr>
    </w:div>
    <w:div w:id="517741324">
      <w:bodyDiv w:val="1"/>
      <w:marLeft w:val="0"/>
      <w:marRight w:val="0"/>
      <w:marTop w:val="0"/>
      <w:marBottom w:val="0"/>
      <w:divBdr>
        <w:top w:val="none" w:sz="0" w:space="0" w:color="auto"/>
        <w:left w:val="none" w:sz="0" w:space="0" w:color="auto"/>
        <w:bottom w:val="none" w:sz="0" w:space="0" w:color="auto"/>
        <w:right w:val="none" w:sz="0" w:space="0" w:color="auto"/>
      </w:divBdr>
    </w:div>
    <w:div w:id="552499836">
      <w:bodyDiv w:val="1"/>
      <w:marLeft w:val="0"/>
      <w:marRight w:val="0"/>
      <w:marTop w:val="0"/>
      <w:marBottom w:val="0"/>
      <w:divBdr>
        <w:top w:val="none" w:sz="0" w:space="0" w:color="auto"/>
        <w:left w:val="none" w:sz="0" w:space="0" w:color="auto"/>
        <w:bottom w:val="none" w:sz="0" w:space="0" w:color="auto"/>
        <w:right w:val="none" w:sz="0" w:space="0" w:color="auto"/>
      </w:divBdr>
    </w:div>
    <w:div w:id="682367219">
      <w:bodyDiv w:val="1"/>
      <w:marLeft w:val="0"/>
      <w:marRight w:val="0"/>
      <w:marTop w:val="0"/>
      <w:marBottom w:val="0"/>
      <w:divBdr>
        <w:top w:val="none" w:sz="0" w:space="0" w:color="auto"/>
        <w:left w:val="none" w:sz="0" w:space="0" w:color="auto"/>
        <w:bottom w:val="none" w:sz="0" w:space="0" w:color="auto"/>
        <w:right w:val="none" w:sz="0" w:space="0" w:color="auto"/>
      </w:divBdr>
    </w:div>
    <w:div w:id="725957683">
      <w:bodyDiv w:val="1"/>
      <w:marLeft w:val="0"/>
      <w:marRight w:val="0"/>
      <w:marTop w:val="0"/>
      <w:marBottom w:val="0"/>
      <w:divBdr>
        <w:top w:val="none" w:sz="0" w:space="0" w:color="auto"/>
        <w:left w:val="none" w:sz="0" w:space="0" w:color="auto"/>
        <w:bottom w:val="none" w:sz="0" w:space="0" w:color="auto"/>
        <w:right w:val="none" w:sz="0" w:space="0" w:color="auto"/>
      </w:divBdr>
    </w:div>
    <w:div w:id="854225702">
      <w:bodyDiv w:val="1"/>
      <w:marLeft w:val="0"/>
      <w:marRight w:val="0"/>
      <w:marTop w:val="0"/>
      <w:marBottom w:val="0"/>
      <w:divBdr>
        <w:top w:val="none" w:sz="0" w:space="0" w:color="auto"/>
        <w:left w:val="none" w:sz="0" w:space="0" w:color="auto"/>
        <w:bottom w:val="none" w:sz="0" w:space="0" w:color="auto"/>
        <w:right w:val="none" w:sz="0" w:space="0" w:color="auto"/>
      </w:divBdr>
    </w:div>
    <w:div w:id="934165992">
      <w:bodyDiv w:val="1"/>
      <w:marLeft w:val="0"/>
      <w:marRight w:val="0"/>
      <w:marTop w:val="0"/>
      <w:marBottom w:val="0"/>
      <w:divBdr>
        <w:top w:val="none" w:sz="0" w:space="0" w:color="auto"/>
        <w:left w:val="none" w:sz="0" w:space="0" w:color="auto"/>
        <w:bottom w:val="none" w:sz="0" w:space="0" w:color="auto"/>
        <w:right w:val="none" w:sz="0" w:space="0" w:color="auto"/>
      </w:divBdr>
    </w:div>
    <w:div w:id="963077809">
      <w:bodyDiv w:val="1"/>
      <w:marLeft w:val="0"/>
      <w:marRight w:val="0"/>
      <w:marTop w:val="0"/>
      <w:marBottom w:val="0"/>
      <w:divBdr>
        <w:top w:val="none" w:sz="0" w:space="0" w:color="auto"/>
        <w:left w:val="none" w:sz="0" w:space="0" w:color="auto"/>
        <w:bottom w:val="none" w:sz="0" w:space="0" w:color="auto"/>
        <w:right w:val="none" w:sz="0" w:space="0" w:color="auto"/>
      </w:divBdr>
    </w:div>
    <w:div w:id="1000698648">
      <w:bodyDiv w:val="1"/>
      <w:marLeft w:val="0"/>
      <w:marRight w:val="0"/>
      <w:marTop w:val="0"/>
      <w:marBottom w:val="0"/>
      <w:divBdr>
        <w:top w:val="none" w:sz="0" w:space="0" w:color="auto"/>
        <w:left w:val="none" w:sz="0" w:space="0" w:color="auto"/>
        <w:bottom w:val="none" w:sz="0" w:space="0" w:color="auto"/>
        <w:right w:val="none" w:sz="0" w:space="0" w:color="auto"/>
      </w:divBdr>
    </w:div>
    <w:div w:id="1008484802">
      <w:bodyDiv w:val="1"/>
      <w:marLeft w:val="0"/>
      <w:marRight w:val="0"/>
      <w:marTop w:val="0"/>
      <w:marBottom w:val="0"/>
      <w:divBdr>
        <w:top w:val="none" w:sz="0" w:space="0" w:color="auto"/>
        <w:left w:val="none" w:sz="0" w:space="0" w:color="auto"/>
        <w:bottom w:val="none" w:sz="0" w:space="0" w:color="auto"/>
        <w:right w:val="none" w:sz="0" w:space="0" w:color="auto"/>
      </w:divBdr>
    </w:div>
    <w:div w:id="1044406227">
      <w:bodyDiv w:val="1"/>
      <w:marLeft w:val="0"/>
      <w:marRight w:val="0"/>
      <w:marTop w:val="0"/>
      <w:marBottom w:val="0"/>
      <w:divBdr>
        <w:top w:val="none" w:sz="0" w:space="0" w:color="auto"/>
        <w:left w:val="none" w:sz="0" w:space="0" w:color="auto"/>
        <w:bottom w:val="none" w:sz="0" w:space="0" w:color="auto"/>
        <w:right w:val="none" w:sz="0" w:space="0" w:color="auto"/>
      </w:divBdr>
    </w:div>
    <w:div w:id="1063675034">
      <w:bodyDiv w:val="1"/>
      <w:marLeft w:val="0"/>
      <w:marRight w:val="0"/>
      <w:marTop w:val="0"/>
      <w:marBottom w:val="0"/>
      <w:divBdr>
        <w:top w:val="none" w:sz="0" w:space="0" w:color="auto"/>
        <w:left w:val="none" w:sz="0" w:space="0" w:color="auto"/>
        <w:bottom w:val="none" w:sz="0" w:space="0" w:color="auto"/>
        <w:right w:val="none" w:sz="0" w:space="0" w:color="auto"/>
      </w:divBdr>
    </w:div>
    <w:div w:id="1076363367">
      <w:bodyDiv w:val="1"/>
      <w:marLeft w:val="0"/>
      <w:marRight w:val="0"/>
      <w:marTop w:val="0"/>
      <w:marBottom w:val="0"/>
      <w:divBdr>
        <w:top w:val="none" w:sz="0" w:space="0" w:color="auto"/>
        <w:left w:val="none" w:sz="0" w:space="0" w:color="auto"/>
        <w:bottom w:val="none" w:sz="0" w:space="0" w:color="auto"/>
        <w:right w:val="none" w:sz="0" w:space="0" w:color="auto"/>
      </w:divBdr>
    </w:div>
    <w:div w:id="1111776073">
      <w:bodyDiv w:val="1"/>
      <w:marLeft w:val="0"/>
      <w:marRight w:val="0"/>
      <w:marTop w:val="0"/>
      <w:marBottom w:val="0"/>
      <w:divBdr>
        <w:top w:val="none" w:sz="0" w:space="0" w:color="auto"/>
        <w:left w:val="none" w:sz="0" w:space="0" w:color="auto"/>
        <w:bottom w:val="none" w:sz="0" w:space="0" w:color="auto"/>
        <w:right w:val="none" w:sz="0" w:space="0" w:color="auto"/>
      </w:divBdr>
    </w:div>
    <w:div w:id="1121336661">
      <w:bodyDiv w:val="1"/>
      <w:marLeft w:val="0"/>
      <w:marRight w:val="0"/>
      <w:marTop w:val="0"/>
      <w:marBottom w:val="0"/>
      <w:divBdr>
        <w:top w:val="none" w:sz="0" w:space="0" w:color="auto"/>
        <w:left w:val="none" w:sz="0" w:space="0" w:color="auto"/>
        <w:bottom w:val="none" w:sz="0" w:space="0" w:color="auto"/>
        <w:right w:val="none" w:sz="0" w:space="0" w:color="auto"/>
      </w:divBdr>
    </w:div>
    <w:div w:id="1151871291">
      <w:bodyDiv w:val="1"/>
      <w:marLeft w:val="0"/>
      <w:marRight w:val="0"/>
      <w:marTop w:val="0"/>
      <w:marBottom w:val="0"/>
      <w:divBdr>
        <w:top w:val="none" w:sz="0" w:space="0" w:color="auto"/>
        <w:left w:val="none" w:sz="0" w:space="0" w:color="auto"/>
        <w:bottom w:val="none" w:sz="0" w:space="0" w:color="auto"/>
        <w:right w:val="none" w:sz="0" w:space="0" w:color="auto"/>
      </w:divBdr>
    </w:div>
    <w:div w:id="1168596835">
      <w:bodyDiv w:val="1"/>
      <w:marLeft w:val="0"/>
      <w:marRight w:val="0"/>
      <w:marTop w:val="0"/>
      <w:marBottom w:val="0"/>
      <w:divBdr>
        <w:top w:val="none" w:sz="0" w:space="0" w:color="auto"/>
        <w:left w:val="none" w:sz="0" w:space="0" w:color="auto"/>
        <w:bottom w:val="none" w:sz="0" w:space="0" w:color="auto"/>
        <w:right w:val="none" w:sz="0" w:space="0" w:color="auto"/>
      </w:divBdr>
    </w:div>
    <w:div w:id="1172719603">
      <w:bodyDiv w:val="1"/>
      <w:marLeft w:val="0"/>
      <w:marRight w:val="0"/>
      <w:marTop w:val="0"/>
      <w:marBottom w:val="0"/>
      <w:divBdr>
        <w:top w:val="none" w:sz="0" w:space="0" w:color="auto"/>
        <w:left w:val="none" w:sz="0" w:space="0" w:color="auto"/>
        <w:bottom w:val="none" w:sz="0" w:space="0" w:color="auto"/>
        <w:right w:val="none" w:sz="0" w:space="0" w:color="auto"/>
      </w:divBdr>
    </w:div>
    <w:div w:id="1172836556">
      <w:bodyDiv w:val="1"/>
      <w:marLeft w:val="0"/>
      <w:marRight w:val="0"/>
      <w:marTop w:val="0"/>
      <w:marBottom w:val="0"/>
      <w:divBdr>
        <w:top w:val="none" w:sz="0" w:space="0" w:color="auto"/>
        <w:left w:val="none" w:sz="0" w:space="0" w:color="auto"/>
        <w:bottom w:val="none" w:sz="0" w:space="0" w:color="auto"/>
        <w:right w:val="none" w:sz="0" w:space="0" w:color="auto"/>
      </w:divBdr>
    </w:div>
    <w:div w:id="1198002890">
      <w:bodyDiv w:val="1"/>
      <w:marLeft w:val="0"/>
      <w:marRight w:val="0"/>
      <w:marTop w:val="0"/>
      <w:marBottom w:val="0"/>
      <w:divBdr>
        <w:top w:val="none" w:sz="0" w:space="0" w:color="auto"/>
        <w:left w:val="none" w:sz="0" w:space="0" w:color="auto"/>
        <w:bottom w:val="none" w:sz="0" w:space="0" w:color="auto"/>
        <w:right w:val="none" w:sz="0" w:space="0" w:color="auto"/>
      </w:divBdr>
    </w:div>
    <w:div w:id="1208493694">
      <w:bodyDiv w:val="1"/>
      <w:marLeft w:val="0"/>
      <w:marRight w:val="0"/>
      <w:marTop w:val="0"/>
      <w:marBottom w:val="0"/>
      <w:divBdr>
        <w:top w:val="none" w:sz="0" w:space="0" w:color="auto"/>
        <w:left w:val="none" w:sz="0" w:space="0" w:color="auto"/>
        <w:bottom w:val="none" w:sz="0" w:space="0" w:color="auto"/>
        <w:right w:val="none" w:sz="0" w:space="0" w:color="auto"/>
      </w:divBdr>
    </w:div>
    <w:div w:id="1262954028">
      <w:bodyDiv w:val="1"/>
      <w:marLeft w:val="0"/>
      <w:marRight w:val="0"/>
      <w:marTop w:val="0"/>
      <w:marBottom w:val="0"/>
      <w:divBdr>
        <w:top w:val="none" w:sz="0" w:space="0" w:color="auto"/>
        <w:left w:val="none" w:sz="0" w:space="0" w:color="auto"/>
        <w:bottom w:val="none" w:sz="0" w:space="0" w:color="auto"/>
        <w:right w:val="none" w:sz="0" w:space="0" w:color="auto"/>
      </w:divBdr>
    </w:div>
    <w:div w:id="1354530625">
      <w:bodyDiv w:val="1"/>
      <w:marLeft w:val="0"/>
      <w:marRight w:val="0"/>
      <w:marTop w:val="0"/>
      <w:marBottom w:val="0"/>
      <w:divBdr>
        <w:top w:val="none" w:sz="0" w:space="0" w:color="auto"/>
        <w:left w:val="none" w:sz="0" w:space="0" w:color="auto"/>
        <w:bottom w:val="none" w:sz="0" w:space="0" w:color="auto"/>
        <w:right w:val="none" w:sz="0" w:space="0" w:color="auto"/>
      </w:divBdr>
    </w:div>
    <w:div w:id="1398354298">
      <w:bodyDiv w:val="1"/>
      <w:marLeft w:val="0"/>
      <w:marRight w:val="0"/>
      <w:marTop w:val="0"/>
      <w:marBottom w:val="0"/>
      <w:divBdr>
        <w:top w:val="none" w:sz="0" w:space="0" w:color="auto"/>
        <w:left w:val="none" w:sz="0" w:space="0" w:color="auto"/>
        <w:bottom w:val="none" w:sz="0" w:space="0" w:color="auto"/>
        <w:right w:val="none" w:sz="0" w:space="0" w:color="auto"/>
      </w:divBdr>
    </w:div>
    <w:div w:id="1401488659">
      <w:bodyDiv w:val="1"/>
      <w:marLeft w:val="0"/>
      <w:marRight w:val="0"/>
      <w:marTop w:val="0"/>
      <w:marBottom w:val="0"/>
      <w:divBdr>
        <w:top w:val="none" w:sz="0" w:space="0" w:color="auto"/>
        <w:left w:val="none" w:sz="0" w:space="0" w:color="auto"/>
        <w:bottom w:val="none" w:sz="0" w:space="0" w:color="auto"/>
        <w:right w:val="none" w:sz="0" w:space="0" w:color="auto"/>
      </w:divBdr>
    </w:div>
    <w:div w:id="1409426122">
      <w:bodyDiv w:val="1"/>
      <w:marLeft w:val="0"/>
      <w:marRight w:val="0"/>
      <w:marTop w:val="0"/>
      <w:marBottom w:val="0"/>
      <w:divBdr>
        <w:top w:val="none" w:sz="0" w:space="0" w:color="auto"/>
        <w:left w:val="none" w:sz="0" w:space="0" w:color="auto"/>
        <w:bottom w:val="none" w:sz="0" w:space="0" w:color="auto"/>
        <w:right w:val="none" w:sz="0" w:space="0" w:color="auto"/>
      </w:divBdr>
    </w:div>
    <w:div w:id="1524130583">
      <w:bodyDiv w:val="1"/>
      <w:marLeft w:val="0"/>
      <w:marRight w:val="0"/>
      <w:marTop w:val="0"/>
      <w:marBottom w:val="0"/>
      <w:divBdr>
        <w:top w:val="none" w:sz="0" w:space="0" w:color="auto"/>
        <w:left w:val="none" w:sz="0" w:space="0" w:color="auto"/>
        <w:bottom w:val="none" w:sz="0" w:space="0" w:color="auto"/>
        <w:right w:val="none" w:sz="0" w:space="0" w:color="auto"/>
      </w:divBdr>
    </w:div>
    <w:div w:id="1525905111">
      <w:bodyDiv w:val="1"/>
      <w:marLeft w:val="0"/>
      <w:marRight w:val="0"/>
      <w:marTop w:val="0"/>
      <w:marBottom w:val="0"/>
      <w:divBdr>
        <w:top w:val="none" w:sz="0" w:space="0" w:color="auto"/>
        <w:left w:val="none" w:sz="0" w:space="0" w:color="auto"/>
        <w:bottom w:val="none" w:sz="0" w:space="0" w:color="auto"/>
        <w:right w:val="none" w:sz="0" w:space="0" w:color="auto"/>
      </w:divBdr>
    </w:div>
    <w:div w:id="1543328989">
      <w:bodyDiv w:val="1"/>
      <w:marLeft w:val="0"/>
      <w:marRight w:val="0"/>
      <w:marTop w:val="0"/>
      <w:marBottom w:val="0"/>
      <w:divBdr>
        <w:top w:val="none" w:sz="0" w:space="0" w:color="auto"/>
        <w:left w:val="none" w:sz="0" w:space="0" w:color="auto"/>
        <w:bottom w:val="none" w:sz="0" w:space="0" w:color="auto"/>
        <w:right w:val="none" w:sz="0" w:space="0" w:color="auto"/>
      </w:divBdr>
    </w:div>
    <w:div w:id="1615360716">
      <w:bodyDiv w:val="1"/>
      <w:marLeft w:val="0"/>
      <w:marRight w:val="0"/>
      <w:marTop w:val="0"/>
      <w:marBottom w:val="0"/>
      <w:divBdr>
        <w:top w:val="none" w:sz="0" w:space="0" w:color="auto"/>
        <w:left w:val="none" w:sz="0" w:space="0" w:color="auto"/>
        <w:bottom w:val="none" w:sz="0" w:space="0" w:color="auto"/>
        <w:right w:val="none" w:sz="0" w:space="0" w:color="auto"/>
      </w:divBdr>
    </w:div>
    <w:div w:id="1620912683">
      <w:bodyDiv w:val="1"/>
      <w:marLeft w:val="0"/>
      <w:marRight w:val="0"/>
      <w:marTop w:val="0"/>
      <w:marBottom w:val="0"/>
      <w:divBdr>
        <w:top w:val="none" w:sz="0" w:space="0" w:color="auto"/>
        <w:left w:val="none" w:sz="0" w:space="0" w:color="auto"/>
        <w:bottom w:val="none" w:sz="0" w:space="0" w:color="auto"/>
        <w:right w:val="none" w:sz="0" w:space="0" w:color="auto"/>
      </w:divBdr>
    </w:div>
    <w:div w:id="1721245966">
      <w:bodyDiv w:val="1"/>
      <w:marLeft w:val="0"/>
      <w:marRight w:val="0"/>
      <w:marTop w:val="0"/>
      <w:marBottom w:val="0"/>
      <w:divBdr>
        <w:top w:val="none" w:sz="0" w:space="0" w:color="auto"/>
        <w:left w:val="none" w:sz="0" w:space="0" w:color="auto"/>
        <w:bottom w:val="none" w:sz="0" w:space="0" w:color="auto"/>
        <w:right w:val="none" w:sz="0" w:space="0" w:color="auto"/>
      </w:divBdr>
    </w:div>
    <w:div w:id="1730763149">
      <w:bodyDiv w:val="1"/>
      <w:marLeft w:val="0"/>
      <w:marRight w:val="0"/>
      <w:marTop w:val="0"/>
      <w:marBottom w:val="0"/>
      <w:divBdr>
        <w:top w:val="none" w:sz="0" w:space="0" w:color="auto"/>
        <w:left w:val="none" w:sz="0" w:space="0" w:color="auto"/>
        <w:bottom w:val="none" w:sz="0" w:space="0" w:color="auto"/>
        <w:right w:val="none" w:sz="0" w:space="0" w:color="auto"/>
      </w:divBdr>
    </w:div>
    <w:div w:id="1746800985">
      <w:bodyDiv w:val="1"/>
      <w:marLeft w:val="0"/>
      <w:marRight w:val="0"/>
      <w:marTop w:val="0"/>
      <w:marBottom w:val="0"/>
      <w:divBdr>
        <w:top w:val="none" w:sz="0" w:space="0" w:color="auto"/>
        <w:left w:val="none" w:sz="0" w:space="0" w:color="auto"/>
        <w:bottom w:val="none" w:sz="0" w:space="0" w:color="auto"/>
        <w:right w:val="none" w:sz="0" w:space="0" w:color="auto"/>
      </w:divBdr>
    </w:div>
    <w:div w:id="1865090572">
      <w:bodyDiv w:val="1"/>
      <w:marLeft w:val="0"/>
      <w:marRight w:val="0"/>
      <w:marTop w:val="0"/>
      <w:marBottom w:val="0"/>
      <w:divBdr>
        <w:top w:val="none" w:sz="0" w:space="0" w:color="auto"/>
        <w:left w:val="none" w:sz="0" w:space="0" w:color="auto"/>
        <w:bottom w:val="none" w:sz="0" w:space="0" w:color="auto"/>
        <w:right w:val="none" w:sz="0" w:space="0" w:color="auto"/>
      </w:divBdr>
    </w:div>
    <w:div w:id="1972395102">
      <w:bodyDiv w:val="1"/>
      <w:marLeft w:val="0"/>
      <w:marRight w:val="0"/>
      <w:marTop w:val="0"/>
      <w:marBottom w:val="0"/>
      <w:divBdr>
        <w:top w:val="none" w:sz="0" w:space="0" w:color="auto"/>
        <w:left w:val="none" w:sz="0" w:space="0" w:color="auto"/>
        <w:bottom w:val="none" w:sz="0" w:space="0" w:color="auto"/>
        <w:right w:val="none" w:sz="0" w:space="0" w:color="auto"/>
      </w:divBdr>
    </w:div>
    <w:div w:id="1989698989">
      <w:bodyDiv w:val="1"/>
      <w:marLeft w:val="0"/>
      <w:marRight w:val="0"/>
      <w:marTop w:val="0"/>
      <w:marBottom w:val="0"/>
      <w:divBdr>
        <w:top w:val="none" w:sz="0" w:space="0" w:color="auto"/>
        <w:left w:val="none" w:sz="0" w:space="0" w:color="auto"/>
        <w:bottom w:val="none" w:sz="0" w:space="0" w:color="auto"/>
        <w:right w:val="none" w:sz="0" w:space="0" w:color="auto"/>
      </w:divBdr>
    </w:div>
    <w:div w:id="1992978000">
      <w:bodyDiv w:val="1"/>
      <w:marLeft w:val="0"/>
      <w:marRight w:val="0"/>
      <w:marTop w:val="0"/>
      <w:marBottom w:val="0"/>
      <w:divBdr>
        <w:top w:val="none" w:sz="0" w:space="0" w:color="auto"/>
        <w:left w:val="none" w:sz="0" w:space="0" w:color="auto"/>
        <w:bottom w:val="none" w:sz="0" w:space="0" w:color="auto"/>
        <w:right w:val="none" w:sz="0" w:space="0" w:color="auto"/>
      </w:divBdr>
    </w:div>
    <w:div w:id="2016226262">
      <w:bodyDiv w:val="1"/>
      <w:marLeft w:val="0"/>
      <w:marRight w:val="0"/>
      <w:marTop w:val="0"/>
      <w:marBottom w:val="0"/>
      <w:divBdr>
        <w:top w:val="none" w:sz="0" w:space="0" w:color="auto"/>
        <w:left w:val="none" w:sz="0" w:space="0" w:color="auto"/>
        <w:bottom w:val="none" w:sz="0" w:space="0" w:color="auto"/>
        <w:right w:val="none" w:sz="0" w:space="0" w:color="auto"/>
      </w:divBdr>
    </w:div>
    <w:div w:id="2027056800">
      <w:bodyDiv w:val="1"/>
      <w:marLeft w:val="0"/>
      <w:marRight w:val="0"/>
      <w:marTop w:val="0"/>
      <w:marBottom w:val="0"/>
      <w:divBdr>
        <w:top w:val="none" w:sz="0" w:space="0" w:color="auto"/>
        <w:left w:val="none" w:sz="0" w:space="0" w:color="auto"/>
        <w:bottom w:val="none" w:sz="0" w:space="0" w:color="auto"/>
        <w:right w:val="none" w:sz="0" w:space="0" w:color="auto"/>
      </w:divBdr>
    </w:div>
    <w:div w:id="21451570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topics.nytimes.com/your-money/investments/mutual-funds-and-etfs/index.html?inline=nyt-classifier" TargetMode="Externa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9" Type="http://schemas.openxmlformats.org/officeDocument/2006/relationships/hyperlink" Target="https://papers.ssrn.com/sol3/papers.cfm?abstract_id=3008331" TargetMode="External"/><Relationship Id="rId20" Type="http://schemas.openxmlformats.org/officeDocument/2006/relationships/hyperlink" Target="http://heinonline.org/HOL/AuthorProfile?action=edit&amp;search_name=Lubambo%2C%20Murilo&amp;collection=journals" TargetMode="External"/><Relationship Id="rId21" Type="http://schemas.openxmlformats.org/officeDocument/2006/relationships/hyperlink" Target="http://heinonline.org/HOL/Page?handle=hein.journals/ucljljuris4&amp;div=12&amp;start_page=135&amp;collection=journals&amp;set_as_cursor=0&amp;men_tab=srchresults" TargetMode="External"/><Relationship Id="rId22" Type="http://schemas.openxmlformats.org/officeDocument/2006/relationships/hyperlink" Target="http://econpapers.repec.org/article/eeeindorg/" TargetMode="External"/><Relationship Id="rId23" Type="http://schemas.openxmlformats.org/officeDocument/2006/relationships/hyperlink" Target="https://www.sec.gov/fast-answers/answers-form13fhtm.html" TargetMode="External"/><Relationship Id="rId24" Type="http://schemas.openxmlformats.org/officeDocument/2006/relationships/hyperlink" Target="https://www.sec.gov/fast-answers/answers-form13fhtm.html." TargetMode="External"/><Relationship Id="rId25" Type="http://schemas.openxmlformats.org/officeDocument/2006/relationships/hyperlink" Target="http://cowles.yale.edu/sites/default/files/files/pub/d20/d2046.pdf" TargetMode="External"/><Relationship Id="rId26" Type="http://schemas.openxmlformats.org/officeDocument/2006/relationships/hyperlink" Target="https://scholar.harvard.edu/files/shleifer/files/tunneling.pdf%3e)" TargetMode="External"/><Relationship Id="rId27" Type="http://schemas.openxmlformats.org/officeDocument/2006/relationships/hyperlink" Target="http://www.sciencedirect.com/science/article/pii/S0304405X98000580?via%3Dihub" TargetMode="External"/><Relationship Id="rId28" Type="http://schemas.openxmlformats.org/officeDocument/2006/relationships/hyperlink" Target="http://fmaconferences.org/Boston/ExecutiveCompensationunderCommonOwnership.pdf" TargetMode="External"/><Relationship Id="rId29" Type="http://schemas.openxmlformats.org/officeDocument/2006/relationships/hyperlink" Target="https://papers.ssrn.com/sol3/papers.cfm?abstract_id=2802332" TargetMode="External"/><Relationship Id="rId10" Type="http://schemas.openxmlformats.org/officeDocument/2006/relationships/hyperlink" Target="https://papers.ssrn.com/sol3/papers.cfm?abstract_id=2940137" TargetMode="External"/><Relationship Id="rId11" Type="http://schemas.openxmlformats.org/officeDocument/2006/relationships/hyperlink" Target="https://www.nytimes.com/2016/04/13/business/dealbook/rise-of-institutional-investors-raisesquestions-of-collusion.html" TargetMode="External"/><Relationship Id="rId12" Type="http://schemas.openxmlformats.org/officeDocument/2006/relationships/hyperlink" Target="http://www.antitrustinstitute.org/sites/default/files/mergerfinal.pdf" TargetMode="External"/><Relationship Id="rId13" Type="http://schemas.openxmlformats.org/officeDocument/2006/relationships/hyperlink" Target="https://www.gpo.gov/fdsys/pkg/FR-2011-07-19/pdf/2011-17822.pdf" TargetMode="External"/><Relationship Id="rId14" Type="http://schemas.openxmlformats.org/officeDocument/2006/relationships/hyperlink" Target="https://www.ftc.gov/sites/default/files/attachments/premerger-introductory-guides/guide1.pdf" TargetMode="External"/><Relationship Id="rId15" Type="http://schemas.openxmlformats.org/officeDocument/2006/relationships/hyperlink" Target="https://www.ftc.gov/system/files/documents/public_statements/forward-looking-nature-merger-analysis/140206mergeranalysis-dlf.pdf" TargetMode="External"/><Relationship Id="rId16" Type="http://schemas.openxmlformats.org/officeDocument/2006/relationships/hyperlink" Target="http://heinonline.org/HOL/AuthorProfile?action=edit&amp;search_name=Kovacic%2C%20William%20E.&amp;collection=journals" TargetMode="External"/><Relationship Id="rId17" Type="http://schemas.openxmlformats.org/officeDocument/2006/relationships/hyperlink" Target="http://heinonline.org/HOL/AuthorProfile?action=edit&amp;search_name=Kovacic%2C%20William%20E.&amp;collection=journals" TargetMode="External"/><Relationship Id="rId18" Type="http://schemas.openxmlformats.org/officeDocument/2006/relationships/hyperlink" Target="http://heinonline.org/HOL/Page?handle=hein.journals/lyclr9&amp;div=32&amp;start_page=97&amp;collection=journals&amp;set_as_cursor=1&amp;men_tab=srchresults" TargetMode="External"/><Relationship Id="rId19" Type="http://schemas.openxmlformats.org/officeDocument/2006/relationships/hyperlink" Target="http://heinonline.org/HOL/AuthorProfile?action=edit&amp;search_name=Lubambo%2C%20Murilo&amp;collection=journals" TargetMode="External"/><Relationship Id="rId1" Type="http://schemas.openxmlformats.org/officeDocument/2006/relationships/hyperlink" Target="https://faculty.wharton.upenn.edu/wp-content/uploads/2015/06/ChangingInstitutionPreferences_12Nov2014_CFR.pdf" TargetMode="External"/><Relationship Id="rId2" Type="http://schemas.openxmlformats.org/officeDocument/2006/relationships/hyperlink" Target="https://papers.ssrn.com/sol3/papers.cfm?abstract_id=2811221" TargetMode="External"/><Relationship Id="rId3" Type="http://schemas.openxmlformats.org/officeDocument/2006/relationships/hyperlink" Target="http://hobergphillips.usc.edu/industryconcen.htm" TargetMode="External"/><Relationship Id="rId4" Type="http://schemas.openxmlformats.org/officeDocument/2006/relationships/hyperlink" Target="https://www.economist.com/news/briefing/21695385-profits-are-too-high-america-needs-giant-dose-competition-too-much-good-thing" TargetMode="External"/><Relationship Id="rId5" Type="http://schemas.openxmlformats.org/officeDocument/2006/relationships/hyperlink" Target="https://www.economist.com/blogs/graphicdetail/2016/03/daily-chart-13" TargetMode="External"/><Relationship Id="rId6" Type="http://schemas.openxmlformats.org/officeDocument/2006/relationships/hyperlink" Target="https://www.ftc.gov/news-events/blogs/competition-matters/2015/08/investment-only-means-just" TargetMode="External"/><Relationship Id="rId7" Type="http://schemas.openxmlformats.org/officeDocument/2006/relationships/hyperlink" Target="https://www.economist.com/news/briefing/21695385-profits-are-too-high-america-needs-giant-dose-competition-too-much-good-thing" TargetMode="External"/><Relationship Id="rId8" Type="http://schemas.openxmlformats.org/officeDocument/2006/relationships/hyperlink" Target="https://papers.ssrn.com/sol3/papers.cfm?abstract_id=29226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Ein16</b:Tag>
    <b:SourceType>Book</b:SourceType>
    <b:Guid>{4586C176-91EA-1643-89D5-9CB1370FA9CB}</b:Guid>
    <b:Author>
      <b:Author>
        <b:NameList>
          <b:Person>
            <b:Last>Elhauge</b:Last>
            <b:First>Einer</b:First>
          </b:Person>
        </b:NameList>
      </b:Author>
    </b:Author>
    <b:Title>Horizontal Shareholding</b:Title>
    <b:Publisher>Harvard Law Review</b:Publisher>
    <b:Year>2016</b:Year>
    <b:Volume>129</b:Volume>
    <b:Pages>1268</b:Pages>
    <b:ShortTitle>Horizontal Shareholding</b:ShortTitle>
    <b:RefOrder>1</b:RefOrder>
  </b:Source>
  <b:Source>
    <b:Tag>Pos17</b:Tag>
    <b:SourceType>Book</b:SourceType>
    <b:Guid>{F5C0D955-D713-7A48-9291-BBADD7EEAF52}</b:Guid>
    <b:Author>
      <b:Author>
        <b:NameList>
          <b:Person>
            <b:Last>Posner</b:Last>
            <b:First>Eric</b:First>
            <b:Middle>A.</b:Middle>
          </b:Person>
          <b:Person>
            <b:Last>Scott Morton</b:Last>
            <b:First>Fiona</b:First>
          </b:Person>
          <b:Person>
            <b:Last>Weyl</b:Last>
            <b:First>E.</b:First>
            <b:Middle>Glen</b:Middle>
          </b:Person>
        </b:NameList>
      </b:Author>
    </b:Author>
    <b:Title>A Proposal to Limit the Anti-Competitive Power of Institutional Investors</b:Title>
    <b:Publisher>Antitrust Law Journal</b:Publisher>
    <b:Year>2017</b:Year>
    <b:Comments>Forthcoming</b:Comments>
    <b:ShortTitle>A Proposal to Limit</b:ShortTitle>
    <b:RefOrder>2</b:RefOrder>
  </b:Source>
  <b:Source>
    <b:Tag>Pat</b:Tag>
    <b:SourceType>Book</b:SourceType>
    <b:Guid>{EB587798-9EFA-B847-9557-E11F44E3FC63}</b:Guid>
    <b:Author>
      <b:Author>
        <b:NameList>
          <b:Person>
            <b:Last>Patel</b:Last>
            <b:First>Menesh</b:First>
            <b:Middle>S.</b:Middle>
          </b:Person>
        </b:NameList>
      </b:Author>
    </b:Author>
    <b:Title>Common Ownership, Institutional Investors, and Antitrust</b:Title>
    <b:RefOrder>3</b:RefOrder>
  </b:Source>
  <b:Source>
    <b:Tag>Dav16</b:Tag>
    <b:SourceType>Book</b:SourceType>
    <b:Guid>{EB935939-4F08-1540-9961-4649F952AEC7}</b:Guid>
    <b:Author>
      <b:Author>
        <b:NameList>
          <b:Person>
            <b:Last>Davidoff Solomon</b:Last>
            <b:First>David</b:First>
          </b:Person>
        </b:NameList>
      </b:Author>
    </b:Author>
    <b:Title>Rise of Institutional Investors Raises Questions of Collusion</b:Title>
    <b:Publisher>NY Times</b:Publisher>
    <b:Year>April 12, 2016</b:Year>
    <b:Comments>referred to in Patel, at note 8. </b:Comments>
    <b:RefOrder>4</b:RefOrder>
  </b:Source>
</b:Sources>
</file>

<file path=customXml/itemProps1.xml><?xml version="1.0" encoding="utf-8"?>
<ds:datastoreItem xmlns:ds="http://schemas.openxmlformats.org/officeDocument/2006/customXml" ds:itemID="{3F3B9E71-9DBB-E642-8B5C-E3C871106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31</Pages>
  <Words>11923</Words>
  <Characters>67963</Characters>
  <Application>Microsoft Macintosh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79727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2018-03-22T12:57:00Z</dcterms:created>
  <dcterms:modified xsi:type="dcterms:W3CDTF">2018-03-25T10:50:00Z</dcterms:modified>
</cp:coreProperties>
</file>