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2C1E" w14:textId="77777777" w:rsidR="005E1CAF" w:rsidRPr="008C4145" w:rsidRDefault="005E1CAF" w:rsidP="005E1CAF">
      <w:pPr>
        <w:rPr>
          <w:rFonts w:asciiTheme="minorHAnsi" w:hAnsiTheme="minorHAnsi" w:cstheme="minorHAnsi"/>
          <w:color w:val="000000"/>
          <w:sz w:val="26"/>
          <w:szCs w:val="26"/>
        </w:rPr>
      </w:pPr>
      <w:r w:rsidRPr="008C4145">
        <w:rPr>
          <w:rFonts w:asciiTheme="minorHAnsi" w:hAnsiTheme="minorHAnsi" w:cstheme="minorHAnsi"/>
          <w:b/>
          <w:bCs/>
          <w:i/>
          <w:iCs/>
          <w:color w:val="000000"/>
          <w:sz w:val="26"/>
          <w:szCs w:val="26"/>
        </w:rPr>
        <w:t>Taking Stock:  The Impact and Implications for the Music Industry of the Web IV, Phonorecords III, and the SDARS III Proceedings. </w:t>
      </w:r>
    </w:p>
    <w:p w14:paraId="156F5E8E" w14:textId="77777777" w:rsidR="005E1CAF" w:rsidRPr="008C4145" w:rsidRDefault="005E1CAF" w:rsidP="005E1CAF">
      <w:pPr>
        <w:rPr>
          <w:rFonts w:asciiTheme="minorHAnsi" w:eastAsia="Times New Roman" w:hAnsiTheme="minorHAnsi" w:cstheme="minorHAnsi"/>
          <w:sz w:val="26"/>
          <w:szCs w:val="26"/>
        </w:rPr>
      </w:pPr>
    </w:p>
    <w:p w14:paraId="6C8B3763" w14:textId="77777777" w:rsidR="005E1CAF" w:rsidRPr="008C4145" w:rsidRDefault="005E1CAF" w:rsidP="005C44FA">
      <w:pPr>
        <w:jc w:val="center"/>
        <w:rPr>
          <w:rFonts w:asciiTheme="minorHAnsi" w:eastAsia="Times New Roman" w:hAnsiTheme="minorHAnsi" w:cstheme="minorHAnsi"/>
          <w:b/>
          <w:sz w:val="26"/>
          <w:szCs w:val="26"/>
        </w:rPr>
      </w:pPr>
      <w:r w:rsidRPr="008C4145">
        <w:rPr>
          <w:rFonts w:asciiTheme="minorHAnsi" w:eastAsia="Times New Roman" w:hAnsiTheme="minorHAnsi" w:cstheme="minorHAnsi"/>
          <w:b/>
          <w:sz w:val="26"/>
          <w:szCs w:val="26"/>
        </w:rPr>
        <w:t>Speaker Biographies</w:t>
      </w:r>
    </w:p>
    <w:p w14:paraId="33D8CDF2" w14:textId="77777777" w:rsidR="005E1CAF" w:rsidRPr="008C4145" w:rsidRDefault="005E1CAF" w:rsidP="005C44FA">
      <w:pPr>
        <w:jc w:val="center"/>
        <w:rPr>
          <w:rFonts w:asciiTheme="minorHAnsi" w:hAnsiTheme="minorHAnsi" w:cstheme="minorHAnsi"/>
          <w:b/>
          <w:color w:val="000000"/>
          <w:sz w:val="26"/>
          <w:szCs w:val="26"/>
        </w:rPr>
      </w:pPr>
    </w:p>
    <w:p w14:paraId="1F6195DB" w14:textId="77777777" w:rsidR="005E1CAF" w:rsidRPr="008C4145" w:rsidRDefault="005E1CAF" w:rsidP="005E1CAF">
      <w:pPr>
        <w:rPr>
          <w:rFonts w:asciiTheme="minorHAnsi" w:hAnsiTheme="minorHAnsi" w:cstheme="minorHAnsi"/>
          <w:color w:val="000000"/>
          <w:sz w:val="26"/>
          <w:szCs w:val="26"/>
          <w:shd w:val="clear" w:color="auto" w:fill="FFFFFF"/>
        </w:rPr>
      </w:pPr>
      <w:r w:rsidRPr="008C4145">
        <w:rPr>
          <w:rFonts w:asciiTheme="minorHAnsi" w:hAnsiTheme="minorHAnsi" w:cstheme="minorHAnsi"/>
          <w:b/>
          <w:color w:val="000000"/>
          <w:sz w:val="26"/>
          <w:szCs w:val="26"/>
        </w:rPr>
        <w:t>Danielle Aguirre</w:t>
      </w:r>
      <w:r w:rsidRPr="008C4145">
        <w:rPr>
          <w:rFonts w:asciiTheme="minorHAnsi" w:hAnsiTheme="minorHAnsi" w:cstheme="minorHAnsi"/>
          <w:color w:val="000000"/>
          <w:sz w:val="26"/>
          <w:szCs w:val="26"/>
        </w:rPr>
        <w:t xml:space="preserve"> (</w:t>
      </w:r>
      <w:r w:rsidRPr="008C4145">
        <w:rPr>
          <w:rFonts w:asciiTheme="minorHAnsi" w:hAnsiTheme="minorHAnsi" w:cstheme="minorHAnsi"/>
          <w:color w:val="000000"/>
          <w:sz w:val="26"/>
          <w:szCs w:val="26"/>
          <w:shd w:val="clear" w:color="auto" w:fill="FFFFFF"/>
        </w:rPr>
        <w:t>EVP and General Counsel, NMPA)</w:t>
      </w:r>
    </w:p>
    <w:p w14:paraId="66FA8EDA" w14:textId="77777777" w:rsidR="003254DC" w:rsidRPr="008C4145" w:rsidRDefault="003254DC" w:rsidP="003254DC">
      <w:pPr>
        <w:ind w:firstLine="720"/>
        <w:rPr>
          <w:rFonts w:asciiTheme="minorHAnsi" w:hAnsiTheme="minorHAnsi" w:cstheme="minorHAnsi"/>
          <w:sz w:val="26"/>
          <w:szCs w:val="26"/>
        </w:rPr>
      </w:pPr>
      <w:r w:rsidRPr="008C4145">
        <w:rPr>
          <w:rFonts w:asciiTheme="minorHAnsi" w:hAnsiTheme="minorHAnsi" w:cstheme="minorHAnsi"/>
          <w:sz w:val="26"/>
          <w:szCs w:val="26"/>
        </w:rPr>
        <w:t>Danielle Malito Aguirre currently serves as Executive Vice President and General Counsel. She began serving as General Counsel and Senior Vice President, Business Affairs in 2015. During the four years prior to this position, she served as Senior Vice President for Litigation and Business Affairs. Danielle currently oversees all of NMPA’s legal, business and policy objectives.</w:t>
      </w:r>
    </w:p>
    <w:p w14:paraId="3547327D" w14:textId="77777777" w:rsidR="003254DC" w:rsidRPr="008C4145" w:rsidRDefault="003254DC" w:rsidP="003254DC">
      <w:pPr>
        <w:rPr>
          <w:rFonts w:asciiTheme="minorHAnsi" w:hAnsiTheme="minorHAnsi" w:cstheme="minorHAnsi"/>
          <w:sz w:val="26"/>
          <w:szCs w:val="26"/>
        </w:rPr>
      </w:pPr>
      <w:r w:rsidRPr="008C4145">
        <w:rPr>
          <w:rFonts w:asciiTheme="minorHAnsi" w:hAnsiTheme="minorHAnsi" w:cstheme="minorHAnsi"/>
          <w:sz w:val="26"/>
          <w:szCs w:val="26"/>
        </w:rPr>
        <w:t>Previously, as NMPA’s Senior Vice President, Aguirre managed all litigation and Copyright Royalty Board proceedings, handled business affairs, including the negotiation of model industry license agreements, and oversaw NMPA’s Anti-Piracy Program.</w:t>
      </w:r>
    </w:p>
    <w:p w14:paraId="0768B177" w14:textId="77777777" w:rsidR="003254DC" w:rsidRPr="008C4145" w:rsidRDefault="003254DC" w:rsidP="003254DC">
      <w:pPr>
        <w:ind w:firstLine="720"/>
        <w:rPr>
          <w:rFonts w:asciiTheme="minorHAnsi" w:hAnsiTheme="minorHAnsi" w:cstheme="minorHAnsi"/>
          <w:sz w:val="26"/>
          <w:szCs w:val="26"/>
        </w:rPr>
      </w:pPr>
      <w:r w:rsidRPr="008C4145">
        <w:rPr>
          <w:rFonts w:asciiTheme="minorHAnsi" w:hAnsiTheme="minorHAnsi" w:cstheme="minorHAnsi"/>
          <w:sz w:val="26"/>
          <w:szCs w:val="26"/>
        </w:rPr>
        <w:t>Prior to joining NMPA, Mrs. Aguirre was an attorney at Paul, Weiss, Rifkind, Wharton and Garrison LLP in Washington, DC, where for nine years she litigated cases on behalf of corporate clients in federal and state courts, before arbitration panels and mediators, and in proceedings before federal agencies. She received her JD from the University of Pennsylvania Law School and her BA from Georgetown University, and is a member of both the New York and District of Columbia bars.</w:t>
      </w:r>
    </w:p>
    <w:p w14:paraId="43755D22" w14:textId="77777777" w:rsidR="003254DC" w:rsidRPr="008C4145" w:rsidRDefault="003254DC" w:rsidP="005E1CAF">
      <w:pPr>
        <w:rPr>
          <w:rFonts w:asciiTheme="minorHAnsi" w:hAnsiTheme="minorHAnsi" w:cstheme="minorHAnsi"/>
          <w:color w:val="000000"/>
          <w:sz w:val="26"/>
          <w:szCs w:val="26"/>
          <w:shd w:val="clear" w:color="auto" w:fill="FFFFFF"/>
        </w:rPr>
      </w:pPr>
    </w:p>
    <w:p w14:paraId="197270B9" w14:textId="77777777" w:rsidR="005E1CAF" w:rsidRPr="008C4145" w:rsidRDefault="005E1CAF" w:rsidP="005E1CAF">
      <w:pPr>
        <w:rPr>
          <w:rFonts w:asciiTheme="minorHAnsi" w:hAnsiTheme="minorHAnsi" w:cstheme="minorHAnsi"/>
          <w:color w:val="000000"/>
          <w:sz w:val="26"/>
          <w:szCs w:val="26"/>
        </w:rPr>
      </w:pPr>
      <w:r w:rsidRPr="008C4145">
        <w:rPr>
          <w:rFonts w:asciiTheme="minorHAnsi" w:hAnsiTheme="minorHAnsi" w:cstheme="minorHAnsi"/>
          <w:b/>
          <w:color w:val="000000"/>
          <w:sz w:val="26"/>
          <w:szCs w:val="26"/>
        </w:rPr>
        <w:t>Richard Assmus</w:t>
      </w:r>
      <w:r w:rsidRPr="008C4145">
        <w:rPr>
          <w:rFonts w:asciiTheme="minorHAnsi" w:hAnsiTheme="minorHAnsi" w:cstheme="minorHAnsi"/>
          <w:color w:val="000000"/>
          <w:sz w:val="26"/>
          <w:szCs w:val="26"/>
        </w:rPr>
        <w:t xml:space="preserve"> (Partner, Mayer Brown)</w:t>
      </w:r>
    </w:p>
    <w:p w14:paraId="605AD056" w14:textId="273D94D2" w:rsidR="004267B1" w:rsidRPr="008C4145" w:rsidRDefault="004267B1" w:rsidP="009B3B49">
      <w:pPr>
        <w:ind w:firstLine="720"/>
        <w:rPr>
          <w:rFonts w:asciiTheme="minorHAnsi" w:hAnsiTheme="minorHAnsi" w:cstheme="minorHAnsi"/>
          <w:sz w:val="26"/>
          <w:szCs w:val="26"/>
        </w:rPr>
      </w:pPr>
      <w:r w:rsidRPr="008C4145">
        <w:rPr>
          <w:rFonts w:asciiTheme="minorHAnsi" w:hAnsiTheme="minorHAnsi" w:cstheme="minorHAnsi"/>
          <w:sz w:val="26"/>
          <w:szCs w:val="26"/>
        </w:rPr>
        <w:t>Richard Assmus has a balanced intellectual property litigation and transactional practice. He is also closely involved in intellectual property due diligence, patent and technology licensing, trademark prosecution and monitoring, copyright counseling, and advertising counseling.  Richard utilizes his background in science and mathematics in connection with complex patent litiga</w:t>
      </w:r>
      <w:r w:rsidR="009B3B49" w:rsidRPr="008C4145">
        <w:rPr>
          <w:rFonts w:asciiTheme="minorHAnsi" w:hAnsiTheme="minorHAnsi" w:cstheme="minorHAnsi"/>
          <w:sz w:val="26"/>
          <w:szCs w:val="26"/>
        </w:rPr>
        <w:t>tion and technology matters.</w:t>
      </w:r>
      <w:r w:rsidR="009B3B49" w:rsidRPr="008C4145">
        <w:rPr>
          <w:rFonts w:asciiTheme="minorHAnsi" w:hAnsiTheme="minorHAnsi" w:cstheme="minorHAnsi"/>
          <w:sz w:val="26"/>
          <w:szCs w:val="26"/>
        </w:rPr>
        <w:br/>
        <w:t xml:space="preserve">         </w:t>
      </w:r>
      <w:r w:rsidRPr="008C4145">
        <w:rPr>
          <w:rFonts w:asciiTheme="minorHAnsi" w:hAnsiTheme="minorHAnsi" w:cstheme="minorHAnsi"/>
          <w:sz w:val="26"/>
          <w:szCs w:val="26"/>
        </w:rPr>
        <w:t xml:space="preserve">Richard’s dispute resolution experience includes patent litigation, trademark litigation in federal courts and before the US Trademark Trial and Appeal Board, copyright litigation in federal courts and before the Copyright Royalty Board, state court trade secrets litigation, and domain name litigation under the federal </w:t>
      </w:r>
      <w:r w:rsidRPr="008C4145">
        <w:rPr>
          <w:rFonts w:asciiTheme="minorHAnsi" w:hAnsiTheme="minorHAnsi" w:cstheme="minorHAnsi"/>
          <w:sz w:val="26"/>
          <w:szCs w:val="26"/>
        </w:rPr>
        <w:lastRenderedPageBreak/>
        <w:t>anti-cybersquatting act and the UDRP. He also has significant experience advising clients regarding trademark availability; procurement and protection; trademark watch services, including Internet enforcement strategies; copyright protection, registration and enforcement; and negotiating the purchase of domain names.  There is a strong proactive emphasis in Richard’s practice, as he helps clients anticipate contractual risks, protect trade secrets through confidentiality agreements, evaluate advertisements for potential liability for false or misleading representations, and prepare effective licensing and other technology transfer agreements. </w:t>
      </w:r>
    </w:p>
    <w:p w14:paraId="3B8A6E42" w14:textId="77777777" w:rsidR="001F513A" w:rsidRPr="008C4145" w:rsidRDefault="001F513A" w:rsidP="009B3B49">
      <w:pPr>
        <w:ind w:firstLine="720"/>
        <w:rPr>
          <w:rFonts w:asciiTheme="minorHAnsi" w:hAnsiTheme="minorHAnsi" w:cstheme="minorHAnsi"/>
          <w:sz w:val="26"/>
          <w:szCs w:val="26"/>
        </w:rPr>
      </w:pPr>
    </w:p>
    <w:p w14:paraId="55E4DBCC" w14:textId="77777777" w:rsidR="001F513A" w:rsidRPr="008C4145" w:rsidRDefault="001F513A" w:rsidP="001F513A">
      <w:pPr>
        <w:rPr>
          <w:rFonts w:asciiTheme="minorHAnsi" w:eastAsia="Times New Roman" w:hAnsiTheme="minorHAnsi" w:cstheme="minorHAnsi"/>
          <w:sz w:val="26"/>
          <w:szCs w:val="26"/>
        </w:rPr>
      </w:pPr>
      <w:r w:rsidRPr="008C4145">
        <w:rPr>
          <w:rFonts w:asciiTheme="minorHAnsi" w:hAnsiTheme="minorHAnsi" w:cstheme="minorHAnsi"/>
          <w:b/>
          <w:color w:val="000000" w:themeColor="text1"/>
          <w:sz w:val="26"/>
          <w:szCs w:val="26"/>
        </w:rPr>
        <w:t>Gregory Barnes</w:t>
      </w:r>
      <w:r w:rsidRPr="008C4145">
        <w:rPr>
          <w:rFonts w:asciiTheme="minorHAnsi" w:hAnsiTheme="minorHAnsi" w:cstheme="minorHAnsi"/>
          <w:color w:val="000000" w:themeColor="text1"/>
          <w:sz w:val="26"/>
          <w:szCs w:val="26"/>
        </w:rPr>
        <w:t xml:space="preserve"> (</w:t>
      </w:r>
      <w:r w:rsidRPr="008C4145">
        <w:rPr>
          <w:rFonts w:asciiTheme="minorHAnsi" w:eastAsia="Times New Roman" w:hAnsiTheme="minorHAnsi" w:cstheme="minorHAnsi"/>
          <w:sz w:val="26"/>
          <w:szCs w:val="26"/>
        </w:rPr>
        <w:t>General Counsel, VP Gov’t Affairs, Digital Media Association (DiMA))</w:t>
      </w:r>
    </w:p>
    <w:p w14:paraId="0FC0C4E2" w14:textId="39444F40" w:rsidR="00997580" w:rsidRPr="008C4145" w:rsidRDefault="001F513A" w:rsidP="001F513A">
      <w:pPr>
        <w:rPr>
          <w:rFonts w:asciiTheme="minorHAnsi" w:hAnsiTheme="minorHAnsi" w:cstheme="minorHAnsi"/>
          <w:sz w:val="26"/>
          <w:szCs w:val="26"/>
        </w:rPr>
      </w:pPr>
      <w:r w:rsidRPr="008C4145">
        <w:rPr>
          <w:rFonts w:asciiTheme="minorHAnsi" w:eastAsia="Times New Roman" w:hAnsiTheme="minorHAnsi" w:cstheme="minorHAnsi"/>
          <w:sz w:val="26"/>
          <w:szCs w:val="26"/>
        </w:rPr>
        <w:tab/>
      </w:r>
      <w:r w:rsidRPr="008C4145">
        <w:rPr>
          <w:rFonts w:asciiTheme="minorHAnsi" w:hAnsiTheme="minorHAnsi" w:cstheme="minorHAnsi"/>
          <w:sz w:val="26"/>
          <w:szCs w:val="26"/>
        </w:rPr>
        <w:t>Greg Barnes is a licensed attorney with more than a decade of experience working on media and technology related issues for DiMA.  He serves on the prestigious National Film Preservation Board and has published numerous articles on the topic of intellectual property.  Prior to joining DiMA, Greg was Counsel to the U.S. House Committee on the Judiciary</w:t>
      </w:r>
    </w:p>
    <w:p w14:paraId="38CD5BB7" w14:textId="77777777" w:rsidR="001F513A" w:rsidRPr="008C4145" w:rsidRDefault="001F513A" w:rsidP="001F513A">
      <w:pPr>
        <w:rPr>
          <w:rFonts w:asciiTheme="minorHAnsi" w:hAnsiTheme="minorHAnsi" w:cstheme="minorHAnsi"/>
          <w:color w:val="000000"/>
          <w:sz w:val="26"/>
          <w:szCs w:val="26"/>
        </w:rPr>
      </w:pPr>
    </w:p>
    <w:p w14:paraId="636FDF71" w14:textId="77777777" w:rsidR="005E1CAF" w:rsidRPr="008C4145" w:rsidRDefault="005E1CAF" w:rsidP="005E1CAF">
      <w:pPr>
        <w:rPr>
          <w:rFonts w:asciiTheme="minorHAnsi" w:hAnsiTheme="minorHAnsi" w:cstheme="minorHAnsi"/>
          <w:color w:val="000000" w:themeColor="text1"/>
          <w:sz w:val="26"/>
          <w:szCs w:val="26"/>
        </w:rPr>
      </w:pPr>
      <w:r w:rsidRPr="008C4145">
        <w:rPr>
          <w:rFonts w:asciiTheme="minorHAnsi" w:hAnsiTheme="minorHAnsi" w:cstheme="minorHAnsi"/>
          <w:b/>
          <w:color w:val="000000" w:themeColor="text1"/>
          <w:sz w:val="26"/>
          <w:szCs w:val="26"/>
        </w:rPr>
        <w:t>Tom Frederikse</w:t>
      </w:r>
      <w:r w:rsidRPr="008C4145">
        <w:rPr>
          <w:rFonts w:asciiTheme="minorHAnsi" w:hAnsiTheme="minorHAnsi" w:cstheme="minorHAnsi"/>
          <w:color w:val="000000" w:themeColor="text1"/>
          <w:sz w:val="26"/>
          <w:szCs w:val="26"/>
        </w:rPr>
        <w:t xml:space="preserve"> (Partner, Digital Media &amp; Interactive Content Practice, Clintons (UK))</w:t>
      </w:r>
    </w:p>
    <w:p w14:paraId="56647B76" w14:textId="6E4B1A3D" w:rsidR="008B41E8" w:rsidRPr="008C4145" w:rsidRDefault="008B41E8" w:rsidP="004267B1">
      <w:pPr>
        <w:ind w:firstLine="720"/>
        <w:rPr>
          <w:rFonts w:asciiTheme="minorHAnsi" w:eastAsia="Times New Roman" w:hAnsiTheme="minorHAnsi" w:cstheme="minorHAnsi"/>
          <w:color w:val="000000" w:themeColor="text1"/>
          <w:sz w:val="26"/>
          <w:szCs w:val="26"/>
          <w:shd w:val="clear" w:color="auto" w:fill="FFFFFF"/>
        </w:rPr>
      </w:pPr>
      <w:r w:rsidRPr="008C4145">
        <w:rPr>
          <w:rFonts w:asciiTheme="minorHAnsi" w:eastAsia="Times New Roman" w:hAnsiTheme="minorHAnsi" w:cstheme="minorHAnsi"/>
          <w:color w:val="000000" w:themeColor="text1"/>
          <w:sz w:val="26"/>
          <w:szCs w:val="26"/>
          <w:shd w:val="clear" w:color="auto" w:fill="FFFFFF"/>
        </w:rPr>
        <w:t xml:space="preserve">Tom </w:t>
      </w:r>
      <w:r w:rsidR="0007328E" w:rsidRPr="008C4145">
        <w:rPr>
          <w:rFonts w:asciiTheme="minorHAnsi" w:eastAsia="Times New Roman" w:hAnsiTheme="minorHAnsi" w:cstheme="minorHAnsi"/>
          <w:color w:val="000000" w:themeColor="text1"/>
          <w:sz w:val="26"/>
          <w:szCs w:val="26"/>
          <w:shd w:val="clear" w:color="auto" w:fill="FFFFFF"/>
        </w:rPr>
        <w:t>specializes</w:t>
      </w:r>
      <w:r w:rsidRPr="008C4145">
        <w:rPr>
          <w:rFonts w:asciiTheme="minorHAnsi" w:eastAsia="Times New Roman" w:hAnsiTheme="minorHAnsi" w:cstheme="minorHAnsi"/>
          <w:color w:val="000000" w:themeColor="text1"/>
          <w:sz w:val="26"/>
          <w:szCs w:val="26"/>
          <w:shd w:val="clear" w:color="auto" w:fill="FFFFFF"/>
        </w:rPr>
        <w:t xml:space="preserve"> in Digital Media and technology-related issues, working with the Commercial/Corporate, Music and Brands Groups. With extensive practical experience in media and technology, he works on a wide range of commercial and media matters and regularly deals with IP issues including copyright, trademarks, digital rights management and data protection. His clients include tech start-ups, digital content retailers and aggregators, IT and software service providers, music and entertainment companies, advertising agencies and individual creators. Tom spent 15 years as a music producer/engineer, amassing a large discography, before training at Bird &amp; Bird and then joining Clintons in 2005. He was born and raised in the US, is dual-qualified to practice in the UK and the US, and lives and works primarily in London.</w:t>
      </w:r>
    </w:p>
    <w:p w14:paraId="1BC3FD74" w14:textId="77777777" w:rsidR="00256A1D" w:rsidRPr="008C4145" w:rsidRDefault="00256A1D" w:rsidP="004267B1">
      <w:pPr>
        <w:ind w:firstLine="720"/>
        <w:rPr>
          <w:rFonts w:asciiTheme="minorHAnsi" w:eastAsia="Times New Roman" w:hAnsiTheme="minorHAnsi" w:cstheme="minorHAnsi"/>
          <w:color w:val="000000" w:themeColor="text1"/>
          <w:sz w:val="26"/>
          <w:szCs w:val="26"/>
        </w:rPr>
      </w:pPr>
    </w:p>
    <w:p w14:paraId="2A9077DF" w14:textId="653BFD62" w:rsidR="008B41E8" w:rsidRPr="008C4145" w:rsidRDefault="00256A1D" w:rsidP="005E1CAF">
      <w:pPr>
        <w:rPr>
          <w:rFonts w:asciiTheme="minorHAnsi" w:hAnsiTheme="minorHAnsi" w:cstheme="minorHAnsi"/>
          <w:color w:val="000000"/>
          <w:sz w:val="26"/>
          <w:szCs w:val="26"/>
        </w:rPr>
      </w:pPr>
      <w:r w:rsidRPr="008C4145">
        <w:rPr>
          <w:rFonts w:asciiTheme="minorHAnsi" w:hAnsiTheme="minorHAnsi" w:cstheme="minorHAnsi"/>
          <w:b/>
          <w:color w:val="000000"/>
          <w:sz w:val="26"/>
          <w:szCs w:val="26"/>
        </w:rPr>
        <w:t>Laurence Freed</w:t>
      </w:r>
      <w:r w:rsidRPr="008C4145">
        <w:rPr>
          <w:rFonts w:asciiTheme="minorHAnsi" w:hAnsiTheme="minorHAnsi" w:cstheme="minorHAnsi"/>
          <w:color w:val="000000"/>
          <w:sz w:val="26"/>
          <w:szCs w:val="26"/>
        </w:rPr>
        <w:t xml:space="preserve"> (Senior Consultant, The Brattle Group)</w:t>
      </w:r>
    </w:p>
    <w:p w14:paraId="44019F46" w14:textId="45C5ED26" w:rsidR="00FE76B6" w:rsidRPr="008C4145" w:rsidRDefault="00FE76B6" w:rsidP="00FE76B6">
      <w:pPr>
        <w:ind w:firstLine="720"/>
        <w:rPr>
          <w:rFonts w:asciiTheme="minorHAnsi" w:eastAsia="Times New Roman" w:hAnsiTheme="minorHAnsi" w:cstheme="minorHAnsi"/>
          <w:sz w:val="26"/>
          <w:szCs w:val="26"/>
        </w:rPr>
      </w:pPr>
      <w:r w:rsidRPr="008C4145">
        <w:rPr>
          <w:rFonts w:asciiTheme="minorHAnsi" w:eastAsia="Times New Roman" w:hAnsiTheme="minorHAnsi" w:cstheme="minorHAnsi"/>
          <w:color w:val="000000"/>
          <w:sz w:val="26"/>
          <w:szCs w:val="26"/>
        </w:rPr>
        <w:lastRenderedPageBreak/>
        <w:t>Mr. Freed has an extensive background in financial services and has provided consulting and expert services in the areas of financial products and markets, valuation and risk management, and media finance.  In media finance, he has managed the financial operations of a film finance company, negotiated film slate financings, and consulted on the operating models of film distribution companies, international sales agents, and commercial &amp; TV production companies.  Mr. Freed was one of the managers of Brattle's economic analyses in the Phonorecords III proceeding to determine royalty rate for music works paid by interactive streaming music services.  He has been qualified in U.S. federal court and in FINRA arbitration proceedings as an expert in a number of areas of financial expertise.</w:t>
      </w:r>
    </w:p>
    <w:p w14:paraId="0D48231D" w14:textId="77777777" w:rsidR="00FE76B6" w:rsidRPr="008C4145" w:rsidRDefault="00FE76B6" w:rsidP="00FE76B6">
      <w:pPr>
        <w:rPr>
          <w:rFonts w:asciiTheme="minorHAnsi" w:eastAsia="Times New Roman" w:hAnsiTheme="minorHAnsi" w:cstheme="minorHAnsi"/>
          <w:color w:val="000000"/>
          <w:sz w:val="26"/>
          <w:szCs w:val="26"/>
        </w:rPr>
      </w:pPr>
    </w:p>
    <w:p w14:paraId="6DC1E922" w14:textId="6A9F3B35" w:rsidR="005E1CAF" w:rsidRPr="008C4145" w:rsidRDefault="005E1CAF" w:rsidP="00FE76B6">
      <w:pPr>
        <w:rPr>
          <w:rFonts w:asciiTheme="minorHAnsi" w:hAnsiTheme="minorHAnsi" w:cstheme="minorHAnsi"/>
          <w:sz w:val="26"/>
          <w:szCs w:val="26"/>
        </w:rPr>
      </w:pPr>
      <w:r w:rsidRPr="008C4145">
        <w:rPr>
          <w:rFonts w:asciiTheme="minorHAnsi" w:hAnsiTheme="minorHAnsi" w:cstheme="minorHAnsi"/>
          <w:b/>
          <w:color w:val="000000"/>
          <w:sz w:val="26"/>
          <w:szCs w:val="26"/>
        </w:rPr>
        <w:t xml:space="preserve">David Handzo </w:t>
      </w:r>
      <w:r w:rsidRPr="008C4145">
        <w:rPr>
          <w:rFonts w:asciiTheme="minorHAnsi" w:hAnsiTheme="minorHAnsi" w:cstheme="minorHAnsi"/>
          <w:color w:val="000000"/>
          <w:sz w:val="26"/>
          <w:szCs w:val="26"/>
        </w:rPr>
        <w:t>(Partner, Jenner &amp; Block)</w:t>
      </w:r>
    </w:p>
    <w:p w14:paraId="203188B8" w14:textId="4B3C29C0" w:rsidR="008B41E8" w:rsidRPr="008C4145" w:rsidRDefault="008B41E8" w:rsidP="00BC24B1">
      <w:pPr>
        <w:ind w:firstLine="720"/>
        <w:rPr>
          <w:rFonts w:asciiTheme="minorHAnsi" w:hAnsiTheme="minorHAnsi" w:cstheme="minorHAnsi"/>
          <w:color w:val="000000"/>
          <w:sz w:val="26"/>
          <w:szCs w:val="26"/>
        </w:rPr>
      </w:pPr>
      <w:r w:rsidRPr="008C4145">
        <w:rPr>
          <w:rFonts w:asciiTheme="minorHAnsi" w:hAnsiTheme="minorHAnsi" w:cstheme="minorHAnsi"/>
          <w:color w:val="000000"/>
          <w:sz w:val="26"/>
          <w:szCs w:val="26"/>
        </w:rPr>
        <w:t>David A. Handzo is a partner in the D.C. office of Jenner &amp; Block LLP.  He is a Fellow of the American College of Trial Lawyers, and has served as lead counsel in dozens of jury and bench trials in state courts, federal district courts, bankruptcy courts, the Court of Federal Claims, the Court of International Trade, and before the United States Copyright Royalty Judges. He has particular experience in class actions and complex commercial disputes representing companies in the content, media, entertainment, and hospitality industries.</w:t>
      </w:r>
    </w:p>
    <w:p w14:paraId="1EAE68BB" w14:textId="54608622" w:rsidR="008B41E8" w:rsidRPr="008C4145" w:rsidRDefault="008B41E8" w:rsidP="008B41E8">
      <w:pPr>
        <w:ind w:firstLine="720"/>
        <w:rPr>
          <w:rFonts w:asciiTheme="minorHAnsi" w:hAnsiTheme="minorHAnsi" w:cstheme="minorHAnsi"/>
          <w:color w:val="000000"/>
          <w:sz w:val="26"/>
          <w:szCs w:val="26"/>
        </w:rPr>
      </w:pPr>
      <w:r w:rsidRPr="008C4145">
        <w:rPr>
          <w:rFonts w:asciiTheme="minorHAnsi" w:hAnsiTheme="minorHAnsi" w:cstheme="minorHAnsi"/>
          <w:color w:val="000000"/>
          <w:sz w:val="26"/>
          <w:szCs w:val="26"/>
        </w:rPr>
        <w:t>Mr. Handzo has represented SoundExchange in five trials before the Copyright Royalty Judges, including, most recently, the SDARS III trial.  He has also represented SoundExchange in litigation in federal district courts and in the D.C. Circuit.</w:t>
      </w:r>
    </w:p>
    <w:p w14:paraId="3A1A04F0" w14:textId="16069CE6" w:rsidR="008B41E8" w:rsidRPr="008C4145" w:rsidRDefault="008B41E8" w:rsidP="008B41E8">
      <w:pPr>
        <w:ind w:firstLine="720"/>
        <w:rPr>
          <w:rFonts w:asciiTheme="minorHAnsi" w:hAnsiTheme="minorHAnsi" w:cstheme="minorHAnsi"/>
          <w:color w:val="000000"/>
          <w:sz w:val="26"/>
          <w:szCs w:val="26"/>
        </w:rPr>
      </w:pPr>
      <w:r w:rsidRPr="008C4145">
        <w:rPr>
          <w:rFonts w:asciiTheme="minorHAnsi" w:hAnsiTheme="minorHAnsi" w:cstheme="minorHAnsi"/>
          <w:color w:val="000000"/>
          <w:sz w:val="26"/>
          <w:szCs w:val="26"/>
        </w:rPr>
        <w:t>Mr. Handzo has been recognized by Washington DC Super Lawyers for multiple years in the area of Business Litigation.  He is AV Peer Review Rated, Martindale-Hubbell’s highest peer recognition for ethical standards and legal ability.  In 2013, he was listed by BTI Consulting as one of its “Client Service All Stars,” an unsolicited award based on client feedback on a combination of unusual legal talent and business acumen.  Mr. Handzo also maintains a substantial pro bono practice, regularly representing indigent defendants in serious felony cases.</w:t>
      </w:r>
    </w:p>
    <w:p w14:paraId="22F4FBAE" w14:textId="77777777" w:rsidR="005C6EEE" w:rsidRPr="008C4145" w:rsidRDefault="005C6EEE" w:rsidP="00CA4196">
      <w:pPr>
        <w:rPr>
          <w:rFonts w:asciiTheme="minorHAnsi" w:eastAsia="Times New Roman" w:hAnsiTheme="minorHAnsi" w:cstheme="minorHAnsi"/>
          <w:sz w:val="26"/>
          <w:szCs w:val="26"/>
          <w:shd w:val="clear" w:color="auto" w:fill="FFFFFF"/>
        </w:rPr>
      </w:pPr>
    </w:p>
    <w:p w14:paraId="2B680785" w14:textId="557408F2" w:rsidR="005C6EEE" w:rsidRPr="008C4145" w:rsidRDefault="005C6EEE" w:rsidP="005C6EEE">
      <w:pPr>
        <w:jc w:val="both"/>
        <w:rPr>
          <w:rFonts w:asciiTheme="minorHAnsi" w:eastAsia="Times New Roman" w:hAnsiTheme="minorHAnsi" w:cstheme="minorHAnsi"/>
          <w:b/>
          <w:sz w:val="26"/>
          <w:szCs w:val="26"/>
          <w:shd w:val="clear" w:color="auto" w:fill="FFFFFF"/>
        </w:rPr>
      </w:pPr>
      <w:r w:rsidRPr="008C4145">
        <w:rPr>
          <w:rFonts w:asciiTheme="minorHAnsi" w:eastAsia="Times New Roman" w:hAnsiTheme="minorHAnsi" w:cstheme="minorHAnsi"/>
          <w:b/>
          <w:sz w:val="26"/>
          <w:szCs w:val="26"/>
          <w:shd w:val="clear" w:color="auto" w:fill="FFFFFF"/>
        </w:rPr>
        <w:lastRenderedPageBreak/>
        <w:t>Steven Herscovici (The Brattle Group)</w:t>
      </w:r>
    </w:p>
    <w:p w14:paraId="1B95ED5C" w14:textId="77777777" w:rsidR="005C6EEE" w:rsidRPr="008C4145" w:rsidRDefault="005C6EEE" w:rsidP="005C6EEE">
      <w:pPr>
        <w:ind w:firstLine="720"/>
        <w:rPr>
          <w:rFonts w:asciiTheme="minorHAnsi" w:hAnsiTheme="minorHAnsi" w:cstheme="minorHAnsi"/>
          <w:color w:val="000000" w:themeColor="text1"/>
          <w:sz w:val="26"/>
          <w:szCs w:val="26"/>
        </w:rPr>
      </w:pPr>
      <w:r w:rsidRPr="008C4145">
        <w:rPr>
          <w:rFonts w:asciiTheme="minorHAnsi" w:hAnsiTheme="minorHAnsi" w:cstheme="minorHAnsi"/>
          <w:color w:val="000000" w:themeColor="text1"/>
          <w:sz w:val="26"/>
          <w:szCs w:val="26"/>
        </w:rPr>
        <w:t xml:space="preserve">Steven Herscovici, a Principal with The Brattle Group in Boston, specializes in the application of economics, finance, and data analysis to litigation and other complex business </w:t>
      </w:r>
      <w:r w:rsidRPr="008C4145">
        <w:rPr>
          <w:rFonts w:asciiTheme="minorHAnsi" w:eastAsia="Times New Roman" w:hAnsiTheme="minorHAnsi" w:cstheme="minorHAnsi"/>
          <w:color w:val="000000" w:themeColor="text1"/>
          <w:sz w:val="26"/>
          <w:szCs w:val="26"/>
          <w:shd w:val="clear" w:color="auto" w:fill="FFFFFF"/>
        </w:rPr>
        <w:t>issues</w:t>
      </w:r>
      <w:r w:rsidRPr="008C4145">
        <w:rPr>
          <w:rFonts w:asciiTheme="minorHAnsi" w:hAnsiTheme="minorHAnsi" w:cstheme="minorHAnsi"/>
          <w:color w:val="000000" w:themeColor="text1"/>
          <w:sz w:val="26"/>
          <w:szCs w:val="26"/>
        </w:rPr>
        <w:t>.  He has extensive experience managing large, high-profile economic consulting projects, many involving multiple expert witnesses.  Outside of litigation, Dr. Herscovici has presented economic analyses to corporate boards and executives, and to federal and state agencies such as the Departments of Justice and Treasury, Federal Trade Commission, Securities and Exchange Commission, and state Attorneys General.</w:t>
      </w:r>
    </w:p>
    <w:p w14:paraId="61BF9C6A" w14:textId="77777777" w:rsidR="005C6EEE" w:rsidRPr="008C4145" w:rsidRDefault="005C6EEE" w:rsidP="005C6EEE">
      <w:pPr>
        <w:ind w:firstLine="720"/>
        <w:rPr>
          <w:rFonts w:asciiTheme="minorHAnsi" w:hAnsiTheme="minorHAnsi" w:cstheme="minorHAnsi"/>
          <w:color w:val="000000" w:themeColor="text1"/>
          <w:sz w:val="26"/>
          <w:szCs w:val="26"/>
        </w:rPr>
      </w:pPr>
      <w:r w:rsidRPr="008C4145">
        <w:rPr>
          <w:rFonts w:asciiTheme="minorHAnsi" w:hAnsiTheme="minorHAnsi" w:cstheme="minorHAnsi"/>
          <w:color w:val="000000" w:themeColor="text1"/>
          <w:sz w:val="26"/>
          <w:szCs w:val="26"/>
        </w:rPr>
        <w:t xml:space="preserve">Dr. Herscovici has significant experience working on matters involving the music industry.  He has provided economic analyses and supported academic and industry experts in numerous music licensing and copyright infringement cases.  He has been involved in proceedings to determine appropriate license fees in front of the Copyright Royalty Board involving satellite radio, internet radio, and streaming music services, </w:t>
      </w:r>
      <w:r w:rsidRPr="008C4145">
        <w:rPr>
          <w:rFonts w:asciiTheme="minorHAnsi" w:hAnsiTheme="minorHAnsi" w:cstheme="minorHAnsi"/>
          <w:color w:val="000000"/>
          <w:sz w:val="26"/>
          <w:szCs w:val="26"/>
        </w:rPr>
        <w:t>as</w:t>
      </w:r>
      <w:r w:rsidRPr="008C4145">
        <w:rPr>
          <w:rFonts w:asciiTheme="minorHAnsi" w:hAnsiTheme="minorHAnsi" w:cstheme="minorHAnsi"/>
          <w:color w:val="000000" w:themeColor="text1"/>
          <w:sz w:val="26"/>
          <w:szCs w:val="26"/>
        </w:rPr>
        <w:t xml:space="preserve"> well as in Rate Court and arbitration proceedings.  He has also consulted to record companies, music publishers, performing rights organizations, and industry associations.  </w:t>
      </w:r>
    </w:p>
    <w:p w14:paraId="0EE07EFA" w14:textId="77777777" w:rsidR="005C6EEE" w:rsidRPr="008C4145" w:rsidRDefault="005C6EEE" w:rsidP="005C6EEE">
      <w:pPr>
        <w:ind w:firstLine="720"/>
        <w:rPr>
          <w:rFonts w:asciiTheme="minorHAnsi" w:hAnsiTheme="minorHAnsi" w:cstheme="minorHAnsi"/>
          <w:color w:val="000000" w:themeColor="text1"/>
          <w:sz w:val="26"/>
          <w:szCs w:val="26"/>
        </w:rPr>
      </w:pPr>
      <w:r w:rsidRPr="008C4145">
        <w:rPr>
          <w:rFonts w:asciiTheme="minorHAnsi" w:hAnsiTheme="minorHAnsi" w:cstheme="minorHAnsi"/>
          <w:color w:val="000000" w:themeColor="text1"/>
          <w:sz w:val="26"/>
          <w:szCs w:val="26"/>
        </w:rPr>
        <w:t xml:space="preserve">On matters of public policy, Dr. Herscovici was a coauthor of the report commissioned by the Office of the Governor for the Commonwealth of Massachusetts to evaluate </w:t>
      </w:r>
      <w:r w:rsidRPr="008C4145">
        <w:rPr>
          <w:rFonts w:asciiTheme="minorHAnsi" w:hAnsiTheme="minorHAnsi" w:cstheme="minorHAnsi"/>
          <w:color w:val="000000"/>
          <w:sz w:val="26"/>
          <w:szCs w:val="26"/>
        </w:rPr>
        <w:t>the</w:t>
      </w:r>
      <w:r w:rsidRPr="008C4145">
        <w:rPr>
          <w:rFonts w:asciiTheme="minorHAnsi" w:hAnsiTheme="minorHAnsi" w:cstheme="minorHAnsi"/>
          <w:color w:val="000000" w:themeColor="text1"/>
          <w:sz w:val="26"/>
          <w:szCs w:val="26"/>
        </w:rPr>
        <w:t xml:space="preserve"> Boston 2024 bid for the 2024 Summer Olympic Games.  He also has coauthored amicus briefs with other academic and consulting economists on antitrust issues involving the pharmaceutical industry.  </w:t>
      </w:r>
    </w:p>
    <w:p w14:paraId="3829184C" w14:textId="77777777" w:rsidR="005C6EEE" w:rsidRPr="008C4145" w:rsidRDefault="005C6EEE" w:rsidP="00CB15A2">
      <w:pPr>
        <w:ind w:firstLine="720"/>
        <w:rPr>
          <w:rFonts w:asciiTheme="minorHAnsi" w:eastAsia="Times New Roman" w:hAnsiTheme="minorHAnsi" w:cstheme="minorHAnsi"/>
          <w:sz w:val="26"/>
          <w:szCs w:val="26"/>
        </w:rPr>
      </w:pPr>
    </w:p>
    <w:p w14:paraId="538AADB0" w14:textId="77777777" w:rsidR="005E1CAF" w:rsidRPr="008C4145" w:rsidRDefault="005E1CAF" w:rsidP="005E1CAF">
      <w:pPr>
        <w:rPr>
          <w:rFonts w:asciiTheme="minorHAnsi" w:hAnsiTheme="minorHAnsi" w:cstheme="minorHAnsi"/>
          <w:color w:val="000000"/>
          <w:sz w:val="26"/>
          <w:szCs w:val="26"/>
        </w:rPr>
      </w:pPr>
      <w:r w:rsidRPr="008C4145">
        <w:rPr>
          <w:rFonts w:asciiTheme="minorHAnsi" w:hAnsiTheme="minorHAnsi" w:cstheme="minorHAnsi"/>
          <w:b/>
          <w:color w:val="000000"/>
          <w:sz w:val="26"/>
          <w:szCs w:val="26"/>
        </w:rPr>
        <w:t>David Jacoby</w:t>
      </w:r>
      <w:r w:rsidRPr="008C4145">
        <w:rPr>
          <w:rFonts w:asciiTheme="minorHAnsi" w:hAnsiTheme="minorHAnsi" w:cstheme="minorHAnsi"/>
          <w:color w:val="000000"/>
          <w:sz w:val="26"/>
          <w:szCs w:val="26"/>
        </w:rPr>
        <w:t xml:space="preserve"> (Senior Vice-President, Business &amp; Legal Affairs, Sony Music)</w:t>
      </w:r>
    </w:p>
    <w:p w14:paraId="1703B87E" w14:textId="7E4E60A7" w:rsidR="007C0938" w:rsidRPr="008C4145" w:rsidRDefault="007C0938" w:rsidP="005E1CAF">
      <w:pPr>
        <w:rPr>
          <w:rFonts w:asciiTheme="minorHAnsi" w:hAnsiTheme="minorHAnsi" w:cstheme="minorHAnsi"/>
          <w:color w:val="000000"/>
          <w:sz w:val="26"/>
          <w:szCs w:val="26"/>
        </w:rPr>
      </w:pPr>
      <w:r w:rsidRPr="008C4145">
        <w:rPr>
          <w:rFonts w:asciiTheme="minorHAnsi" w:hAnsiTheme="minorHAnsi" w:cstheme="minorHAnsi"/>
          <w:color w:val="000000"/>
          <w:sz w:val="26"/>
          <w:szCs w:val="26"/>
        </w:rPr>
        <w:tab/>
        <w:t xml:space="preserve">David Jacoby has been Senior Vice-President, Business &amp; Legal Affairs, at Sony Music since January 2015.  Before that he was a Senior Counsel (four years) and then Vice President (eight years) of that group for twelve years.  Before joining SONY Music, David was an </w:t>
      </w:r>
      <w:r w:rsidR="0007328E" w:rsidRPr="008C4145">
        <w:rPr>
          <w:rFonts w:asciiTheme="minorHAnsi" w:hAnsiTheme="minorHAnsi" w:cstheme="minorHAnsi"/>
          <w:color w:val="000000"/>
          <w:sz w:val="26"/>
          <w:szCs w:val="26"/>
        </w:rPr>
        <w:t>associate</w:t>
      </w:r>
      <w:r w:rsidRPr="008C4145">
        <w:rPr>
          <w:rFonts w:asciiTheme="minorHAnsi" w:hAnsiTheme="minorHAnsi" w:cstheme="minorHAnsi"/>
          <w:color w:val="000000"/>
          <w:sz w:val="26"/>
          <w:szCs w:val="26"/>
        </w:rPr>
        <w:t xml:space="preserve"> at Patterson </w:t>
      </w:r>
      <w:r w:rsidR="0007328E" w:rsidRPr="008C4145">
        <w:rPr>
          <w:rFonts w:asciiTheme="minorHAnsi" w:hAnsiTheme="minorHAnsi" w:cstheme="minorHAnsi"/>
          <w:color w:val="000000"/>
          <w:sz w:val="26"/>
          <w:szCs w:val="26"/>
        </w:rPr>
        <w:t>Belknap</w:t>
      </w:r>
      <w:r w:rsidRPr="008C4145">
        <w:rPr>
          <w:rFonts w:asciiTheme="minorHAnsi" w:hAnsiTheme="minorHAnsi" w:cstheme="minorHAnsi"/>
          <w:color w:val="000000"/>
          <w:sz w:val="26"/>
          <w:szCs w:val="26"/>
        </w:rPr>
        <w:t xml:space="preserve"> Weber &amp; Tyler for five years.  He </w:t>
      </w:r>
      <w:r w:rsidR="0007328E" w:rsidRPr="008C4145">
        <w:rPr>
          <w:rFonts w:asciiTheme="minorHAnsi" w:hAnsiTheme="minorHAnsi" w:cstheme="minorHAnsi"/>
          <w:color w:val="000000"/>
          <w:sz w:val="26"/>
          <w:szCs w:val="26"/>
        </w:rPr>
        <w:t>received</w:t>
      </w:r>
      <w:r w:rsidRPr="008C4145">
        <w:rPr>
          <w:rFonts w:asciiTheme="minorHAnsi" w:hAnsiTheme="minorHAnsi" w:cstheme="minorHAnsi"/>
          <w:color w:val="000000"/>
          <w:sz w:val="26"/>
          <w:szCs w:val="26"/>
        </w:rPr>
        <w:t xml:space="preserve"> his JD from the </w:t>
      </w:r>
      <w:r w:rsidR="0007328E" w:rsidRPr="008C4145">
        <w:rPr>
          <w:rFonts w:asciiTheme="minorHAnsi" w:hAnsiTheme="minorHAnsi" w:cstheme="minorHAnsi"/>
          <w:color w:val="000000"/>
          <w:sz w:val="26"/>
          <w:szCs w:val="26"/>
        </w:rPr>
        <w:t>University</w:t>
      </w:r>
      <w:r w:rsidRPr="008C4145">
        <w:rPr>
          <w:rFonts w:asciiTheme="minorHAnsi" w:hAnsiTheme="minorHAnsi" w:cstheme="minorHAnsi"/>
          <w:color w:val="000000"/>
          <w:sz w:val="26"/>
          <w:szCs w:val="26"/>
        </w:rPr>
        <w:t xml:space="preserve"> of </w:t>
      </w:r>
      <w:r w:rsidR="0007328E" w:rsidRPr="008C4145">
        <w:rPr>
          <w:rFonts w:asciiTheme="minorHAnsi" w:hAnsiTheme="minorHAnsi" w:cstheme="minorHAnsi"/>
          <w:color w:val="000000"/>
          <w:sz w:val="26"/>
          <w:szCs w:val="26"/>
        </w:rPr>
        <w:t>Pennsylvania</w:t>
      </w:r>
      <w:r w:rsidRPr="008C4145">
        <w:rPr>
          <w:rFonts w:asciiTheme="minorHAnsi" w:hAnsiTheme="minorHAnsi" w:cstheme="minorHAnsi"/>
          <w:color w:val="000000"/>
          <w:sz w:val="26"/>
          <w:szCs w:val="26"/>
        </w:rPr>
        <w:t xml:space="preserve"> Law School.</w:t>
      </w:r>
    </w:p>
    <w:p w14:paraId="0A3617A7" w14:textId="77777777" w:rsidR="005E1CAF" w:rsidRPr="008C4145" w:rsidRDefault="005E1CAF" w:rsidP="005E1CAF">
      <w:pPr>
        <w:rPr>
          <w:rFonts w:asciiTheme="minorHAnsi" w:hAnsiTheme="minorHAnsi" w:cstheme="minorHAnsi"/>
          <w:color w:val="000000"/>
          <w:sz w:val="26"/>
          <w:szCs w:val="26"/>
        </w:rPr>
      </w:pPr>
    </w:p>
    <w:p w14:paraId="6A01C01F" w14:textId="77777777" w:rsidR="008C4145" w:rsidRDefault="008C4145" w:rsidP="005E1CAF">
      <w:pPr>
        <w:rPr>
          <w:rFonts w:asciiTheme="minorHAnsi" w:hAnsiTheme="minorHAnsi" w:cstheme="minorHAnsi"/>
          <w:b/>
          <w:color w:val="000000"/>
          <w:sz w:val="26"/>
          <w:szCs w:val="26"/>
        </w:rPr>
      </w:pPr>
    </w:p>
    <w:p w14:paraId="5836058F" w14:textId="514745B4" w:rsidR="005E1CAF" w:rsidRPr="008C4145" w:rsidRDefault="005E1CAF" w:rsidP="005E1CAF">
      <w:pPr>
        <w:rPr>
          <w:rFonts w:asciiTheme="minorHAnsi" w:hAnsiTheme="minorHAnsi" w:cstheme="minorHAnsi"/>
          <w:color w:val="000000"/>
          <w:sz w:val="26"/>
          <w:szCs w:val="26"/>
        </w:rPr>
      </w:pPr>
      <w:r w:rsidRPr="008C4145">
        <w:rPr>
          <w:rFonts w:asciiTheme="minorHAnsi" w:hAnsiTheme="minorHAnsi" w:cstheme="minorHAnsi"/>
          <w:b/>
          <w:color w:val="000000"/>
          <w:sz w:val="26"/>
          <w:szCs w:val="26"/>
        </w:rPr>
        <w:t>Benjamin Marks</w:t>
      </w:r>
      <w:r w:rsidRPr="008C4145">
        <w:rPr>
          <w:rFonts w:asciiTheme="minorHAnsi" w:hAnsiTheme="minorHAnsi" w:cstheme="minorHAnsi"/>
          <w:color w:val="000000"/>
          <w:sz w:val="26"/>
          <w:szCs w:val="26"/>
        </w:rPr>
        <w:t xml:space="preserve"> (Partner, Intellectual Property and Media Practice, Weil</w:t>
      </w:r>
      <w:r w:rsidR="00F9699F" w:rsidRPr="008C4145">
        <w:rPr>
          <w:rFonts w:asciiTheme="minorHAnsi" w:hAnsiTheme="minorHAnsi" w:cstheme="minorHAnsi"/>
          <w:color w:val="000000"/>
          <w:sz w:val="26"/>
          <w:szCs w:val="26"/>
        </w:rPr>
        <w:t xml:space="preserve"> Gotshal</w:t>
      </w:r>
      <w:r w:rsidRPr="008C4145">
        <w:rPr>
          <w:rFonts w:asciiTheme="minorHAnsi" w:hAnsiTheme="minorHAnsi" w:cstheme="minorHAnsi"/>
          <w:color w:val="000000"/>
          <w:sz w:val="26"/>
          <w:szCs w:val="26"/>
        </w:rPr>
        <w:t>)</w:t>
      </w:r>
    </w:p>
    <w:p w14:paraId="608E4DA9" w14:textId="77777777" w:rsidR="00A17813" w:rsidRPr="008C4145" w:rsidRDefault="00A17813" w:rsidP="00A17813">
      <w:pPr>
        <w:ind w:firstLine="720"/>
        <w:rPr>
          <w:rFonts w:asciiTheme="minorHAnsi" w:hAnsiTheme="minorHAnsi" w:cstheme="minorHAnsi"/>
          <w:sz w:val="26"/>
          <w:szCs w:val="26"/>
        </w:rPr>
      </w:pPr>
      <w:r w:rsidRPr="008C4145">
        <w:rPr>
          <w:rFonts w:asciiTheme="minorHAnsi" w:hAnsiTheme="minorHAnsi" w:cstheme="minorHAnsi"/>
          <w:sz w:val="26"/>
          <w:szCs w:val="26"/>
        </w:rPr>
        <w:lastRenderedPageBreak/>
        <w:t>Benjamin E. Marks is Co-Head of Weil’s Intellectual Property &amp; Media practice. His areas of concentration include copyright, trademark, misappropriation, music licensing, unfair competition, and First Amendment issues.  Mr. Marks has served as lead counsel in copyright, music licensing, misappropriation, and media law cases for clients such as Pandora Media, Getty Images, S&amp;P Global and its S&amp;P Dow Jones Indices division, the Television Music License Committee, West Publishing, Morgan Stanley, and others. For many years, he has represented the Association of American Publishers on a wide variety of matters, including those involving intellectual property, First Amendment, and antitrust issues, among others. Mr. Marks also frequently represents music users such as television stations, television networks, and web site operators in connection with the acquisition of, and litigation over, rights to publicly perform musical compositions and secondary liability for performances by others. </w:t>
      </w:r>
    </w:p>
    <w:p w14:paraId="4B3E6326" w14:textId="77777777" w:rsidR="005E1CAF" w:rsidRPr="008C4145" w:rsidRDefault="005E1CAF" w:rsidP="005E1CAF">
      <w:pPr>
        <w:rPr>
          <w:rFonts w:asciiTheme="minorHAnsi" w:hAnsiTheme="minorHAnsi" w:cstheme="minorHAnsi"/>
          <w:color w:val="000000"/>
          <w:sz w:val="26"/>
          <w:szCs w:val="26"/>
        </w:rPr>
      </w:pPr>
    </w:p>
    <w:p w14:paraId="336E7828" w14:textId="77777777" w:rsidR="005E1CAF" w:rsidRPr="008C4145" w:rsidRDefault="005E1CAF" w:rsidP="005E1CAF">
      <w:pPr>
        <w:rPr>
          <w:rFonts w:asciiTheme="minorHAnsi" w:hAnsiTheme="minorHAnsi" w:cstheme="minorHAnsi"/>
          <w:color w:val="000000"/>
          <w:sz w:val="26"/>
          <w:szCs w:val="26"/>
        </w:rPr>
      </w:pPr>
      <w:r w:rsidRPr="008C4145">
        <w:rPr>
          <w:rFonts w:asciiTheme="minorHAnsi" w:hAnsiTheme="minorHAnsi" w:cstheme="minorHAnsi"/>
          <w:b/>
          <w:color w:val="000000"/>
          <w:sz w:val="26"/>
          <w:szCs w:val="26"/>
        </w:rPr>
        <w:t>Benjamin Semel</w:t>
      </w:r>
      <w:r w:rsidRPr="008C4145">
        <w:rPr>
          <w:rFonts w:asciiTheme="minorHAnsi" w:hAnsiTheme="minorHAnsi" w:cstheme="minorHAnsi"/>
          <w:color w:val="000000"/>
          <w:sz w:val="26"/>
          <w:szCs w:val="26"/>
        </w:rPr>
        <w:t xml:space="preserve"> (Partner, Litigation Group, Pryor Cashman LLP)</w:t>
      </w:r>
    </w:p>
    <w:p w14:paraId="1668732C" w14:textId="516B1C2F" w:rsidR="009D19FD" w:rsidRPr="008C4145" w:rsidRDefault="009D19FD" w:rsidP="009D19FD">
      <w:pPr>
        <w:rPr>
          <w:rFonts w:asciiTheme="minorHAnsi" w:hAnsiTheme="minorHAnsi" w:cstheme="minorHAnsi"/>
          <w:sz w:val="26"/>
          <w:szCs w:val="26"/>
        </w:rPr>
      </w:pPr>
      <w:r w:rsidRPr="008C4145">
        <w:rPr>
          <w:rFonts w:asciiTheme="minorHAnsi" w:hAnsiTheme="minorHAnsi" w:cstheme="minorHAnsi"/>
          <w:color w:val="000000"/>
          <w:sz w:val="26"/>
          <w:szCs w:val="26"/>
        </w:rPr>
        <w:tab/>
      </w:r>
      <w:r w:rsidRPr="008C4145">
        <w:rPr>
          <w:rFonts w:asciiTheme="minorHAnsi" w:hAnsiTheme="minorHAnsi" w:cstheme="minorHAnsi"/>
          <w:sz w:val="26"/>
          <w:szCs w:val="26"/>
        </w:rPr>
        <w:t>Benjamin Semel is a member of Pryor Cashman’s Litigation Group. He handles cases in federal and state courts, as well as alternative dispute resolution (ADR) cases before numerous agencies, including the American Arbitration Association (AAA) and its international affiliate ICDR, JAMS, FINRA and others.</w:t>
      </w:r>
    </w:p>
    <w:p w14:paraId="40171AC7" w14:textId="77777777" w:rsidR="009D19FD" w:rsidRPr="008C4145" w:rsidRDefault="009D19FD" w:rsidP="009D19FD">
      <w:pPr>
        <w:rPr>
          <w:rFonts w:asciiTheme="minorHAnsi" w:hAnsiTheme="minorHAnsi" w:cstheme="minorHAnsi"/>
          <w:sz w:val="26"/>
          <w:szCs w:val="26"/>
        </w:rPr>
      </w:pPr>
      <w:r w:rsidRPr="008C4145">
        <w:rPr>
          <w:rFonts w:asciiTheme="minorHAnsi" w:hAnsiTheme="minorHAnsi" w:cstheme="minorHAnsi"/>
          <w:sz w:val="26"/>
          <w:szCs w:val="26"/>
        </w:rPr>
        <w:t>Ben’s case experience cuts through a wide variety of commercial areas. He has handled many matters involving intellectual property, including disputes over trademark and trade secret protect</w:t>
      </w:r>
      <w:bookmarkStart w:id="0" w:name="_GoBack"/>
      <w:bookmarkEnd w:id="0"/>
      <w:r w:rsidRPr="008C4145">
        <w:rPr>
          <w:rFonts w:asciiTheme="minorHAnsi" w:hAnsiTheme="minorHAnsi" w:cstheme="minorHAnsi"/>
          <w:sz w:val="26"/>
          <w:szCs w:val="26"/>
        </w:rPr>
        <w:t>ion, copyrights in film, television, music, software, literature and architectural works, and rights of publicity and privacy, as well as allegations of idea theft. He also has an active practice in technology law, managing issues for digital media and emerging technology companies. Ben rounds out his practice with matters from numerous other commercial litigation areas, ranging from real estate and employment disputes to fraud and tort claims.</w:t>
      </w:r>
    </w:p>
    <w:p w14:paraId="2E33C2D7" w14:textId="12C66AE7" w:rsidR="009D19FD" w:rsidRPr="008C4145" w:rsidRDefault="009D19FD" w:rsidP="005E1CAF">
      <w:pPr>
        <w:rPr>
          <w:rFonts w:asciiTheme="minorHAnsi" w:hAnsiTheme="minorHAnsi" w:cstheme="minorHAnsi"/>
          <w:color w:val="000000"/>
          <w:sz w:val="26"/>
          <w:szCs w:val="26"/>
        </w:rPr>
      </w:pPr>
    </w:p>
    <w:p w14:paraId="5040104A" w14:textId="77777777" w:rsidR="008C4145" w:rsidRDefault="00B9592B" w:rsidP="008C4145">
      <w:pPr>
        <w:rPr>
          <w:rFonts w:asciiTheme="minorHAnsi" w:hAnsiTheme="minorHAnsi" w:cstheme="minorHAnsi"/>
          <w:color w:val="000000"/>
          <w:sz w:val="26"/>
          <w:szCs w:val="26"/>
        </w:rPr>
      </w:pPr>
      <w:r w:rsidRPr="008C4145">
        <w:rPr>
          <w:rFonts w:asciiTheme="minorHAnsi" w:hAnsiTheme="minorHAnsi" w:cstheme="minorHAnsi"/>
          <w:b/>
          <w:color w:val="000000"/>
          <w:sz w:val="26"/>
          <w:szCs w:val="26"/>
        </w:rPr>
        <w:t xml:space="preserve">Honorable David R. Strickler </w:t>
      </w:r>
      <w:r w:rsidRPr="008C4145">
        <w:rPr>
          <w:rFonts w:asciiTheme="minorHAnsi" w:hAnsiTheme="minorHAnsi" w:cstheme="minorHAnsi"/>
          <w:color w:val="000000"/>
          <w:sz w:val="26"/>
          <w:szCs w:val="26"/>
        </w:rPr>
        <w:t>(Copyright Royalty Board)</w:t>
      </w:r>
    </w:p>
    <w:p w14:paraId="085F38F9" w14:textId="77777777" w:rsidR="008C4145" w:rsidRDefault="00B9592B" w:rsidP="008C4145">
      <w:pPr>
        <w:ind w:firstLine="720"/>
        <w:rPr>
          <w:rFonts w:asciiTheme="minorHAnsi" w:hAnsiTheme="minorHAnsi" w:cstheme="minorHAnsi"/>
          <w:color w:val="000000"/>
          <w:sz w:val="26"/>
          <w:szCs w:val="26"/>
        </w:rPr>
      </w:pPr>
      <w:r w:rsidRPr="008C4145">
        <w:rPr>
          <w:rFonts w:asciiTheme="minorHAnsi" w:hAnsiTheme="minorHAnsi" w:cstheme="minorHAnsi"/>
          <w:color w:val="000000"/>
          <w:sz w:val="26"/>
          <w:szCs w:val="26"/>
        </w:rPr>
        <w:t xml:space="preserve">On May 6, 2013, David R. Strickler was appointed by the Librarian of Congress to serve as a Copyright Royalty Judge.  He was appointed to complete a vacated term after his predecessor had retired, and Judge Strickler was subsequently reappointed to a </w:t>
      </w:r>
      <w:r w:rsidRPr="008C4145">
        <w:rPr>
          <w:rFonts w:asciiTheme="minorHAnsi" w:hAnsiTheme="minorHAnsi" w:cstheme="minorHAnsi"/>
          <w:color w:val="000000"/>
          <w:sz w:val="26"/>
          <w:szCs w:val="26"/>
        </w:rPr>
        <w:lastRenderedPageBreak/>
        <w:t xml:space="preserve">full </w:t>
      </w:r>
      <w:r w:rsidR="0007328E" w:rsidRPr="008C4145">
        <w:rPr>
          <w:rFonts w:asciiTheme="minorHAnsi" w:hAnsiTheme="minorHAnsi" w:cstheme="minorHAnsi"/>
          <w:color w:val="000000"/>
          <w:sz w:val="26"/>
          <w:szCs w:val="26"/>
        </w:rPr>
        <w:t>six-year</w:t>
      </w:r>
      <w:r w:rsidRPr="008C4145">
        <w:rPr>
          <w:rFonts w:asciiTheme="minorHAnsi" w:hAnsiTheme="minorHAnsi" w:cstheme="minorHAnsi"/>
          <w:color w:val="000000"/>
          <w:sz w:val="26"/>
          <w:szCs w:val="26"/>
        </w:rPr>
        <w:t xml:space="preserve"> term in January 2016.</w:t>
      </w:r>
      <w:r w:rsidR="004E7A21" w:rsidRPr="008C4145">
        <w:rPr>
          <w:rFonts w:asciiTheme="minorHAnsi" w:hAnsiTheme="minorHAnsi" w:cstheme="minorHAnsi"/>
          <w:color w:val="000000"/>
          <w:sz w:val="26"/>
          <w:szCs w:val="26"/>
        </w:rPr>
        <w:t xml:space="preserve">  </w:t>
      </w:r>
      <w:r w:rsidRPr="008C4145">
        <w:rPr>
          <w:rFonts w:asciiTheme="minorHAnsi" w:hAnsiTheme="minorHAnsi" w:cstheme="minorHAnsi"/>
          <w:color w:val="000000"/>
          <w:sz w:val="26"/>
          <w:szCs w:val="26"/>
        </w:rPr>
        <w:t>He is the Judge on the three Judge Copyright Royalty Board who, pursuant to statute, is trained in economics as well as law.</w:t>
      </w:r>
      <w:r w:rsidR="00140AD1" w:rsidRPr="008C4145">
        <w:rPr>
          <w:rFonts w:asciiTheme="minorHAnsi" w:hAnsiTheme="minorHAnsi" w:cstheme="minorHAnsi"/>
          <w:color w:val="000000"/>
          <w:sz w:val="26"/>
          <w:szCs w:val="26"/>
        </w:rPr>
        <w:tab/>
      </w:r>
    </w:p>
    <w:p w14:paraId="5D59B6B1" w14:textId="77777777" w:rsidR="008C4145" w:rsidRDefault="00B9592B" w:rsidP="008C4145">
      <w:pPr>
        <w:ind w:firstLine="720"/>
        <w:rPr>
          <w:rFonts w:asciiTheme="minorHAnsi" w:hAnsiTheme="minorHAnsi" w:cstheme="minorHAnsi"/>
          <w:color w:val="000000"/>
          <w:sz w:val="26"/>
          <w:szCs w:val="26"/>
        </w:rPr>
      </w:pPr>
      <w:r w:rsidRPr="008C4145">
        <w:rPr>
          <w:rFonts w:asciiTheme="minorHAnsi" w:hAnsiTheme="minorHAnsi" w:cstheme="minorHAnsi"/>
          <w:color w:val="000000"/>
          <w:sz w:val="26"/>
          <w:szCs w:val="26"/>
        </w:rPr>
        <w:t xml:space="preserve">Prior to his appointment to the bench, Judge Strickler had more than 30 </w:t>
      </w:r>
      <w:r w:rsidR="0007328E" w:rsidRPr="008C4145">
        <w:rPr>
          <w:rFonts w:asciiTheme="minorHAnsi" w:hAnsiTheme="minorHAnsi" w:cstheme="minorHAnsi"/>
          <w:color w:val="000000"/>
          <w:sz w:val="26"/>
          <w:szCs w:val="26"/>
        </w:rPr>
        <w:t>years’ experience</w:t>
      </w:r>
      <w:r w:rsidRPr="008C4145">
        <w:rPr>
          <w:rFonts w:asciiTheme="minorHAnsi" w:hAnsiTheme="minorHAnsi" w:cstheme="minorHAnsi"/>
          <w:color w:val="000000"/>
          <w:sz w:val="26"/>
          <w:szCs w:val="26"/>
        </w:rPr>
        <w:t xml:space="preserve"> as a litigator, initially with the federal government and, since 1983, in private practice in New Jersey. He has specialized in litigation regarding the economic valuation of stocks, commercial property, and other assets.</w:t>
      </w:r>
    </w:p>
    <w:p w14:paraId="1AA546F8" w14:textId="77777777" w:rsidR="008C4145" w:rsidRDefault="00B9592B" w:rsidP="008C4145">
      <w:pPr>
        <w:ind w:firstLine="720"/>
        <w:rPr>
          <w:rFonts w:asciiTheme="minorHAnsi" w:hAnsiTheme="minorHAnsi" w:cstheme="minorHAnsi"/>
          <w:color w:val="000000"/>
          <w:sz w:val="26"/>
          <w:szCs w:val="26"/>
        </w:rPr>
      </w:pPr>
      <w:r w:rsidRPr="008C4145">
        <w:rPr>
          <w:rFonts w:asciiTheme="minorHAnsi" w:hAnsiTheme="minorHAnsi" w:cstheme="minorHAnsi"/>
          <w:color w:val="000000"/>
          <w:sz w:val="26"/>
          <w:szCs w:val="26"/>
        </w:rPr>
        <w:t>Judge Strickler is trained and experienced in economics and the application of economics to legal issues. He received an M.A. in economics from Columbia University, where he was a University Fellow. He was also a Law and Economics Fellow at the University of Miami School of Law, where he received his J.D. (</w:t>
      </w:r>
      <w:r w:rsidRPr="008C4145">
        <w:rPr>
          <w:rFonts w:asciiTheme="minorHAnsi" w:hAnsiTheme="minorHAnsi" w:cstheme="minorHAnsi"/>
          <w:i/>
          <w:iCs/>
          <w:color w:val="000000"/>
          <w:sz w:val="26"/>
          <w:szCs w:val="26"/>
        </w:rPr>
        <w:t>cum laude</w:t>
      </w:r>
      <w:r w:rsidRPr="008C4145">
        <w:rPr>
          <w:rFonts w:asciiTheme="minorHAnsi" w:hAnsiTheme="minorHAnsi" w:cstheme="minorHAnsi"/>
          <w:color w:val="000000"/>
          <w:sz w:val="26"/>
          <w:szCs w:val="26"/>
        </w:rPr>
        <w:t>), and where he was a member of the Law Review. He received his B.A. from New York University, where he was a Regents Scholar, double majoring in economics and journalism, with a minor in mathematics.</w:t>
      </w:r>
    </w:p>
    <w:p w14:paraId="5D92F14B" w14:textId="51A06438" w:rsidR="00B9592B" w:rsidRPr="008C4145" w:rsidRDefault="00B9592B" w:rsidP="008C4145">
      <w:pPr>
        <w:ind w:firstLine="720"/>
        <w:rPr>
          <w:rFonts w:asciiTheme="minorHAnsi" w:hAnsiTheme="minorHAnsi" w:cstheme="minorHAnsi"/>
          <w:color w:val="000000"/>
          <w:sz w:val="26"/>
          <w:szCs w:val="26"/>
        </w:rPr>
      </w:pPr>
      <w:r w:rsidRPr="008C4145">
        <w:rPr>
          <w:rFonts w:asciiTheme="minorHAnsi" w:hAnsiTheme="minorHAnsi" w:cstheme="minorHAnsi"/>
          <w:color w:val="000000"/>
          <w:sz w:val="26"/>
          <w:szCs w:val="26"/>
        </w:rPr>
        <w:t>Judge Strickler has taught microeconomics and macroeconomics at Kean University and Brookdale College in New Jersey.  He has also served as an anonymous referee on behalf of journal editors for proposed articles relating to the application of economics to copyright issues. </w:t>
      </w:r>
    </w:p>
    <w:p w14:paraId="49A9D46F" w14:textId="79AF54FD" w:rsidR="005E1CAF" w:rsidRPr="008C4145" w:rsidRDefault="005E1CAF" w:rsidP="00891630">
      <w:pPr>
        <w:ind w:firstLine="720"/>
        <w:rPr>
          <w:rFonts w:asciiTheme="minorHAnsi" w:hAnsiTheme="minorHAnsi" w:cstheme="minorHAnsi"/>
          <w:sz w:val="26"/>
          <w:szCs w:val="26"/>
        </w:rPr>
      </w:pPr>
    </w:p>
    <w:sectPr w:rsidR="005E1CAF" w:rsidRPr="008C4145" w:rsidSect="0010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AF"/>
    <w:rsid w:val="0007328E"/>
    <w:rsid w:val="000935F4"/>
    <w:rsid w:val="000B4A19"/>
    <w:rsid w:val="00100941"/>
    <w:rsid w:val="00140AD1"/>
    <w:rsid w:val="001F513A"/>
    <w:rsid w:val="00244ED5"/>
    <w:rsid w:val="00256A1D"/>
    <w:rsid w:val="002804BA"/>
    <w:rsid w:val="002D2764"/>
    <w:rsid w:val="00315B0B"/>
    <w:rsid w:val="003254DC"/>
    <w:rsid w:val="004267B1"/>
    <w:rsid w:val="004E7A21"/>
    <w:rsid w:val="005C44FA"/>
    <w:rsid w:val="005C6EEE"/>
    <w:rsid w:val="005E1CAF"/>
    <w:rsid w:val="00624E6D"/>
    <w:rsid w:val="006B4B19"/>
    <w:rsid w:val="006C7035"/>
    <w:rsid w:val="00705A24"/>
    <w:rsid w:val="007C0938"/>
    <w:rsid w:val="007D217E"/>
    <w:rsid w:val="00844C24"/>
    <w:rsid w:val="00891630"/>
    <w:rsid w:val="008B41E8"/>
    <w:rsid w:val="008C4145"/>
    <w:rsid w:val="008D338A"/>
    <w:rsid w:val="009466A1"/>
    <w:rsid w:val="00997580"/>
    <w:rsid w:val="009B3B49"/>
    <w:rsid w:val="009D19FD"/>
    <w:rsid w:val="00A17813"/>
    <w:rsid w:val="00A52E70"/>
    <w:rsid w:val="00B9592B"/>
    <w:rsid w:val="00BC24B1"/>
    <w:rsid w:val="00CA4196"/>
    <w:rsid w:val="00CB15A2"/>
    <w:rsid w:val="00F439D2"/>
    <w:rsid w:val="00F9699F"/>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B7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A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1CAF"/>
  </w:style>
  <w:style w:type="paragraph" w:styleId="NormalWeb">
    <w:name w:val="Normal (Web)"/>
    <w:basedOn w:val="Normal"/>
    <w:uiPriority w:val="99"/>
    <w:unhideWhenUsed/>
    <w:rsid w:val="00B9592B"/>
    <w:pPr>
      <w:spacing w:before="100" w:beforeAutospacing="1" w:after="100" w:afterAutospacing="1"/>
    </w:pPr>
  </w:style>
  <w:style w:type="character" w:styleId="Hyperlink">
    <w:name w:val="Hyperlink"/>
    <w:basedOn w:val="DefaultParagraphFont"/>
    <w:uiPriority w:val="99"/>
    <w:unhideWhenUsed/>
    <w:rsid w:val="00093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6140">
      <w:bodyDiv w:val="1"/>
      <w:marLeft w:val="0"/>
      <w:marRight w:val="0"/>
      <w:marTop w:val="0"/>
      <w:marBottom w:val="0"/>
      <w:divBdr>
        <w:top w:val="none" w:sz="0" w:space="0" w:color="auto"/>
        <w:left w:val="none" w:sz="0" w:space="0" w:color="auto"/>
        <w:bottom w:val="none" w:sz="0" w:space="0" w:color="auto"/>
        <w:right w:val="none" w:sz="0" w:space="0" w:color="auto"/>
      </w:divBdr>
    </w:div>
    <w:div w:id="155153336">
      <w:bodyDiv w:val="1"/>
      <w:marLeft w:val="0"/>
      <w:marRight w:val="0"/>
      <w:marTop w:val="0"/>
      <w:marBottom w:val="0"/>
      <w:divBdr>
        <w:top w:val="none" w:sz="0" w:space="0" w:color="auto"/>
        <w:left w:val="none" w:sz="0" w:space="0" w:color="auto"/>
        <w:bottom w:val="none" w:sz="0" w:space="0" w:color="auto"/>
        <w:right w:val="none" w:sz="0" w:space="0" w:color="auto"/>
      </w:divBdr>
    </w:div>
    <w:div w:id="163280485">
      <w:bodyDiv w:val="1"/>
      <w:marLeft w:val="0"/>
      <w:marRight w:val="0"/>
      <w:marTop w:val="0"/>
      <w:marBottom w:val="0"/>
      <w:divBdr>
        <w:top w:val="none" w:sz="0" w:space="0" w:color="auto"/>
        <w:left w:val="none" w:sz="0" w:space="0" w:color="auto"/>
        <w:bottom w:val="none" w:sz="0" w:space="0" w:color="auto"/>
        <w:right w:val="none" w:sz="0" w:space="0" w:color="auto"/>
      </w:divBdr>
    </w:div>
    <w:div w:id="227424123">
      <w:bodyDiv w:val="1"/>
      <w:marLeft w:val="0"/>
      <w:marRight w:val="0"/>
      <w:marTop w:val="0"/>
      <w:marBottom w:val="0"/>
      <w:divBdr>
        <w:top w:val="none" w:sz="0" w:space="0" w:color="auto"/>
        <w:left w:val="none" w:sz="0" w:space="0" w:color="auto"/>
        <w:bottom w:val="none" w:sz="0" w:space="0" w:color="auto"/>
        <w:right w:val="none" w:sz="0" w:space="0" w:color="auto"/>
      </w:divBdr>
    </w:div>
    <w:div w:id="461190323">
      <w:bodyDiv w:val="1"/>
      <w:marLeft w:val="0"/>
      <w:marRight w:val="0"/>
      <w:marTop w:val="0"/>
      <w:marBottom w:val="0"/>
      <w:divBdr>
        <w:top w:val="none" w:sz="0" w:space="0" w:color="auto"/>
        <w:left w:val="none" w:sz="0" w:space="0" w:color="auto"/>
        <w:bottom w:val="none" w:sz="0" w:space="0" w:color="auto"/>
        <w:right w:val="none" w:sz="0" w:space="0" w:color="auto"/>
      </w:divBdr>
      <w:divsChild>
        <w:div w:id="801115151">
          <w:marLeft w:val="0"/>
          <w:marRight w:val="0"/>
          <w:marTop w:val="0"/>
          <w:marBottom w:val="0"/>
          <w:divBdr>
            <w:top w:val="none" w:sz="0" w:space="0" w:color="auto"/>
            <w:left w:val="none" w:sz="0" w:space="0" w:color="auto"/>
            <w:bottom w:val="none" w:sz="0" w:space="0" w:color="auto"/>
            <w:right w:val="none" w:sz="0" w:space="0" w:color="auto"/>
          </w:divBdr>
          <w:divsChild>
            <w:div w:id="507406701">
              <w:marLeft w:val="0"/>
              <w:marRight w:val="0"/>
              <w:marTop w:val="0"/>
              <w:marBottom w:val="0"/>
              <w:divBdr>
                <w:top w:val="none" w:sz="0" w:space="0" w:color="auto"/>
                <w:left w:val="none" w:sz="0" w:space="0" w:color="auto"/>
                <w:bottom w:val="none" w:sz="0" w:space="0" w:color="auto"/>
                <w:right w:val="none" w:sz="0" w:space="0" w:color="auto"/>
              </w:divBdr>
              <w:divsChild>
                <w:div w:id="955018902">
                  <w:marLeft w:val="0"/>
                  <w:marRight w:val="0"/>
                  <w:marTop w:val="0"/>
                  <w:marBottom w:val="0"/>
                  <w:divBdr>
                    <w:top w:val="none" w:sz="0" w:space="0" w:color="auto"/>
                    <w:left w:val="none" w:sz="0" w:space="0" w:color="auto"/>
                    <w:bottom w:val="none" w:sz="0" w:space="0" w:color="auto"/>
                    <w:right w:val="none" w:sz="0" w:space="0" w:color="auto"/>
                  </w:divBdr>
                  <w:divsChild>
                    <w:div w:id="23681652">
                      <w:marLeft w:val="0"/>
                      <w:marRight w:val="0"/>
                      <w:marTop w:val="0"/>
                      <w:marBottom w:val="0"/>
                      <w:divBdr>
                        <w:top w:val="none" w:sz="0" w:space="0" w:color="auto"/>
                        <w:left w:val="none" w:sz="0" w:space="0" w:color="auto"/>
                        <w:bottom w:val="none" w:sz="0" w:space="0" w:color="auto"/>
                        <w:right w:val="none" w:sz="0" w:space="0" w:color="auto"/>
                      </w:divBdr>
                      <w:divsChild>
                        <w:div w:id="1389919237">
                          <w:marLeft w:val="0"/>
                          <w:marRight w:val="0"/>
                          <w:marTop w:val="0"/>
                          <w:marBottom w:val="0"/>
                          <w:divBdr>
                            <w:top w:val="none" w:sz="0" w:space="0" w:color="auto"/>
                            <w:left w:val="none" w:sz="0" w:space="0" w:color="auto"/>
                            <w:bottom w:val="none" w:sz="0" w:space="0" w:color="auto"/>
                            <w:right w:val="none" w:sz="0" w:space="0" w:color="auto"/>
                          </w:divBdr>
                          <w:divsChild>
                            <w:div w:id="2099011766">
                              <w:marLeft w:val="0"/>
                              <w:marRight w:val="0"/>
                              <w:marTop w:val="0"/>
                              <w:marBottom w:val="0"/>
                              <w:divBdr>
                                <w:top w:val="none" w:sz="0" w:space="0" w:color="auto"/>
                                <w:left w:val="none" w:sz="0" w:space="0" w:color="auto"/>
                                <w:bottom w:val="none" w:sz="0" w:space="0" w:color="auto"/>
                                <w:right w:val="none" w:sz="0" w:space="0" w:color="auto"/>
                              </w:divBdr>
                              <w:divsChild>
                                <w:div w:id="1297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58500">
      <w:bodyDiv w:val="1"/>
      <w:marLeft w:val="0"/>
      <w:marRight w:val="0"/>
      <w:marTop w:val="0"/>
      <w:marBottom w:val="0"/>
      <w:divBdr>
        <w:top w:val="none" w:sz="0" w:space="0" w:color="auto"/>
        <w:left w:val="none" w:sz="0" w:space="0" w:color="auto"/>
        <w:bottom w:val="none" w:sz="0" w:space="0" w:color="auto"/>
        <w:right w:val="none" w:sz="0" w:space="0" w:color="auto"/>
      </w:divBdr>
    </w:div>
    <w:div w:id="1030451474">
      <w:bodyDiv w:val="1"/>
      <w:marLeft w:val="0"/>
      <w:marRight w:val="0"/>
      <w:marTop w:val="0"/>
      <w:marBottom w:val="0"/>
      <w:divBdr>
        <w:top w:val="none" w:sz="0" w:space="0" w:color="auto"/>
        <w:left w:val="none" w:sz="0" w:space="0" w:color="auto"/>
        <w:bottom w:val="none" w:sz="0" w:space="0" w:color="auto"/>
        <w:right w:val="none" w:sz="0" w:space="0" w:color="auto"/>
      </w:divBdr>
    </w:div>
    <w:div w:id="1201935722">
      <w:bodyDiv w:val="1"/>
      <w:marLeft w:val="0"/>
      <w:marRight w:val="0"/>
      <w:marTop w:val="0"/>
      <w:marBottom w:val="0"/>
      <w:divBdr>
        <w:top w:val="none" w:sz="0" w:space="0" w:color="auto"/>
        <w:left w:val="none" w:sz="0" w:space="0" w:color="auto"/>
        <w:bottom w:val="none" w:sz="0" w:space="0" w:color="auto"/>
        <w:right w:val="none" w:sz="0" w:space="0" w:color="auto"/>
      </w:divBdr>
    </w:div>
    <w:div w:id="1230725828">
      <w:bodyDiv w:val="1"/>
      <w:marLeft w:val="0"/>
      <w:marRight w:val="0"/>
      <w:marTop w:val="0"/>
      <w:marBottom w:val="0"/>
      <w:divBdr>
        <w:top w:val="none" w:sz="0" w:space="0" w:color="auto"/>
        <w:left w:val="none" w:sz="0" w:space="0" w:color="auto"/>
        <w:bottom w:val="none" w:sz="0" w:space="0" w:color="auto"/>
        <w:right w:val="none" w:sz="0" w:space="0" w:color="auto"/>
      </w:divBdr>
    </w:div>
    <w:div w:id="1398936296">
      <w:bodyDiv w:val="1"/>
      <w:marLeft w:val="0"/>
      <w:marRight w:val="0"/>
      <w:marTop w:val="0"/>
      <w:marBottom w:val="0"/>
      <w:divBdr>
        <w:top w:val="none" w:sz="0" w:space="0" w:color="auto"/>
        <w:left w:val="none" w:sz="0" w:space="0" w:color="auto"/>
        <w:bottom w:val="none" w:sz="0" w:space="0" w:color="auto"/>
        <w:right w:val="none" w:sz="0" w:space="0" w:color="auto"/>
      </w:divBdr>
    </w:div>
    <w:div w:id="1451557067">
      <w:bodyDiv w:val="1"/>
      <w:marLeft w:val="0"/>
      <w:marRight w:val="0"/>
      <w:marTop w:val="0"/>
      <w:marBottom w:val="0"/>
      <w:divBdr>
        <w:top w:val="none" w:sz="0" w:space="0" w:color="auto"/>
        <w:left w:val="none" w:sz="0" w:space="0" w:color="auto"/>
        <w:bottom w:val="none" w:sz="0" w:space="0" w:color="auto"/>
        <w:right w:val="none" w:sz="0" w:space="0" w:color="auto"/>
      </w:divBdr>
    </w:div>
    <w:div w:id="1476875412">
      <w:bodyDiv w:val="1"/>
      <w:marLeft w:val="0"/>
      <w:marRight w:val="0"/>
      <w:marTop w:val="0"/>
      <w:marBottom w:val="0"/>
      <w:divBdr>
        <w:top w:val="none" w:sz="0" w:space="0" w:color="auto"/>
        <w:left w:val="none" w:sz="0" w:space="0" w:color="auto"/>
        <w:bottom w:val="none" w:sz="0" w:space="0" w:color="auto"/>
        <w:right w:val="none" w:sz="0" w:space="0" w:color="auto"/>
      </w:divBdr>
    </w:div>
    <w:div w:id="1672488581">
      <w:bodyDiv w:val="1"/>
      <w:marLeft w:val="0"/>
      <w:marRight w:val="0"/>
      <w:marTop w:val="0"/>
      <w:marBottom w:val="0"/>
      <w:divBdr>
        <w:top w:val="none" w:sz="0" w:space="0" w:color="auto"/>
        <w:left w:val="none" w:sz="0" w:space="0" w:color="auto"/>
        <w:bottom w:val="none" w:sz="0" w:space="0" w:color="auto"/>
        <w:right w:val="none" w:sz="0" w:space="0" w:color="auto"/>
      </w:divBdr>
    </w:div>
    <w:div w:id="1731609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1800</Words>
  <Characters>10264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NYU-LAW</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Arzt, Nicole</cp:lastModifiedBy>
  <cp:revision>2</cp:revision>
  <dcterms:created xsi:type="dcterms:W3CDTF">2018-03-22T13:35:00Z</dcterms:created>
  <dcterms:modified xsi:type="dcterms:W3CDTF">2018-03-22T13:35:00Z</dcterms:modified>
</cp:coreProperties>
</file>